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CF97A" w14:textId="77777777" w:rsidR="009E6820" w:rsidRPr="00C14CEF" w:rsidRDefault="009E6820" w:rsidP="00143BB1">
      <w:pPr>
        <w:pStyle w:val="Nzev"/>
        <w:spacing w:after="0"/>
      </w:pPr>
      <w:r w:rsidRPr="00437690">
        <w:t>SMLOUVA</w:t>
      </w:r>
      <w:r>
        <w:t xml:space="preserve"> O PARTNERSKÉ SPOLUPRÁCI</w:t>
      </w:r>
    </w:p>
    <w:p w14:paraId="791B7FB4" w14:textId="77777777" w:rsidR="009E6820" w:rsidRPr="00C14CEF" w:rsidRDefault="009E6820" w:rsidP="00143BB1">
      <w:pPr>
        <w:spacing w:before="0" w:line="240" w:lineRule="auto"/>
        <w:jc w:val="center"/>
        <w:outlineLvl w:val="0"/>
        <w:rPr>
          <w:rFonts w:cs="Calibri"/>
        </w:rPr>
      </w:pPr>
      <w:r w:rsidRPr="00C14CEF">
        <w:rPr>
          <w:rStyle w:val="platne1"/>
          <w:rFonts w:cs="Calibri"/>
        </w:rPr>
        <w:t xml:space="preserve">uzavřená podle </w:t>
      </w:r>
      <w:proofErr w:type="spellStart"/>
      <w:r w:rsidRPr="00C14CEF">
        <w:rPr>
          <w:rStyle w:val="platne1"/>
          <w:rFonts w:cs="Calibri"/>
        </w:rPr>
        <w:t>ust</w:t>
      </w:r>
      <w:proofErr w:type="spellEnd"/>
      <w:r w:rsidRPr="00C14CEF">
        <w:rPr>
          <w:rStyle w:val="platne1"/>
          <w:rFonts w:cs="Calibri"/>
        </w:rPr>
        <w:t xml:space="preserve">. § </w:t>
      </w:r>
      <w:r w:rsidR="003D4EB9">
        <w:rPr>
          <w:rStyle w:val="platne1"/>
          <w:rFonts w:cs="Calibri"/>
        </w:rPr>
        <w:t>1746</w:t>
      </w:r>
      <w:r w:rsidRPr="00C14CEF">
        <w:rPr>
          <w:rStyle w:val="platne1"/>
          <w:rFonts w:cs="Calibri"/>
        </w:rPr>
        <w:t xml:space="preserve">, odst. 2 zákona č. </w:t>
      </w:r>
      <w:r w:rsidR="003D4EB9">
        <w:rPr>
          <w:rStyle w:val="platne1"/>
          <w:rFonts w:cs="Calibri"/>
        </w:rPr>
        <w:t>89/2012</w:t>
      </w:r>
      <w:r w:rsidRPr="00C14CEF">
        <w:rPr>
          <w:rStyle w:val="platne1"/>
          <w:rFonts w:cs="Calibri"/>
        </w:rPr>
        <w:t xml:space="preserve"> Sb., </w:t>
      </w:r>
      <w:r w:rsidR="003D4EB9">
        <w:rPr>
          <w:rStyle w:val="platne1"/>
          <w:rFonts w:cs="Calibri"/>
        </w:rPr>
        <w:t xml:space="preserve">občanského </w:t>
      </w:r>
      <w:r w:rsidRPr="00C14CEF">
        <w:rPr>
          <w:rStyle w:val="platne1"/>
          <w:rFonts w:cs="Calibri"/>
        </w:rPr>
        <w:t>zákoníku v platném znění</w:t>
      </w:r>
    </w:p>
    <w:p w14:paraId="2EFF1A0C" w14:textId="77777777" w:rsidR="009E6820" w:rsidRDefault="009E6820" w:rsidP="00C14CEF">
      <w:pPr>
        <w:rPr>
          <w:rFonts w:cs="Calibri"/>
        </w:rPr>
      </w:pPr>
    </w:p>
    <w:p w14:paraId="0B97095E" w14:textId="77777777" w:rsidR="009E6820" w:rsidRDefault="009E6820" w:rsidP="00143BB1">
      <w:pPr>
        <w:spacing w:before="0" w:line="240" w:lineRule="auto"/>
        <w:rPr>
          <w:rFonts w:cs="Calibri"/>
          <w:b/>
        </w:rPr>
      </w:pPr>
      <w:r w:rsidRPr="00C14CEF">
        <w:rPr>
          <w:rFonts w:cs="Calibri"/>
          <w:b/>
        </w:rPr>
        <w:t>Smluvní stany:</w:t>
      </w:r>
    </w:p>
    <w:tbl>
      <w:tblPr>
        <w:tblW w:w="0" w:type="auto"/>
        <w:tblLook w:val="00A0" w:firstRow="1" w:lastRow="0" w:firstColumn="1" w:lastColumn="0" w:noHBand="0" w:noVBand="0"/>
      </w:tblPr>
      <w:tblGrid>
        <w:gridCol w:w="1936"/>
        <w:gridCol w:w="7134"/>
      </w:tblGrid>
      <w:tr w:rsidR="009E6820" w:rsidRPr="00C14CEF" w14:paraId="640B8472" w14:textId="77777777" w:rsidTr="003969AF">
        <w:tc>
          <w:tcPr>
            <w:tcW w:w="1951" w:type="dxa"/>
          </w:tcPr>
          <w:p w14:paraId="3C4F07CE" w14:textId="77777777" w:rsidR="009E6820" w:rsidRPr="00C14CEF" w:rsidRDefault="009E6820" w:rsidP="00143BB1">
            <w:pPr>
              <w:tabs>
                <w:tab w:val="left" w:pos="595"/>
              </w:tabs>
              <w:spacing w:before="0" w:line="240" w:lineRule="auto"/>
              <w:rPr>
                <w:lang w:eastAsia="cs-CZ"/>
              </w:rPr>
            </w:pPr>
            <w:r w:rsidRPr="00C14CEF">
              <w:rPr>
                <w:lang w:eastAsia="cs-CZ"/>
              </w:rPr>
              <w:t>společnost:</w:t>
            </w:r>
          </w:p>
        </w:tc>
        <w:tc>
          <w:tcPr>
            <w:tcW w:w="7261" w:type="dxa"/>
          </w:tcPr>
          <w:p w14:paraId="3EEB4D91" w14:textId="77777777" w:rsidR="009E6820" w:rsidRPr="003C09CA" w:rsidRDefault="009E6820" w:rsidP="00143BB1">
            <w:pPr>
              <w:tabs>
                <w:tab w:val="left" w:pos="595"/>
              </w:tabs>
              <w:spacing w:before="0" w:line="240" w:lineRule="auto"/>
              <w:rPr>
                <w:b/>
                <w:szCs w:val="20"/>
                <w:lang w:eastAsia="cs-CZ"/>
              </w:rPr>
            </w:pPr>
            <w:r w:rsidRPr="003C09CA">
              <w:rPr>
                <w:b/>
                <w:szCs w:val="20"/>
                <w:lang w:eastAsia="cs-CZ"/>
              </w:rPr>
              <w:t xml:space="preserve">Západočeská univerzita v Plzni </w:t>
            </w:r>
          </w:p>
        </w:tc>
      </w:tr>
      <w:tr w:rsidR="009E6820" w:rsidRPr="00C14CEF" w14:paraId="15B036A5" w14:textId="77777777" w:rsidTr="003969AF">
        <w:tc>
          <w:tcPr>
            <w:tcW w:w="1951" w:type="dxa"/>
          </w:tcPr>
          <w:p w14:paraId="28E50246" w14:textId="77777777" w:rsidR="009E6820" w:rsidRPr="00C14CEF" w:rsidRDefault="009E6820" w:rsidP="00143BB1">
            <w:pPr>
              <w:tabs>
                <w:tab w:val="left" w:pos="595"/>
              </w:tabs>
              <w:spacing w:before="0" w:line="240" w:lineRule="auto"/>
              <w:rPr>
                <w:lang w:eastAsia="cs-CZ"/>
              </w:rPr>
            </w:pPr>
            <w:r w:rsidRPr="00C14CEF">
              <w:rPr>
                <w:lang w:eastAsia="cs-CZ"/>
              </w:rPr>
              <w:t>se sídlem:</w:t>
            </w:r>
          </w:p>
        </w:tc>
        <w:tc>
          <w:tcPr>
            <w:tcW w:w="7261" w:type="dxa"/>
          </w:tcPr>
          <w:p w14:paraId="749510BE" w14:textId="23B00F92" w:rsidR="009E6820" w:rsidRPr="003C09CA" w:rsidRDefault="009E6820" w:rsidP="00FD20EE">
            <w:pPr>
              <w:tabs>
                <w:tab w:val="left" w:pos="595"/>
              </w:tabs>
              <w:spacing w:before="0" w:line="240" w:lineRule="auto"/>
              <w:rPr>
                <w:rFonts w:cs="Calibri"/>
                <w:lang w:eastAsia="cs-CZ"/>
              </w:rPr>
            </w:pPr>
            <w:r w:rsidRPr="003C09CA">
              <w:rPr>
                <w:rFonts w:cs="Calibri"/>
                <w:lang w:eastAsia="cs-CZ"/>
              </w:rPr>
              <w:t xml:space="preserve">Univerzitní </w:t>
            </w:r>
            <w:r w:rsidR="00FD20EE">
              <w:rPr>
                <w:rFonts w:cs="Calibri"/>
                <w:lang w:eastAsia="cs-CZ"/>
              </w:rPr>
              <w:t>2732/</w:t>
            </w:r>
            <w:r w:rsidRPr="003C09CA">
              <w:rPr>
                <w:rFonts w:cs="Calibri"/>
                <w:lang w:eastAsia="cs-CZ"/>
              </w:rPr>
              <w:t>8, 30</w:t>
            </w:r>
            <w:r w:rsidR="00D2315A">
              <w:rPr>
                <w:rFonts w:cs="Calibri"/>
                <w:lang w:eastAsia="cs-CZ"/>
              </w:rPr>
              <w:t>1</w:t>
            </w:r>
            <w:r w:rsidRPr="003C09CA">
              <w:rPr>
                <w:rFonts w:cs="Calibri"/>
                <w:lang w:eastAsia="cs-CZ"/>
              </w:rPr>
              <w:t xml:space="preserve"> </w:t>
            </w:r>
            <w:r w:rsidR="00D2315A">
              <w:rPr>
                <w:rFonts w:cs="Calibri"/>
                <w:lang w:eastAsia="cs-CZ"/>
              </w:rPr>
              <w:t>00</w:t>
            </w:r>
            <w:r w:rsidRPr="003C09CA">
              <w:rPr>
                <w:rFonts w:cs="Calibri"/>
                <w:lang w:eastAsia="cs-CZ"/>
              </w:rPr>
              <w:t xml:space="preserve"> Plzeň</w:t>
            </w:r>
          </w:p>
        </w:tc>
      </w:tr>
      <w:tr w:rsidR="009E6820" w:rsidRPr="00C14CEF" w14:paraId="4AFAB156" w14:textId="77777777" w:rsidTr="003969AF">
        <w:tc>
          <w:tcPr>
            <w:tcW w:w="1951" w:type="dxa"/>
          </w:tcPr>
          <w:p w14:paraId="242D27E4" w14:textId="77777777" w:rsidR="009E6820" w:rsidRPr="00C14CEF" w:rsidRDefault="009E6820" w:rsidP="00143BB1">
            <w:pPr>
              <w:tabs>
                <w:tab w:val="left" w:pos="595"/>
              </w:tabs>
              <w:spacing w:before="0" w:line="240" w:lineRule="auto"/>
              <w:rPr>
                <w:lang w:eastAsia="cs-CZ"/>
              </w:rPr>
            </w:pPr>
            <w:r w:rsidRPr="00C14CEF">
              <w:rPr>
                <w:lang w:eastAsia="cs-CZ"/>
              </w:rPr>
              <w:t>IČ:</w:t>
            </w:r>
          </w:p>
        </w:tc>
        <w:tc>
          <w:tcPr>
            <w:tcW w:w="7261" w:type="dxa"/>
          </w:tcPr>
          <w:p w14:paraId="73602865" w14:textId="77777777" w:rsidR="009E6820" w:rsidRPr="003C09CA" w:rsidRDefault="009E6820" w:rsidP="00143BB1">
            <w:pPr>
              <w:tabs>
                <w:tab w:val="left" w:pos="595"/>
              </w:tabs>
              <w:spacing w:before="0" w:line="240" w:lineRule="auto"/>
              <w:rPr>
                <w:rFonts w:cs="Calibri"/>
                <w:lang w:eastAsia="cs-CZ"/>
              </w:rPr>
            </w:pPr>
            <w:r w:rsidRPr="003C09CA">
              <w:rPr>
                <w:rFonts w:cs="Calibri"/>
                <w:lang w:eastAsia="cs-CZ"/>
              </w:rPr>
              <w:t>49777513</w:t>
            </w:r>
          </w:p>
        </w:tc>
      </w:tr>
      <w:tr w:rsidR="009E6820" w:rsidRPr="00C14CEF" w14:paraId="433DD567" w14:textId="77777777" w:rsidTr="003969AF">
        <w:tc>
          <w:tcPr>
            <w:tcW w:w="1951" w:type="dxa"/>
          </w:tcPr>
          <w:p w14:paraId="0E7219D2" w14:textId="77777777" w:rsidR="009E6820" w:rsidRPr="00C14CEF" w:rsidRDefault="009E6820" w:rsidP="00143BB1">
            <w:pPr>
              <w:tabs>
                <w:tab w:val="left" w:pos="595"/>
              </w:tabs>
              <w:spacing w:before="0" w:line="240" w:lineRule="auto"/>
              <w:rPr>
                <w:lang w:eastAsia="cs-CZ"/>
              </w:rPr>
            </w:pPr>
            <w:r w:rsidRPr="00C14CEF">
              <w:rPr>
                <w:lang w:eastAsia="cs-CZ"/>
              </w:rPr>
              <w:t>DIČ:</w:t>
            </w:r>
          </w:p>
        </w:tc>
        <w:tc>
          <w:tcPr>
            <w:tcW w:w="7261" w:type="dxa"/>
          </w:tcPr>
          <w:p w14:paraId="4A553E24" w14:textId="77777777" w:rsidR="009E6820" w:rsidRPr="003C09CA" w:rsidRDefault="008F664F" w:rsidP="00143BB1">
            <w:pPr>
              <w:tabs>
                <w:tab w:val="left" w:pos="595"/>
              </w:tabs>
              <w:spacing w:before="0" w:line="240" w:lineRule="auto"/>
              <w:rPr>
                <w:rFonts w:cs="Calibri"/>
                <w:lang w:eastAsia="cs-CZ"/>
              </w:rPr>
            </w:pPr>
            <w:r>
              <w:rPr>
                <w:rFonts w:cs="Calibri"/>
                <w:lang w:eastAsia="cs-CZ"/>
              </w:rPr>
              <w:t>CZ</w:t>
            </w:r>
            <w:r w:rsidR="009E6820" w:rsidRPr="003C09CA">
              <w:rPr>
                <w:rFonts w:cs="Calibri"/>
                <w:lang w:eastAsia="cs-CZ"/>
              </w:rPr>
              <w:t>49777513</w:t>
            </w:r>
          </w:p>
        </w:tc>
      </w:tr>
      <w:tr w:rsidR="009E6820" w:rsidRPr="00C14CEF" w14:paraId="028DA856" w14:textId="77777777" w:rsidTr="003969AF">
        <w:tc>
          <w:tcPr>
            <w:tcW w:w="9212" w:type="dxa"/>
            <w:gridSpan w:val="2"/>
          </w:tcPr>
          <w:p w14:paraId="3630A098" w14:textId="77777777" w:rsidR="009E6820" w:rsidRPr="004E77E7" w:rsidRDefault="009E6820" w:rsidP="00143BB1">
            <w:pPr>
              <w:tabs>
                <w:tab w:val="left" w:pos="595"/>
              </w:tabs>
              <w:spacing w:before="0" w:line="240" w:lineRule="auto"/>
              <w:rPr>
                <w:lang w:eastAsia="cs-CZ"/>
              </w:rPr>
            </w:pPr>
            <w:r>
              <w:rPr>
                <w:lang w:eastAsia="cs-CZ"/>
              </w:rPr>
              <w:t xml:space="preserve">zřízena zákonem č. 314/1991 Sb. </w:t>
            </w:r>
          </w:p>
        </w:tc>
      </w:tr>
      <w:tr w:rsidR="009E6820" w:rsidRPr="00C14CEF" w14:paraId="34C36CFC" w14:textId="77777777" w:rsidTr="003969AF">
        <w:tc>
          <w:tcPr>
            <w:tcW w:w="1951" w:type="dxa"/>
          </w:tcPr>
          <w:p w14:paraId="0F7F98CD" w14:textId="77777777" w:rsidR="009E6820" w:rsidRPr="00C14CEF" w:rsidRDefault="009E6820" w:rsidP="00143BB1">
            <w:pPr>
              <w:tabs>
                <w:tab w:val="left" w:pos="595"/>
              </w:tabs>
              <w:spacing w:before="0" w:line="240" w:lineRule="auto"/>
              <w:rPr>
                <w:lang w:eastAsia="cs-CZ"/>
              </w:rPr>
            </w:pPr>
            <w:r w:rsidRPr="00C14CEF">
              <w:rPr>
                <w:lang w:eastAsia="cs-CZ"/>
              </w:rPr>
              <w:t>kterou zastupuje:</w:t>
            </w:r>
          </w:p>
        </w:tc>
        <w:tc>
          <w:tcPr>
            <w:tcW w:w="7261" w:type="dxa"/>
          </w:tcPr>
          <w:p w14:paraId="2D15B4BC" w14:textId="77777777" w:rsidR="009E6820" w:rsidRPr="003C09CA" w:rsidRDefault="00FB381E" w:rsidP="00143BB1">
            <w:pPr>
              <w:tabs>
                <w:tab w:val="left" w:pos="595"/>
              </w:tabs>
              <w:spacing w:before="0" w:line="240" w:lineRule="auto"/>
              <w:rPr>
                <w:rFonts w:cs="Calibri"/>
                <w:lang w:eastAsia="cs-CZ"/>
              </w:rPr>
            </w:pPr>
            <w:r>
              <w:t>doc. Dr. RNDr. Miroslav Holeček, rektor</w:t>
            </w:r>
          </w:p>
        </w:tc>
      </w:tr>
    </w:tbl>
    <w:p w14:paraId="4838CD79" w14:textId="77777777" w:rsidR="003969AF" w:rsidRDefault="003969AF" w:rsidP="00143BB1">
      <w:pPr>
        <w:spacing w:before="0" w:line="240" w:lineRule="auto"/>
        <w:rPr>
          <w:iCs/>
        </w:rPr>
      </w:pPr>
    </w:p>
    <w:p w14:paraId="462F7133" w14:textId="77777777" w:rsidR="009E6820" w:rsidRPr="003969AF" w:rsidRDefault="009E6820" w:rsidP="00143BB1">
      <w:pPr>
        <w:spacing w:before="0" w:line="240" w:lineRule="auto"/>
        <w:rPr>
          <w:iCs/>
        </w:rPr>
      </w:pPr>
      <w:r w:rsidRPr="003969AF">
        <w:rPr>
          <w:iCs/>
        </w:rPr>
        <w:t>(dále j</w:t>
      </w:r>
      <w:r w:rsidR="003969AF">
        <w:rPr>
          <w:iCs/>
        </w:rPr>
        <w:t>ako</w:t>
      </w:r>
      <w:r w:rsidRPr="003969AF">
        <w:rPr>
          <w:iCs/>
        </w:rPr>
        <w:t xml:space="preserve"> </w:t>
      </w:r>
      <w:r w:rsidRPr="003969AF">
        <w:rPr>
          <w:b/>
          <w:bCs/>
          <w:iCs/>
        </w:rPr>
        <w:t>„ZČU“</w:t>
      </w:r>
      <w:r w:rsidRPr="003969AF">
        <w:rPr>
          <w:iCs/>
        </w:rPr>
        <w:t>)</w:t>
      </w:r>
    </w:p>
    <w:p w14:paraId="25168DFE" w14:textId="77777777" w:rsidR="009E6820" w:rsidRDefault="009E6820" w:rsidP="00143BB1">
      <w:pPr>
        <w:spacing w:before="0" w:line="240" w:lineRule="auto"/>
      </w:pPr>
    </w:p>
    <w:p w14:paraId="6D52024B" w14:textId="77777777" w:rsidR="009E6820" w:rsidRDefault="009E6820" w:rsidP="00143BB1">
      <w:pPr>
        <w:spacing w:before="0" w:line="240" w:lineRule="auto"/>
      </w:pPr>
      <w:r>
        <w:t>a</w:t>
      </w:r>
    </w:p>
    <w:p w14:paraId="7E2ED9D9" w14:textId="77777777" w:rsidR="009E6820" w:rsidRDefault="009E6820" w:rsidP="00143BB1">
      <w:pPr>
        <w:spacing w:before="0" w:line="240" w:lineRule="auto"/>
      </w:pPr>
    </w:p>
    <w:tbl>
      <w:tblPr>
        <w:tblW w:w="0" w:type="auto"/>
        <w:tblLook w:val="00A0" w:firstRow="1" w:lastRow="0" w:firstColumn="1" w:lastColumn="0" w:noHBand="0" w:noVBand="0"/>
      </w:tblPr>
      <w:tblGrid>
        <w:gridCol w:w="1936"/>
        <w:gridCol w:w="7134"/>
      </w:tblGrid>
      <w:tr w:rsidR="009E6820" w:rsidRPr="00C14CEF" w14:paraId="3F7608A0" w14:textId="77777777" w:rsidTr="00BA6688">
        <w:tc>
          <w:tcPr>
            <w:tcW w:w="1936" w:type="dxa"/>
          </w:tcPr>
          <w:p w14:paraId="66685B88" w14:textId="77777777" w:rsidR="009E6820" w:rsidRPr="00C14CEF" w:rsidRDefault="009E6820" w:rsidP="00143BB1">
            <w:pPr>
              <w:tabs>
                <w:tab w:val="left" w:pos="595"/>
              </w:tabs>
              <w:spacing w:before="0" w:line="240" w:lineRule="auto"/>
              <w:rPr>
                <w:lang w:eastAsia="cs-CZ"/>
              </w:rPr>
            </w:pPr>
            <w:r w:rsidRPr="00C14CEF">
              <w:rPr>
                <w:lang w:eastAsia="cs-CZ"/>
              </w:rPr>
              <w:t>společnost:</w:t>
            </w:r>
          </w:p>
        </w:tc>
        <w:tc>
          <w:tcPr>
            <w:tcW w:w="7136" w:type="dxa"/>
          </w:tcPr>
          <w:p w14:paraId="4C8C5A6E" w14:textId="77777777" w:rsidR="009E6820" w:rsidRPr="003C09CA" w:rsidRDefault="003969AF" w:rsidP="00143BB1">
            <w:pPr>
              <w:tabs>
                <w:tab w:val="left" w:pos="595"/>
              </w:tabs>
              <w:spacing w:before="0" w:line="240" w:lineRule="auto"/>
              <w:rPr>
                <w:b/>
                <w:lang w:eastAsia="cs-CZ"/>
              </w:rPr>
            </w:pPr>
            <w:r>
              <w:rPr>
                <w:b/>
                <w:lang w:eastAsia="cs-CZ"/>
              </w:rPr>
              <w:t>Plzeň 2015, zapsaný ústav</w:t>
            </w:r>
          </w:p>
        </w:tc>
      </w:tr>
      <w:tr w:rsidR="009E6820" w:rsidRPr="00C14CEF" w14:paraId="77D1FCD5" w14:textId="77777777" w:rsidTr="00BA6688">
        <w:tc>
          <w:tcPr>
            <w:tcW w:w="1936" w:type="dxa"/>
          </w:tcPr>
          <w:p w14:paraId="2E35B3B9" w14:textId="77777777" w:rsidR="009E6820" w:rsidRPr="00C14CEF" w:rsidRDefault="009E6820" w:rsidP="00143BB1">
            <w:pPr>
              <w:tabs>
                <w:tab w:val="left" w:pos="595"/>
              </w:tabs>
              <w:spacing w:before="0" w:line="240" w:lineRule="auto"/>
              <w:rPr>
                <w:lang w:eastAsia="cs-CZ"/>
              </w:rPr>
            </w:pPr>
            <w:r w:rsidRPr="00C14CEF">
              <w:rPr>
                <w:lang w:eastAsia="cs-CZ"/>
              </w:rPr>
              <w:t>se sídlem:</w:t>
            </w:r>
          </w:p>
        </w:tc>
        <w:tc>
          <w:tcPr>
            <w:tcW w:w="7136" w:type="dxa"/>
          </w:tcPr>
          <w:p w14:paraId="5D3C92A0" w14:textId="77777777" w:rsidR="009E6820" w:rsidRPr="00E446BF" w:rsidRDefault="003969AF" w:rsidP="00143BB1">
            <w:pPr>
              <w:tabs>
                <w:tab w:val="left" w:pos="595"/>
              </w:tabs>
              <w:spacing w:before="0" w:line="240" w:lineRule="auto"/>
              <w:rPr>
                <w:rFonts w:cs="Calibri"/>
                <w:lang w:eastAsia="cs-CZ"/>
              </w:rPr>
            </w:pPr>
            <w:r>
              <w:rPr>
                <w:rFonts w:cs="Calibri"/>
                <w:lang w:eastAsia="cs-CZ"/>
              </w:rPr>
              <w:t xml:space="preserve">Presslova 2992/14, </w:t>
            </w:r>
            <w:r w:rsidR="00FE2683">
              <w:rPr>
                <w:rFonts w:cs="Calibri"/>
                <w:lang w:eastAsia="cs-CZ"/>
              </w:rPr>
              <w:t>301 00 Plzeň</w:t>
            </w:r>
          </w:p>
        </w:tc>
      </w:tr>
      <w:tr w:rsidR="009E6820" w:rsidRPr="00C14CEF" w14:paraId="781B5CB4" w14:textId="77777777" w:rsidTr="00BA6688">
        <w:tc>
          <w:tcPr>
            <w:tcW w:w="1936" w:type="dxa"/>
          </w:tcPr>
          <w:p w14:paraId="4DDD691F" w14:textId="77777777" w:rsidR="009E6820" w:rsidRPr="00C14CEF" w:rsidRDefault="009E6820" w:rsidP="00143BB1">
            <w:pPr>
              <w:tabs>
                <w:tab w:val="left" w:pos="595"/>
              </w:tabs>
              <w:spacing w:before="0" w:line="240" w:lineRule="auto"/>
              <w:rPr>
                <w:lang w:eastAsia="cs-CZ"/>
              </w:rPr>
            </w:pPr>
            <w:r w:rsidRPr="00C14CEF">
              <w:rPr>
                <w:lang w:eastAsia="cs-CZ"/>
              </w:rPr>
              <w:t>IČ:</w:t>
            </w:r>
          </w:p>
        </w:tc>
        <w:tc>
          <w:tcPr>
            <w:tcW w:w="7136" w:type="dxa"/>
          </w:tcPr>
          <w:p w14:paraId="421699E9" w14:textId="77777777" w:rsidR="009E6820" w:rsidRPr="00E446BF" w:rsidRDefault="009E6820" w:rsidP="00143BB1">
            <w:pPr>
              <w:tabs>
                <w:tab w:val="left" w:pos="595"/>
              </w:tabs>
              <w:spacing w:before="0" w:line="240" w:lineRule="auto"/>
              <w:rPr>
                <w:rFonts w:cs="Calibri"/>
                <w:lang w:eastAsia="cs-CZ"/>
              </w:rPr>
            </w:pPr>
            <w:r w:rsidRPr="00E446BF">
              <w:rPr>
                <w:rFonts w:cs="Calibri"/>
                <w:lang w:eastAsia="cs-CZ"/>
              </w:rPr>
              <w:t>2</w:t>
            </w:r>
            <w:r w:rsidR="00FE2683">
              <w:rPr>
                <w:rFonts w:cs="Calibri"/>
                <w:lang w:eastAsia="cs-CZ"/>
              </w:rPr>
              <w:t>9109124</w:t>
            </w:r>
          </w:p>
        </w:tc>
      </w:tr>
      <w:tr w:rsidR="009E6820" w:rsidRPr="00C14CEF" w14:paraId="2BA7339D" w14:textId="77777777" w:rsidTr="00BA6688">
        <w:tc>
          <w:tcPr>
            <w:tcW w:w="1936" w:type="dxa"/>
          </w:tcPr>
          <w:p w14:paraId="4CC05628" w14:textId="77777777" w:rsidR="009E6820" w:rsidRPr="00C14CEF" w:rsidRDefault="009E6820" w:rsidP="00143BB1">
            <w:pPr>
              <w:tabs>
                <w:tab w:val="left" w:pos="595"/>
              </w:tabs>
              <w:spacing w:before="0" w:line="240" w:lineRule="auto"/>
              <w:rPr>
                <w:lang w:eastAsia="cs-CZ"/>
              </w:rPr>
            </w:pPr>
            <w:r w:rsidRPr="00C14CEF">
              <w:rPr>
                <w:lang w:eastAsia="cs-CZ"/>
              </w:rPr>
              <w:t>DIČ:</w:t>
            </w:r>
          </w:p>
        </w:tc>
        <w:tc>
          <w:tcPr>
            <w:tcW w:w="7136" w:type="dxa"/>
          </w:tcPr>
          <w:p w14:paraId="09B6249C" w14:textId="77777777" w:rsidR="009E6820" w:rsidRPr="00E446BF" w:rsidRDefault="009E6820" w:rsidP="00143BB1">
            <w:pPr>
              <w:tabs>
                <w:tab w:val="left" w:pos="595"/>
              </w:tabs>
              <w:spacing w:before="0" w:line="240" w:lineRule="auto"/>
              <w:rPr>
                <w:rFonts w:cs="Calibri"/>
                <w:lang w:eastAsia="cs-CZ"/>
              </w:rPr>
            </w:pPr>
            <w:r w:rsidRPr="00E446BF">
              <w:rPr>
                <w:rFonts w:cs="Calibri"/>
                <w:lang w:eastAsia="cs-CZ"/>
              </w:rPr>
              <w:t>CZ</w:t>
            </w:r>
            <w:r w:rsidR="00FE2683">
              <w:rPr>
                <w:rFonts w:cs="Calibri"/>
                <w:lang w:eastAsia="cs-CZ"/>
              </w:rPr>
              <w:t>29109124</w:t>
            </w:r>
          </w:p>
        </w:tc>
      </w:tr>
      <w:tr w:rsidR="009E6820" w:rsidRPr="00C14CEF" w14:paraId="1F2669FC" w14:textId="77777777" w:rsidTr="00BA6688">
        <w:tc>
          <w:tcPr>
            <w:tcW w:w="9072" w:type="dxa"/>
            <w:gridSpan w:val="2"/>
          </w:tcPr>
          <w:p w14:paraId="4873D7B1" w14:textId="77777777" w:rsidR="009E6820" w:rsidRPr="00E446BF" w:rsidRDefault="009E6820" w:rsidP="00143BB1">
            <w:pPr>
              <w:tabs>
                <w:tab w:val="left" w:pos="595"/>
              </w:tabs>
              <w:spacing w:before="0" w:line="240" w:lineRule="auto"/>
              <w:rPr>
                <w:lang w:eastAsia="cs-CZ"/>
              </w:rPr>
            </w:pPr>
            <w:r w:rsidRPr="00E446BF">
              <w:t>zapsána v</w:t>
            </w:r>
            <w:r w:rsidR="00FE2683">
              <w:t> </w:t>
            </w:r>
            <w:r w:rsidRPr="00E446BF">
              <w:t>rejstříku</w:t>
            </w:r>
            <w:r w:rsidR="00FE2683">
              <w:t xml:space="preserve"> ústavů</w:t>
            </w:r>
            <w:r w:rsidRPr="00E446BF">
              <w:t xml:space="preserve"> vedeném Krajským soudem v Plzni, spisová značka </w:t>
            </w:r>
            <w:r w:rsidR="00FE2683">
              <w:t>U 78</w:t>
            </w:r>
          </w:p>
        </w:tc>
      </w:tr>
      <w:tr w:rsidR="009E6820" w:rsidRPr="00C14CEF" w14:paraId="72E9AB96" w14:textId="77777777" w:rsidTr="00BA6688">
        <w:tc>
          <w:tcPr>
            <w:tcW w:w="1936" w:type="dxa"/>
          </w:tcPr>
          <w:p w14:paraId="1FBCA35E" w14:textId="77777777" w:rsidR="009E6820" w:rsidRPr="00C14CEF" w:rsidRDefault="009E6820" w:rsidP="00143BB1">
            <w:pPr>
              <w:tabs>
                <w:tab w:val="left" w:pos="595"/>
              </w:tabs>
              <w:spacing w:before="0" w:line="240" w:lineRule="auto"/>
              <w:rPr>
                <w:lang w:eastAsia="cs-CZ"/>
              </w:rPr>
            </w:pPr>
            <w:r>
              <w:rPr>
                <w:lang w:eastAsia="cs-CZ"/>
              </w:rPr>
              <w:t>k</w:t>
            </w:r>
            <w:r w:rsidRPr="00C14CEF">
              <w:rPr>
                <w:lang w:eastAsia="cs-CZ"/>
              </w:rPr>
              <w:t>terou zastupuje:</w:t>
            </w:r>
          </w:p>
        </w:tc>
        <w:tc>
          <w:tcPr>
            <w:tcW w:w="7136" w:type="dxa"/>
          </w:tcPr>
          <w:p w14:paraId="22D4172E" w14:textId="046BF8F1" w:rsidR="009E6820" w:rsidRDefault="00A13159" w:rsidP="00143BB1">
            <w:pPr>
              <w:tabs>
                <w:tab w:val="left" w:pos="595"/>
              </w:tabs>
              <w:spacing w:before="0" w:line="240" w:lineRule="auto"/>
              <w:rPr>
                <w:lang w:eastAsia="cs-CZ"/>
              </w:rPr>
            </w:pPr>
            <w:proofErr w:type="spellStart"/>
            <w:r>
              <w:rPr>
                <w:lang w:eastAsia="cs-CZ"/>
              </w:rPr>
              <w:t>xxx</w:t>
            </w:r>
            <w:proofErr w:type="spellEnd"/>
          </w:p>
          <w:p w14:paraId="3D8A04DF" w14:textId="77777777" w:rsidR="00BA6688" w:rsidRPr="00E446BF" w:rsidRDefault="00BA6688" w:rsidP="00143BB1">
            <w:pPr>
              <w:tabs>
                <w:tab w:val="left" w:pos="595"/>
              </w:tabs>
              <w:spacing w:before="0" w:line="240" w:lineRule="auto"/>
              <w:rPr>
                <w:rFonts w:cs="Calibri"/>
                <w:lang w:eastAsia="cs-CZ"/>
              </w:rPr>
            </w:pPr>
          </w:p>
        </w:tc>
      </w:tr>
    </w:tbl>
    <w:p w14:paraId="09688BC3" w14:textId="77777777" w:rsidR="009E6820" w:rsidRPr="00BA6688" w:rsidRDefault="009E6820" w:rsidP="00EC3E5B">
      <w:pPr>
        <w:rPr>
          <w:iCs/>
        </w:rPr>
      </w:pPr>
      <w:r w:rsidRPr="00BA6688">
        <w:rPr>
          <w:iCs/>
        </w:rPr>
        <w:t>(dále j</w:t>
      </w:r>
      <w:r w:rsidR="00BA6688">
        <w:rPr>
          <w:iCs/>
        </w:rPr>
        <w:t>ako</w:t>
      </w:r>
      <w:r w:rsidRPr="00BA6688">
        <w:rPr>
          <w:iCs/>
        </w:rPr>
        <w:t xml:space="preserve"> </w:t>
      </w:r>
      <w:r w:rsidRPr="00BA6688">
        <w:rPr>
          <w:b/>
          <w:bCs/>
          <w:iCs/>
        </w:rPr>
        <w:t>„</w:t>
      </w:r>
      <w:r w:rsidR="003969AF" w:rsidRPr="00BA6688">
        <w:rPr>
          <w:b/>
          <w:bCs/>
          <w:iCs/>
        </w:rPr>
        <w:t>Plzeň 2015</w:t>
      </w:r>
      <w:r w:rsidRPr="00BA6688">
        <w:rPr>
          <w:b/>
          <w:bCs/>
          <w:iCs/>
        </w:rPr>
        <w:t>“</w:t>
      </w:r>
      <w:r w:rsidRPr="00BA6688">
        <w:rPr>
          <w:iCs/>
        </w:rPr>
        <w:t>)</w:t>
      </w:r>
    </w:p>
    <w:p w14:paraId="0AC66B78" w14:textId="77777777" w:rsidR="009E6820" w:rsidRDefault="009E6820" w:rsidP="00C14CEF">
      <w:pPr>
        <w:rPr>
          <w:b/>
        </w:rPr>
      </w:pPr>
    </w:p>
    <w:p w14:paraId="791593D6" w14:textId="77777777" w:rsidR="009E6820" w:rsidRPr="00AE5A39" w:rsidRDefault="009E6820" w:rsidP="00C14CEF">
      <w:pPr>
        <w:jc w:val="center"/>
      </w:pPr>
      <w:r w:rsidRPr="00AE5A39">
        <w:t>uzavřel</w:t>
      </w:r>
      <w:r>
        <w:t>y</w:t>
      </w:r>
      <w:r w:rsidRPr="00AE5A39">
        <w:t xml:space="preserve"> tuto</w:t>
      </w:r>
    </w:p>
    <w:p w14:paraId="4BD57041" w14:textId="77777777" w:rsidR="009E6820" w:rsidRPr="00AE5A39" w:rsidRDefault="009E6820" w:rsidP="00C14CEF">
      <w:pPr>
        <w:jc w:val="center"/>
        <w:rPr>
          <w:b/>
        </w:rPr>
      </w:pPr>
      <w:r w:rsidRPr="00AE5A39">
        <w:rPr>
          <w:b/>
        </w:rPr>
        <w:t xml:space="preserve">smlouvu o partnerské spolupráci (dále jen </w:t>
      </w:r>
      <w:r>
        <w:rPr>
          <w:b/>
        </w:rPr>
        <w:t>„</w:t>
      </w:r>
      <w:r w:rsidRPr="00AE5A39">
        <w:rPr>
          <w:b/>
        </w:rPr>
        <w:t>smlouva</w:t>
      </w:r>
      <w:r>
        <w:rPr>
          <w:b/>
        </w:rPr>
        <w:t>“</w:t>
      </w:r>
      <w:r w:rsidRPr="00AE5A39">
        <w:rPr>
          <w:b/>
        </w:rPr>
        <w:t>)</w:t>
      </w:r>
    </w:p>
    <w:p w14:paraId="56403CA9" w14:textId="77777777" w:rsidR="009E6820" w:rsidRPr="00BA6688" w:rsidRDefault="009E6820" w:rsidP="00C005F3">
      <w:pPr>
        <w:pStyle w:val="Nadpis1"/>
        <w:rPr>
          <w:sz w:val="24"/>
          <w:szCs w:val="24"/>
        </w:rPr>
      </w:pPr>
      <w:r w:rsidRPr="00BA6688">
        <w:rPr>
          <w:sz w:val="24"/>
          <w:szCs w:val="24"/>
        </w:rPr>
        <w:t>Všeobecná ustanovení</w:t>
      </w:r>
    </w:p>
    <w:p w14:paraId="7964116F" w14:textId="77777777" w:rsidR="009E6820" w:rsidRDefault="003969AF" w:rsidP="002B3CF1">
      <w:pPr>
        <w:pStyle w:val="Nadpis2"/>
      </w:pPr>
      <w:r>
        <w:t>Plzeň 2015 je provozovatelem kreativní zóny DEPO2015 v</w:t>
      </w:r>
      <w:r w:rsidR="00BF5908">
        <w:t> </w:t>
      </w:r>
      <w:r>
        <w:t>Plzni</w:t>
      </w:r>
      <w:r w:rsidR="00BF5908">
        <w:t xml:space="preserve"> (dále jako „DEPO2015“)</w:t>
      </w:r>
      <w:r>
        <w:t xml:space="preserve">, </w:t>
      </w:r>
      <w:r w:rsidR="00143BB1">
        <w:t>který v rámci své činnosti realizuje rozličné kulturní projekty</w:t>
      </w:r>
      <w:r w:rsidR="00966667">
        <w:t xml:space="preserve"> (dále jako </w:t>
      </w:r>
      <w:r w:rsidR="00BF5908">
        <w:t>„Projekty“</w:t>
      </w:r>
      <w:r w:rsidR="00966667">
        <w:t>)</w:t>
      </w:r>
      <w:r w:rsidR="00143BB1">
        <w:t>.</w:t>
      </w:r>
    </w:p>
    <w:p w14:paraId="0EFDBAB3" w14:textId="77777777" w:rsidR="009E6820" w:rsidRDefault="009E6820" w:rsidP="002B3CF1">
      <w:pPr>
        <w:pStyle w:val="Nadpis2"/>
      </w:pPr>
      <w:r>
        <w:t xml:space="preserve">ZČU je veřejnou vysokou školou, </w:t>
      </w:r>
      <w:r w:rsidR="00143BB1">
        <w:t>jejíž</w:t>
      </w:r>
      <w:r w:rsidR="003969AF">
        <w:t xml:space="preserve"> </w:t>
      </w:r>
      <w:r w:rsidR="00143BB1">
        <w:t>s</w:t>
      </w:r>
      <w:r w:rsidR="003969AF">
        <w:t xml:space="preserve">oučástí je Fakulta designu a umění Ladislava </w:t>
      </w:r>
      <w:proofErr w:type="spellStart"/>
      <w:r w:rsidR="003969AF">
        <w:t>Sutnara</w:t>
      </w:r>
      <w:proofErr w:type="spellEnd"/>
      <w:r w:rsidR="00143BB1">
        <w:t xml:space="preserve"> (dále jako „Fakulta“</w:t>
      </w:r>
      <w:r w:rsidR="00FD20EE">
        <w:t xml:space="preserve"> či „FDU“</w:t>
      </w:r>
      <w:r w:rsidR="00143BB1">
        <w:t>).</w:t>
      </w:r>
    </w:p>
    <w:p w14:paraId="36F023BE" w14:textId="77777777" w:rsidR="009E6820" w:rsidRPr="00BA6688" w:rsidRDefault="009E6820" w:rsidP="00AE2917">
      <w:pPr>
        <w:pStyle w:val="Nadpis1"/>
        <w:rPr>
          <w:sz w:val="24"/>
          <w:szCs w:val="24"/>
        </w:rPr>
      </w:pPr>
      <w:r w:rsidRPr="00BA6688">
        <w:rPr>
          <w:sz w:val="24"/>
          <w:szCs w:val="24"/>
        </w:rPr>
        <w:t>Předmět a účel smlouvy</w:t>
      </w:r>
    </w:p>
    <w:p w14:paraId="35980B23" w14:textId="77777777" w:rsidR="009E6820" w:rsidRDefault="009E6820" w:rsidP="007B1ACB">
      <w:pPr>
        <w:pStyle w:val="Nadpis2"/>
      </w:pPr>
      <w:r>
        <w:t>Předmětem této smlouvy je vzájemná partnerská spolupráce smluvních stran za dále stanovených podmínek, jejímž účelem je:</w:t>
      </w:r>
    </w:p>
    <w:p w14:paraId="24F012C3" w14:textId="77777777" w:rsidR="00F9797B" w:rsidRDefault="00F9797B" w:rsidP="00F9797B">
      <w:pPr>
        <w:pStyle w:val="Nadpis3"/>
      </w:pPr>
      <w:r>
        <w:t>podpořit postavení ZČU a Fakulty jakožto vzdělávací instituce kladoucí důraz na praktickou přípravu svých studentů jejich zapojováním do reálných projektů a tím přispět k obohacení volného trhu o kvalitní, prakticky připravené absolventy;</w:t>
      </w:r>
    </w:p>
    <w:p w14:paraId="290C7C89" w14:textId="77777777" w:rsidR="00A8452F" w:rsidRDefault="00A8452F" w:rsidP="00A8452F">
      <w:pPr>
        <w:pStyle w:val="Nadpis3"/>
      </w:pPr>
      <w:r>
        <w:t>podpořit činnost Plzně 2015 aktivním zapojením studentů Fakulty do realizace Projektů</w:t>
      </w:r>
      <w:r w:rsidR="00F9797B">
        <w:t xml:space="preserve"> a dále </w:t>
      </w:r>
      <w:r>
        <w:t>umožnění</w:t>
      </w:r>
      <w:r w:rsidR="00F9797B">
        <w:t>m</w:t>
      </w:r>
      <w:r>
        <w:t xml:space="preserve"> zvýhodněného přístupu a využití vybavení ZČU pro účely jednotlivých Projektů a společně </w:t>
      </w:r>
      <w:r w:rsidR="00F9797B">
        <w:t xml:space="preserve">tím </w:t>
      </w:r>
      <w:r w:rsidR="0025246E">
        <w:t>inkubovat studentské projekty,</w:t>
      </w:r>
      <w:r>
        <w:t xml:space="preserve"> jakožto jedno z dílčích poslání Plzně 2015.</w:t>
      </w:r>
    </w:p>
    <w:p w14:paraId="5F12685D" w14:textId="1B7836A4" w:rsidR="00BF5908" w:rsidRPr="0025246E" w:rsidRDefault="00BF5908" w:rsidP="005C562F">
      <w:pPr>
        <w:pStyle w:val="Nadpis3"/>
      </w:pPr>
      <w:r w:rsidRPr="0025246E">
        <w:t>podpořit vlastní iniciativu studentů Fakulty</w:t>
      </w:r>
      <w:r w:rsidR="006F01D3" w:rsidRPr="0025246E">
        <w:t xml:space="preserve"> a šířeji kulturních aktivit ZČU (zejm. jednorázové akce typu předávání cen a ocenění, přehlídky, výstavy)</w:t>
      </w:r>
      <w:r w:rsidRPr="0025246E">
        <w:t xml:space="preserve"> možností zvýhodněného přístupu a využití prostor a vybavení DEPO2015 pro </w:t>
      </w:r>
      <w:r w:rsidR="006F01D3" w:rsidRPr="0025246E">
        <w:t>akce uvedeného typu</w:t>
      </w:r>
      <w:r w:rsidR="00084CA7" w:rsidRPr="0025246E">
        <w:t xml:space="preserve"> </w:t>
      </w:r>
      <w:r w:rsidRPr="0025246E">
        <w:t xml:space="preserve">pořádané pod hlavičkou </w:t>
      </w:r>
      <w:proofErr w:type="gramStart"/>
      <w:r w:rsidRPr="0025246E">
        <w:t>ZČU</w:t>
      </w:r>
      <w:r w:rsidR="00227958">
        <w:t xml:space="preserve">, </w:t>
      </w:r>
      <w:r w:rsidR="00F9797B" w:rsidRPr="0025246E">
        <w:t xml:space="preserve"> Fakulty</w:t>
      </w:r>
      <w:proofErr w:type="gramEnd"/>
      <w:r w:rsidR="00227958">
        <w:t xml:space="preserve"> či Plzně 2015.</w:t>
      </w:r>
    </w:p>
    <w:p w14:paraId="603A9465" w14:textId="77777777" w:rsidR="00966667" w:rsidRDefault="00966667" w:rsidP="005C562F">
      <w:pPr>
        <w:pStyle w:val="Nadpis3"/>
      </w:pPr>
      <w:r>
        <w:lastRenderedPageBreak/>
        <w:t>vzájemná propagace značek DEPO2015 a Fakulty v regionu, mimo region i za hranice</w:t>
      </w:r>
      <w:r w:rsidR="001D4E69">
        <w:t>mi</w:t>
      </w:r>
      <w:r>
        <w:t xml:space="preserve"> ČR.</w:t>
      </w:r>
    </w:p>
    <w:p w14:paraId="425BD403" w14:textId="77777777" w:rsidR="009E6820" w:rsidRPr="00BA6688" w:rsidRDefault="009E6820" w:rsidP="007B1ACB">
      <w:pPr>
        <w:pStyle w:val="Nadpis1"/>
        <w:rPr>
          <w:sz w:val="24"/>
          <w:szCs w:val="24"/>
        </w:rPr>
      </w:pPr>
      <w:r w:rsidRPr="00BA6688">
        <w:rPr>
          <w:sz w:val="24"/>
          <w:szCs w:val="24"/>
        </w:rPr>
        <w:t>Spolupráce smluvních stran</w:t>
      </w:r>
    </w:p>
    <w:p w14:paraId="57E15174" w14:textId="6DD502CC" w:rsidR="009E6820" w:rsidRDefault="009E6820" w:rsidP="00BF5908">
      <w:pPr>
        <w:pStyle w:val="Nadpis2"/>
      </w:pPr>
      <w:r>
        <w:t xml:space="preserve">ZČU </w:t>
      </w:r>
      <w:r w:rsidR="00966667">
        <w:t xml:space="preserve">se zavazuje systematicky a aktivně zapojovat studenty Fakulty do </w:t>
      </w:r>
      <w:r w:rsidR="00A8452F">
        <w:t>realizace P</w:t>
      </w:r>
      <w:r w:rsidR="00966667">
        <w:t>rojektů zaměřených zejm., nikoliv výlučně, na</w:t>
      </w:r>
      <w:r w:rsidR="00BF5908">
        <w:t xml:space="preserve"> </w:t>
      </w:r>
      <w:r w:rsidR="00A8452F">
        <w:t>p</w:t>
      </w:r>
      <w:r w:rsidR="001D4E69">
        <w:t>r</w:t>
      </w:r>
      <w:r w:rsidR="00A8452F">
        <w:t>áci</w:t>
      </w:r>
      <w:r w:rsidR="00BF5908">
        <w:t xml:space="preserve"> s </w:t>
      </w:r>
      <w:r w:rsidR="00966667">
        <w:t>audiovizuální</w:t>
      </w:r>
      <w:r w:rsidR="00BF5908">
        <w:t>m obsahem (</w:t>
      </w:r>
      <w:r w:rsidR="00966667">
        <w:t xml:space="preserve">festivaly světla a umění ve veřejném </w:t>
      </w:r>
      <w:proofErr w:type="gramStart"/>
      <w:r w:rsidR="00966667">
        <w:t>prostoru</w:t>
      </w:r>
      <w:r w:rsidR="00BF5908">
        <w:t>,</w:t>
      </w:r>
      <w:proofErr w:type="gramEnd"/>
      <w:r w:rsidR="00BF5908">
        <w:t xml:space="preserve"> apod.)</w:t>
      </w:r>
      <w:r w:rsidR="00966667">
        <w:t>, interaktivní expozice,</w:t>
      </w:r>
      <w:r w:rsidR="00BF5908">
        <w:t xml:space="preserve"> </w:t>
      </w:r>
      <w:r w:rsidR="00227958">
        <w:t xml:space="preserve">výstavy </w:t>
      </w:r>
      <w:r w:rsidR="001D4E69">
        <w:t xml:space="preserve">s </w:t>
      </w:r>
      <w:r w:rsidR="00A8452F">
        <w:t>téma</w:t>
      </w:r>
      <w:r w:rsidR="001D4E69">
        <w:t>ty</w:t>
      </w:r>
      <w:r w:rsidR="00A8452F">
        <w:t xml:space="preserve"> </w:t>
      </w:r>
      <w:r w:rsidR="00BF5908">
        <w:t>soch</w:t>
      </w:r>
      <w:r w:rsidR="005563BE">
        <w:t>a</w:t>
      </w:r>
      <w:r w:rsidR="00BF5908">
        <w:t xml:space="preserve">, </w:t>
      </w:r>
      <w:r w:rsidR="0013223D">
        <w:t xml:space="preserve">herní vývojářství, </w:t>
      </w:r>
      <w:r w:rsidR="00BF5908">
        <w:t xml:space="preserve">ilustrace či </w:t>
      </w:r>
      <w:r w:rsidR="001D4E69">
        <w:t>design v nejširším slova smyslu</w:t>
      </w:r>
      <w:r w:rsidR="00BF5908">
        <w:t>.</w:t>
      </w:r>
      <w:r w:rsidR="00966667">
        <w:t xml:space="preserve">  </w:t>
      </w:r>
    </w:p>
    <w:p w14:paraId="79FEAB39" w14:textId="77777777" w:rsidR="00BF5908" w:rsidRPr="0025246E" w:rsidRDefault="00BF5908" w:rsidP="007B1ACB">
      <w:pPr>
        <w:pStyle w:val="Nadpis2"/>
      </w:pPr>
      <w:r>
        <w:t xml:space="preserve">ZČU se dále </w:t>
      </w:r>
      <w:r w:rsidRPr="0025246E">
        <w:t xml:space="preserve">zavazuje poskytovat </w:t>
      </w:r>
      <w:r w:rsidR="001D4E69" w:rsidRPr="0025246E">
        <w:t>své technické, materiálové a další vybavení potřebné pro realizaci Projektů za zvýhodněných podmínek tak, jak je uvedeno v čl. 4 smlouvy.</w:t>
      </w:r>
    </w:p>
    <w:p w14:paraId="39FBB2FA" w14:textId="77777777" w:rsidR="001D4E69" w:rsidRPr="004D60FA" w:rsidRDefault="001D4E69" w:rsidP="007B1ACB">
      <w:pPr>
        <w:pStyle w:val="Nadpis2"/>
      </w:pPr>
      <w:r w:rsidRPr="004D60FA">
        <w:t xml:space="preserve">Plzeň 2015 se zavazuje v maximální možné míře umožnit aktivní zapojení studentů Fakulty do Projektů dle </w:t>
      </w:r>
      <w:r w:rsidR="003617FC">
        <w:t xml:space="preserve">odst. </w:t>
      </w:r>
      <w:r w:rsidRPr="004D60FA">
        <w:t xml:space="preserve">3.1. a poskytovat </w:t>
      </w:r>
      <w:r w:rsidR="007E5033" w:rsidRPr="004D60FA">
        <w:t xml:space="preserve">jim v průběhu realizace Projektů </w:t>
      </w:r>
      <w:r w:rsidRPr="004D60FA">
        <w:t>potřebné odborné vedení a supervizi prostřednictvím svých pracovníků</w:t>
      </w:r>
      <w:r w:rsidR="007E5033" w:rsidRPr="004D60FA">
        <w:t xml:space="preserve"> a externích spolupracovníků.</w:t>
      </w:r>
    </w:p>
    <w:p w14:paraId="080DF1AC" w14:textId="77777777" w:rsidR="007E5033" w:rsidRPr="004D60FA" w:rsidRDefault="007E5033" w:rsidP="007B1ACB">
      <w:pPr>
        <w:pStyle w:val="Nadpis2"/>
      </w:pPr>
      <w:r w:rsidRPr="004D60FA">
        <w:t>Plzeň 2015 se dále zavazuje poskytovat prostory</w:t>
      </w:r>
      <w:r w:rsidR="00D56365">
        <w:t xml:space="preserve"> a vybavení</w:t>
      </w:r>
      <w:r w:rsidRPr="004D60FA">
        <w:t xml:space="preserve"> DEPO2015 potřebné pro realizaci vlastních aktivit studentů a akcí ZČU či Fakulty dle </w:t>
      </w:r>
      <w:r w:rsidR="003617FC">
        <w:t xml:space="preserve">odst. </w:t>
      </w:r>
      <w:r w:rsidRPr="004D60FA">
        <w:t xml:space="preserve">2.1.3 za zvýhodněných podmínek tak, jak je uvedeno v čl. 4 smlouvy. </w:t>
      </w:r>
    </w:p>
    <w:p w14:paraId="19FD0697" w14:textId="77777777" w:rsidR="001D4E69" w:rsidRPr="004D60FA" w:rsidRDefault="0025246E" w:rsidP="007B1ACB">
      <w:pPr>
        <w:pStyle w:val="Nadpis2"/>
      </w:pPr>
      <w:r w:rsidRPr="004D60FA">
        <w:t>ZČU i Plzeň 2015 se zavazují vynaložit úsilí v oblasti vzájemné propagace, minimálně komunikací logo či jiných prvků dle vzájemné dohody na konkrétním projektu.</w:t>
      </w:r>
    </w:p>
    <w:p w14:paraId="1AF27DB0" w14:textId="6DBBF188" w:rsidR="007E5033" w:rsidRPr="00010A3E" w:rsidRDefault="007E5033" w:rsidP="00E75F3B">
      <w:pPr>
        <w:pStyle w:val="Nadpis2"/>
      </w:pPr>
      <w:r w:rsidRPr="004D60FA">
        <w:t>Podpora ve smyslu odst. 3.2 a 3.4 bude poskytována na základě samostatných</w:t>
      </w:r>
      <w:r w:rsidRPr="00010A3E">
        <w:t xml:space="preserve"> konkretizujících objednávek</w:t>
      </w:r>
      <w:r w:rsidR="003C4341">
        <w:t xml:space="preserve"> či</w:t>
      </w:r>
      <w:r w:rsidRPr="00010A3E">
        <w:t xml:space="preserve"> smluv, jejichž přílohou bude cenová </w:t>
      </w:r>
      <w:r w:rsidR="00010A3E" w:rsidRPr="00010A3E">
        <w:t>kalkulace, z níž</w:t>
      </w:r>
      <w:r w:rsidRPr="00010A3E">
        <w:t xml:space="preserve"> bude vyplývat naplnění podmínek stanovených v čl. 4, o</w:t>
      </w:r>
      <w:r w:rsidR="00B05328">
        <w:t>d</w:t>
      </w:r>
      <w:r w:rsidRPr="00010A3E">
        <w:t xml:space="preserve">st. 4.2 </w:t>
      </w:r>
      <w:r w:rsidR="00B05328">
        <w:t xml:space="preserve">a odst. 4.3 </w:t>
      </w:r>
      <w:r w:rsidRPr="00010A3E">
        <w:t>smlouvy.</w:t>
      </w:r>
    </w:p>
    <w:p w14:paraId="63CC9091" w14:textId="77777777" w:rsidR="00E75F3B" w:rsidRPr="00010A3E" w:rsidRDefault="00E75F3B" w:rsidP="00E75F3B">
      <w:pPr>
        <w:pStyle w:val="Nadpis2"/>
      </w:pPr>
      <w:r w:rsidRPr="00010A3E">
        <w:t>Práva duševního vlastnictví ke společným výsledkům budou řešena samostatnou smlouvou, kterou se strany zavazují bez zbytečného odkladu uzavřít a jsou připraveny</w:t>
      </w:r>
      <w:r w:rsidR="007E5033" w:rsidRPr="00010A3E">
        <w:t xml:space="preserve"> si vzájemně</w:t>
      </w:r>
      <w:r w:rsidRPr="00010A3E">
        <w:t xml:space="preserve"> </w:t>
      </w:r>
      <w:r w:rsidR="007E5033" w:rsidRPr="00010A3E">
        <w:t>poskytnout</w:t>
      </w:r>
      <w:r w:rsidRPr="00010A3E">
        <w:t xml:space="preserve"> odpovídající součinnost s její přípravou.</w:t>
      </w:r>
    </w:p>
    <w:p w14:paraId="39D2FD64" w14:textId="77777777" w:rsidR="009E6820" w:rsidRPr="00010A3E" w:rsidRDefault="009E6820" w:rsidP="007B1ACB">
      <w:pPr>
        <w:pStyle w:val="Nadpis1"/>
        <w:rPr>
          <w:sz w:val="24"/>
          <w:szCs w:val="24"/>
        </w:rPr>
      </w:pPr>
      <w:r w:rsidRPr="00010A3E">
        <w:rPr>
          <w:sz w:val="24"/>
          <w:szCs w:val="24"/>
        </w:rPr>
        <w:t>Finanční plnění</w:t>
      </w:r>
    </w:p>
    <w:p w14:paraId="6E4FC2B0" w14:textId="21C058A9" w:rsidR="009E6820" w:rsidRDefault="008D3F04" w:rsidP="00974968">
      <w:pPr>
        <w:pStyle w:val="Nadpis2"/>
      </w:pPr>
      <w:r>
        <w:t xml:space="preserve">Tato Smlouva stanovuje pouze obecné podmínky </w:t>
      </w:r>
      <w:r w:rsidR="00C76DBC">
        <w:t xml:space="preserve">a principy vzájemné podpory, když </w:t>
      </w:r>
      <w:r>
        <w:t>konkrétní finanční podmínky budu vždy stanoveny v</w:t>
      </w:r>
      <w:r w:rsidR="00C76DBC">
        <w:t xml:space="preserve"> příslušných </w:t>
      </w:r>
      <w:r w:rsidR="00BB1AD1">
        <w:t xml:space="preserve">jednotlivých </w:t>
      </w:r>
      <w:r w:rsidR="00C76DBC">
        <w:t>objednávkách</w:t>
      </w:r>
      <w:r w:rsidR="007310DE">
        <w:t xml:space="preserve"> či</w:t>
      </w:r>
      <w:r w:rsidR="00C76DBC">
        <w:t xml:space="preserve"> </w:t>
      </w:r>
      <w:proofErr w:type="gramStart"/>
      <w:r w:rsidR="00C76DBC">
        <w:t>smlouvách  ve</w:t>
      </w:r>
      <w:proofErr w:type="gramEnd"/>
      <w:r w:rsidR="00C76DBC">
        <w:t xml:space="preserve"> smyslu odst. 3.6</w:t>
      </w:r>
      <w:r>
        <w:t>.</w:t>
      </w:r>
    </w:p>
    <w:p w14:paraId="04ECC038" w14:textId="4A5A6F15" w:rsidR="003D2D55" w:rsidRDefault="003D2D55" w:rsidP="003D2D55">
      <w:pPr>
        <w:pStyle w:val="Nadpis2"/>
      </w:pPr>
      <w:r>
        <w:t xml:space="preserve">ZČU bude Plzni 2015 poskytovat partnerskou podporu dle čl. 3, odst. 3.2, dle charakteru podpořeného Projektu bezúplatně (formou výpůjčky) či úplatně (formou pronájmu) za nákladovou cenu, přičemž nákladovou cenou se pro </w:t>
      </w:r>
      <w:r w:rsidR="002D023F">
        <w:t xml:space="preserve">tyto účely </w:t>
      </w:r>
      <w:r>
        <w:t>rozumí nutně vynaložené prostředky, které není ZČU schopna pokrýt z interních zdrojů (práce či materiál). V případě vybavení, které ze své podstaty vyžaduje tvorbu fondu na údržbu z hlediska opotřebení (př. projektor apod.), použije se pro výpočet zvýhodněné ceny koeficient 0,3</w:t>
      </w:r>
      <w:r w:rsidR="00010A3E">
        <w:t xml:space="preserve"> (tj.</w:t>
      </w:r>
      <w:r w:rsidR="00DC0516">
        <w:t xml:space="preserve"> </w:t>
      </w:r>
      <w:r w:rsidR="00010A3E">
        <w:t xml:space="preserve">slevu </w:t>
      </w:r>
      <w:proofErr w:type="gramStart"/>
      <w:r w:rsidR="00010A3E">
        <w:t>70</w:t>
      </w:r>
      <w:r w:rsidR="00010A3E" w:rsidRPr="00010A3E">
        <w:t>%</w:t>
      </w:r>
      <w:proofErr w:type="gramEnd"/>
      <w:r w:rsidR="00010A3E">
        <w:t>)</w:t>
      </w:r>
      <w:r>
        <w:t xml:space="preserve"> z</w:t>
      </w:r>
      <w:r w:rsidR="00FD20EE">
        <w:t xml:space="preserve"> aktuálního </w:t>
      </w:r>
      <w:r>
        <w:t xml:space="preserve">běžného ceníku </w:t>
      </w:r>
      <w:r w:rsidR="00FD20EE">
        <w:t>FDU</w:t>
      </w:r>
      <w:r w:rsidR="007310DE">
        <w:t>, který si vzájemně předají kontaktní osoby</w:t>
      </w:r>
      <w:r>
        <w:t xml:space="preserve">.   </w:t>
      </w:r>
    </w:p>
    <w:p w14:paraId="0996D593" w14:textId="66522028" w:rsidR="00C76DBC" w:rsidRDefault="003D2D55" w:rsidP="003D2D55">
      <w:pPr>
        <w:pStyle w:val="Nadpis2"/>
      </w:pPr>
      <w:r>
        <w:t xml:space="preserve">Plzeň 2015 </w:t>
      </w:r>
      <w:r w:rsidR="00380A6E">
        <w:t>bude ZČU poskytovat partnerskou podporu dle čl. 3, odst. 3.4</w:t>
      </w:r>
      <w:r w:rsidR="006F01D3">
        <w:t xml:space="preserve">, dle charakteru </w:t>
      </w:r>
      <w:r w:rsidR="006F01D3" w:rsidRPr="004D60FA">
        <w:t xml:space="preserve">podpořené aktivity bezúplatně (formou výpůjčky) či úplatně (formou pronájmu) </w:t>
      </w:r>
      <w:r w:rsidR="002D023F" w:rsidRPr="004D60FA">
        <w:t xml:space="preserve">za nákladovou cenu, přičemž nákladovou cenou se pro tyto účely rozumí nutně vynaložené prostředky, které není </w:t>
      </w:r>
      <w:r w:rsidR="00010A3E" w:rsidRPr="004D60FA">
        <w:t>Plzeň 2015</w:t>
      </w:r>
      <w:r w:rsidR="002D023F" w:rsidRPr="004D60FA">
        <w:t xml:space="preserve"> schopna pokrýt z interních zdrojů (práce a materiál). V případě vybavení, které ze své podstaty vyžaduje tvorbu fondu na údržbu z hlediska opotřebení (př. projektor apod.), použije se pro výpočet</w:t>
      </w:r>
      <w:r w:rsidR="002D023F">
        <w:t xml:space="preserve"> zvýhodněné ceny koeficient 0,3</w:t>
      </w:r>
      <w:r w:rsidR="00A72626">
        <w:t xml:space="preserve"> (tj.</w:t>
      </w:r>
      <w:r w:rsidR="00382669">
        <w:t xml:space="preserve"> </w:t>
      </w:r>
      <w:r w:rsidR="00A72626">
        <w:t xml:space="preserve">slevu </w:t>
      </w:r>
      <w:proofErr w:type="gramStart"/>
      <w:r w:rsidR="00A72626">
        <w:t>70</w:t>
      </w:r>
      <w:r w:rsidR="00A72626" w:rsidRPr="00010A3E">
        <w:t>%</w:t>
      </w:r>
      <w:proofErr w:type="gramEnd"/>
      <w:r w:rsidR="00A72626">
        <w:t>)</w:t>
      </w:r>
      <w:r w:rsidR="002D023F">
        <w:t xml:space="preserve"> z</w:t>
      </w:r>
      <w:r w:rsidR="00FD20EE">
        <w:t xml:space="preserve"> aktuálního </w:t>
      </w:r>
      <w:r w:rsidR="002D023F">
        <w:t xml:space="preserve">běžného ceníku </w:t>
      </w:r>
      <w:r w:rsidR="00FE24B0">
        <w:t>Plzně 2015</w:t>
      </w:r>
      <w:r w:rsidR="007310DE">
        <w:t>, který si vzájemně předají kontaktní osoby</w:t>
      </w:r>
      <w:r w:rsidR="002D023F">
        <w:t xml:space="preserve">.   </w:t>
      </w:r>
    </w:p>
    <w:p w14:paraId="6E07A209" w14:textId="77777777" w:rsidR="009E6820" w:rsidRPr="00BA6688" w:rsidRDefault="009E6820" w:rsidP="00B665AA">
      <w:pPr>
        <w:pStyle w:val="Nadpis1"/>
        <w:rPr>
          <w:sz w:val="24"/>
          <w:szCs w:val="24"/>
        </w:rPr>
      </w:pPr>
      <w:r w:rsidRPr="00BA6688">
        <w:rPr>
          <w:sz w:val="24"/>
          <w:szCs w:val="24"/>
        </w:rPr>
        <w:t>Dohoda o mlčenlivosti</w:t>
      </w:r>
    </w:p>
    <w:p w14:paraId="35E01CB2" w14:textId="2DE490B9" w:rsidR="009E6820" w:rsidRDefault="009E6820" w:rsidP="00EF2C94">
      <w:pPr>
        <w:pStyle w:val="Nadpis2"/>
      </w:pPr>
      <w:r>
        <w:t xml:space="preserve">Smluvní strany považují obsah této smlouvy za důvěrný a zavazují se zachovávat mlčenlivost o jakémkoli ustanovení této smlouvy, pokud mezi nimi nedojde k dohodě jiné. Za důvěrné jsou dále považovány i veškeré další informace, o kterých se jedna ze smluvních stran dozví v </w:t>
      </w:r>
      <w:r>
        <w:lastRenderedPageBreak/>
        <w:t xml:space="preserve">souvislosti s touto smlouvou a které budou za důvěrné označeny druhou smluvní stranou. Strany souhlasí, že důvěrné informace nesmí být </w:t>
      </w:r>
      <w:r w:rsidR="006E6456">
        <w:t>(a to</w:t>
      </w:r>
      <w:r w:rsidR="00220BCC">
        <w:t xml:space="preserve"> </w:t>
      </w:r>
      <w:proofErr w:type="gramStart"/>
      <w:r w:rsidR="00220BCC">
        <w:t>ani</w:t>
      </w:r>
      <w:r w:rsidR="006E6456">
        <w:t xml:space="preserve"> </w:t>
      </w:r>
      <w:r>
        <w:t xml:space="preserve"> po</w:t>
      </w:r>
      <w:proofErr w:type="gramEnd"/>
      <w:r>
        <w:t xml:space="preserve"> skončení účinnosti této smlouvy</w:t>
      </w:r>
      <w:r w:rsidR="006E6456">
        <w:t>)</w:t>
      </w:r>
      <w:r>
        <w:t xml:space="preserve"> sděleny třetí osobě s výjimkou </w:t>
      </w:r>
    </w:p>
    <w:p w14:paraId="71B9A204" w14:textId="77777777" w:rsidR="009E6820" w:rsidRDefault="009E6820" w:rsidP="00EF2C94">
      <w:pPr>
        <w:pStyle w:val="Nadpis3"/>
      </w:pPr>
      <w:r>
        <w:t xml:space="preserve">předchozího písemného souhlasu druhé (nesdělující) strany nebo </w:t>
      </w:r>
    </w:p>
    <w:p w14:paraId="79896CFC" w14:textId="77777777" w:rsidR="00682B24" w:rsidRDefault="009E6820" w:rsidP="00D501D6">
      <w:pPr>
        <w:pStyle w:val="Nadpis3"/>
      </w:pPr>
      <w:r>
        <w:t>řádného plnění povinností vyplývajících z obecně závazných právních předpisů, rozhodnutí soudů, rozhodčích orgánů nebo orgánů státní správy</w:t>
      </w:r>
      <w:r w:rsidR="00682B24">
        <w:t>,</w:t>
      </w:r>
    </w:p>
    <w:p w14:paraId="2826F15D" w14:textId="77777777" w:rsidR="00BC60C4" w:rsidRDefault="00BC60C4" w:rsidP="00D501D6">
      <w:pPr>
        <w:pStyle w:val="Nadpis3"/>
      </w:pPr>
      <w:r>
        <w:t>informací, které jsou v okamžiku jejich sdělení druhé (přijímající) smluvní straně veřejně známé nebo se poté stanou veřejně známé bez jejího zavinění,</w:t>
      </w:r>
    </w:p>
    <w:p w14:paraId="79065353" w14:textId="3490D855" w:rsidR="007160D0" w:rsidRDefault="00BC60C4" w:rsidP="00D501D6">
      <w:pPr>
        <w:pStyle w:val="Nadpis3"/>
      </w:pPr>
      <w:r>
        <w:t>informací, které byly druhé (přijímající) straně známé již před jejich sdělením nebo se jedná o informaci, které byly této straně sděleny třetí osobou, bez toho, že by byla touto třetí osobou zavázána k mlčenlivosti, nebo</w:t>
      </w:r>
    </w:p>
    <w:p w14:paraId="02B78F7E" w14:textId="77777777" w:rsidR="00BC60C4" w:rsidRDefault="00BC60C4" w:rsidP="00220BCC">
      <w:pPr>
        <w:pStyle w:val="Nadpis3"/>
      </w:pPr>
      <w:r>
        <w:t>informace, které byly nebo budou vyvinuty druhou (přijímající) stranou nezávisle na sdělení informace.</w:t>
      </w:r>
    </w:p>
    <w:p w14:paraId="57087D75" w14:textId="77777777" w:rsidR="00220BCC" w:rsidRPr="00220BCC" w:rsidRDefault="00220BCC" w:rsidP="00220BCC">
      <w:pPr>
        <w:pStyle w:val="Nadpis2"/>
      </w:pPr>
      <w:r w:rsidRPr="00220BCC">
        <w:t>Poskytnuté informace zůstávají po celou dobu ve vlastnictví poskytující strany</w:t>
      </w:r>
      <w:r>
        <w:t xml:space="preserve">. </w:t>
      </w:r>
      <w:r w:rsidRPr="00220BCC">
        <w:t xml:space="preserve">Přijímající strana je povinna na vyžádání poskytující strany okamžitě vrátit veškeré písemné nebo jiným způsobem zaznamenané informace (včetně vytvořených kopií), které od ní obdržela. </w:t>
      </w:r>
    </w:p>
    <w:p w14:paraId="7BC1E38B" w14:textId="77777777" w:rsidR="00220BCC" w:rsidRPr="00220BCC" w:rsidRDefault="00220BCC" w:rsidP="00220BCC">
      <w:pPr>
        <w:pStyle w:val="Nadpis2"/>
      </w:pPr>
      <w:r w:rsidRPr="00220BCC">
        <w:t>Smluvní strany se zavazují, že důvěrné informace nepoužijí jinak než za úč</w:t>
      </w:r>
      <w:r>
        <w:t xml:space="preserve">elem, pro který byly poskytnuty a že budou </w:t>
      </w:r>
      <w:r w:rsidRPr="00220BCC">
        <w:t>při utajení postupovat se stejnou svědomitostí, se kterou postupují ve vlastních srovnatelných záležitostech, minimálně však s takovou svědomitostí, kterou lze rozumně očekávat.</w:t>
      </w:r>
    </w:p>
    <w:p w14:paraId="58434DDF" w14:textId="77777777" w:rsidR="00220BCC" w:rsidRDefault="00220BCC" w:rsidP="00C54187">
      <w:pPr>
        <w:pStyle w:val="Nadpis2"/>
        <w:numPr>
          <w:ilvl w:val="0"/>
          <w:numId w:val="0"/>
        </w:numPr>
        <w:ind w:left="576"/>
      </w:pPr>
    </w:p>
    <w:p w14:paraId="290F3FF3" w14:textId="77777777" w:rsidR="009E6820" w:rsidRPr="00BA6688" w:rsidRDefault="009E6820" w:rsidP="00B665AA">
      <w:pPr>
        <w:pStyle w:val="Nadpis1"/>
        <w:rPr>
          <w:sz w:val="24"/>
          <w:szCs w:val="24"/>
        </w:rPr>
      </w:pPr>
      <w:r w:rsidRPr="00BA6688">
        <w:rPr>
          <w:sz w:val="24"/>
          <w:szCs w:val="24"/>
        </w:rPr>
        <w:t>Trvání smlouvy</w:t>
      </w:r>
    </w:p>
    <w:p w14:paraId="4915223F" w14:textId="77777777" w:rsidR="009E6820" w:rsidRDefault="009E6820" w:rsidP="002C5FF6">
      <w:pPr>
        <w:pStyle w:val="Nadpis2"/>
      </w:pPr>
      <w:r w:rsidRPr="002C5FF6">
        <w:t xml:space="preserve">Smlouva nabývá platnosti </w:t>
      </w:r>
      <w:r>
        <w:t xml:space="preserve">a účinnosti </w:t>
      </w:r>
      <w:r w:rsidRPr="002C5FF6">
        <w:t xml:space="preserve">dnem jejího podepsání </w:t>
      </w:r>
      <w:r w:rsidR="003969AF">
        <w:t>smluvní stranou, která ji podepíše jako druhá v pořadí</w:t>
      </w:r>
      <w:r w:rsidRPr="002C5FF6">
        <w:t>.</w:t>
      </w:r>
    </w:p>
    <w:p w14:paraId="4ACFA3FA" w14:textId="77777777" w:rsidR="009E6820" w:rsidRPr="000E7C64" w:rsidRDefault="009E6820" w:rsidP="002C5FF6">
      <w:pPr>
        <w:pStyle w:val="Nadpis2"/>
        <w:rPr>
          <w:b/>
          <w:color w:val="000000" w:themeColor="text1"/>
        </w:rPr>
      </w:pPr>
      <w:r w:rsidRPr="006F6629">
        <w:rPr>
          <w:color w:val="000000" w:themeColor="text1"/>
        </w:rPr>
        <w:t xml:space="preserve">Smlouva se uzavírá se na dobu </w:t>
      </w:r>
      <w:r w:rsidR="003969AF">
        <w:rPr>
          <w:color w:val="000000" w:themeColor="text1"/>
        </w:rPr>
        <w:t>ne</w:t>
      </w:r>
      <w:r w:rsidRPr="006F6629">
        <w:rPr>
          <w:color w:val="000000" w:themeColor="text1"/>
        </w:rPr>
        <w:t>určitou</w:t>
      </w:r>
      <w:r w:rsidR="000E05F9" w:rsidRPr="00E56CAE">
        <w:rPr>
          <w:b/>
          <w:color w:val="000000" w:themeColor="text1"/>
        </w:rPr>
        <w:t>.</w:t>
      </w:r>
      <w:r w:rsidR="000E05F9" w:rsidRPr="006F6629">
        <w:rPr>
          <w:color w:val="000000" w:themeColor="text1"/>
        </w:rPr>
        <w:t xml:space="preserve"> </w:t>
      </w:r>
    </w:p>
    <w:p w14:paraId="1AD2868A" w14:textId="69A63DD6" w:rsidR="007759EF" w:rsidRDefault="00E027F5" w:rsidP="007759EF">
      <w:pPr>
        <w:pStyle w:val="Nadpis2"/>
      </w:pPr>
      <w:r>
        <w:t xml:space="preserve"> Smluvní strany mají právo tuto smlouvu vypovědět se tříměsíční výpovědní dobou i bez uvedení důvodu. Výpovědní doba začíná běžet první den následujícího měsíce po doručení písemné výpovědi druhé straně.</w:t>
      </w:r>
    </w:p>
    <w:p w14:paraId="19801202" w14:textId="77777777" w:rsidR="009E6820" w:rsidRPr="00BA6688" w:rsidRDefault="009E6820" w:rsidP="00D507A0">
      <w:pPr>
        <w:pStyle w:val="Nadpis1"/>
        <w:rPr>
          <w:sz w:val="24"/>
          <w:szCs w:val="24"/>
        </w:rPr>
      </w:pPr>
      <w:r w:rsidRPr="00BA6688">
        <w:rPr>
          <w:sz w:val="24"/>
          <w:szCs w:val="24"/>
        </w:rPr>
        <w:t>Kontaktní osoby</w:t>
      </w:r>
    </w:p>
    <w:p w14:paraId="613FA134" w14:textId="77777777" w:rsidR="009E6820" w:rsidRDefault="009E6820" w:rsidP="002C5FF6">
      <w:pPr>
        <w:pStyle w:val="Nadpis2"/>
      </w:pPr>
      <w:r w:rsidRPr="002C5FF6">
        <w:t>Kontaktními osobami smluvních stran ve věcech souvisejících s pl</w:t>
      </w:r>
      <w:r>
        <w:t xml:space="preserve">něním závazků uvedených v čl. </w:t>
      </w:r>
      <w:proofErr w:type="gramStart"/>
      <w:r w:rsidR="002D023F">
        <w:t xml:space="preserve">2 </w:t>
      </w:r>
      <w:r w:rsidRPr="002C5FF6">
        <w:t xml:space="preserve"> a</w:t>
      </w:r>
      <w:proofErr w:type="gramEnd"/>
      <w:r w:rsidRPr="002C5FF6">
        <w:t xml:space="preserve"> </w:t>
      </w:r>
      <w:r w:rsidR="002D023F">
        <w:t>3</w:t>
      </w:r>
      <w:r w:rsidRPr="002C5FF6">
        <w:t xml:space="preserve"> této smlouvy jsou určeni:</w:t>
      </w:r>
    </w:p>
    <w:p w14:paraId="611836DC" w14:textId="77777777" w:rsidR="00043662" w:rsidRDefault="009E6820" w:rsidP="00B55F85">
      <w:pPr>
        <w:pStyle w:val="Nadpis3"/>
      </w:pPr>
      <w:r>
        <w:t xml:space="preserve">Za </w:t>
      </w:r>
      <w:r w:rsidR="002D023F">
        <w:t>ZČU</w:t>
      </w:r>
      <w:r>
        <w:t xml:space="preserve">: </w:t>
      </w:r>
    </w:p>
    <w:p w14:paraId="78FD7022" w14:textId="3BD53AD2" w:rsidR="00043662" w:rsidRDefault="00043662" w:rsidP="00C54187">
      <w:pPr>
        <w:pStyle w:val="Nadpis3"/>
        <w:numPr>
          <w:ilvl w:val="0"/>
          <w:numId w:val="0"/>
        </w:numPr>
        <w:ind w:left="720"/>
      </w:pPr>
      <w:r>
        <w:t xml:space="preserve">- </w:t>
      </w:r>
      <w:proofErr w:type="spellStart"/>
      <w:r w:rsidR="00A13159">
        <w:t>xxx</w:t>
      </w:r>
      <w:proofErr w:type="spellEnd"/>
    </w:p>
    <w:p w14:paraId="2DC3BCDE" w14:textId="2C2E3676" w:rsidR="009E6820" w:rsidRDefault="00043662" w:rsidP="00C54187">
      <w:pPr>
        <w:pStyle w:val="Nadpis3"/>
        <w:numPr>
          <w:ilvl w:val="0"/>
          <w:numId w:val="0"/>
        </w:numPr>
        <w:ind w:left="720"/>
      </w:pPr>
      <w:r>
        <w:t xml:space="preserve">- </w:t>
      </w:r>
      <w:proofErr w:type="spellStart"/>
      <w:r w:rsidR="00A13159">
        <w:t>xxx</w:t>
      </w:r>
      <w:proofErr w:type="spellEnd"/>
    </w:p>
    <w:p w14:paraId="3F8DF9C4" w14:textId="77777777" w:rsidR="00C54187" w:rsidRDefault="00043662" w:rsidP="00215C93">
      <w:pPr>
        <w:pStyle w:val="Nadpis2"/>
        <w:numPr>
          <w:ilvl w:val="0"/>
          <w:numId w:val="0"/>
        </w:numPr>
      </w:pPr>
      <w:r>
        <w:t>7</w:t>
      </w:r>
      <w:r w:rsidR="00215C93">
        <w:t xml:space="preserve">.1.2.    </w:t>
      </w:r>
      <w:r w:rsidR="009E6820" w:rsidRPr="00E90C0A">
        <w:t xml:space="preserve">Za </w:t>
      </w:r>
      <w:r w:rsidR="002D023F">
        <w:t>Plzeň 2015</w:t>
      </w:r>
      <w:r w:rsidR="009E6820" w:rsidRPr="00E90C0A">
        <w:t xml:space="preserve">: </w:t>
      </w:r>
    </w:p>
    <w:p w14:paraId="35FC3FA1" w14:textId="3838CB65" w:rsidR="0013223D" w:rsidRDefault="00C54187" w:rsidP="00C54187">
      <w:pPr>
        <w:pStyle w:val="Nadpis2"/>
        <w:numPr>
          <w:ilvl w:val="0"/>
          <w:numId w:val="0"/>
        </w:numPr>
        <w:ind w:firstLine="708"/>
      </w:pPr>
      <w:r>
        <w:t>-</w:t>
      </w:r>
      <w:r w:rsidR="0013223D">
        <w:t xml:space="preserve"> </w:t>
      </w:r>
      <w:proofErr w:type="spellStart"/>
      <w:r w:rsidR="00A13159">
        <w:t>xxx</w:t>
      </w:r>
      <w:proofErr w:type="spellEnd"/>
    </w:p>
    <w:p w14:paraId="49315582" w14:textId="0977950B" w:rsidR="00215C93" w:rsidRPr="00A13159" w:rsidRDefault="00C54187" w:rsidP="00C54187">
      <w:pPr>
        <w:pStyle w:val="Nadpis2"/>
        <w:numPr>
          <w:ilvl w:val="0"/>
          <w:numId w:val="0"/>
        </w:numPr>
        <w:ind w:firstLine="708"/>
      </w:pPr>
      <w:r>
        <w:t xml:space="preserve">- </w:t>
      </w:r>
      <w:proofErr w:type="spellStart"/>
      <w:r w:rsidR="00A13159">
        <w:t>xxx</w:t>
      </w:r>
      <w:proofErr w:type="spellEnd"/>
      <w:r w:rsidR="00273785">
        <w:t xml:space="preserve"> </w:t>
      </w:r>
    </w:p>
    <w:p w14:paraId="04AA334C" w14:textId="77777777" w:rsidR="009E6820" w:rsidRPr="00E90C0A" w:rsidRDefault="009E6820" w:rsidP="00215C93">
      <w:pPr>
        <w:pStyle w:val="Nadpis3"/>
        <w:numPr>
          <w:ilvl w:val="0"/>
          <w:numId w:val="0"/>
        </w:numPr>
        <w:ind w:left="720" w:hanging="720"/>
      </w:pPr>
    </w:p>
    <w:p w14:paraId="107EA0A3" w14:textId="77777777" w:rsidR="009E6820" w:rsidRPr="00BA6688" w:rsidRDefault="009E6820" w:rsidP="007A1574">
      <w:pPr>
        <w:pStyle w:val="Nadpis1"/>
        <w:rPr>
          <w:sz w:val="24"/>
          <w:szCs w:val="24"/>
        </w:rPr>
      </w:pPr>
      <w:r w:rsidRPr="00BA6688">
        <w:rPr>
          <w:sz w:val="24"/>
          <w:szCs w:val="24"/>
        </w:rPr>
        <w:lastRenderedPageBreak/>
        <w:t>Odstoupení od smlouvy</w:t>
      </w:r>
    </w:p>
    <w:p w14:paraId="64E53F44" w14:textId="77777777" w:rsidR="009E6820" w:rsidRPr="00714221" w:rsidRDefault="009E6820" w:rsidP="00CE7CB5">
      <w:pPr>
        <w:pStyle w:val="Nadpis2"/>
      </w:pPr>
      <w:r w:rsidRPr="00B55F85">
        <w:t>Smluvní strany jsou oprávněny od této smlouvy odstoupit v</w:t>
      </w:r>
      <w:r>
        <w:t> </w:t>
      </w:r>
      <w:r w:rsidRPr="00B55F85">
        <w:t>případě</w:t>
      </w:r>
      <w:r>
        <w:t>,</w:t>
      </w:r>
      <w:r w:rsidRPr="00B55F85">
        <w:t xml:space="preserve"> kdy tak stanoví tato smlouva, nebo platný právní předpis. Za podstatné porušení smlouvy se považuje zejména nesplnění závazků sjednaných v </w:t>
      </w:r>
      <w:r w:rsidRPr="00331418">
        <w:t xml:space="preserve">čl. </w:t>
      </w:r>
      <w:r>
        <w:t>3</w:t>
      </w:r>
      <w:r w:rsidRPr="00331418">
        <w:t xml:space="preserve">. a </w:t>
      </w:r>
      <w:r>
        <w:t>4</w:t>
      </w:r>
      <w:r w:rsidRPr="00331418">
        <w:t>.,</w:t>
      </w:r>
      <w:r w:rsidRPr="00B55F85">
        <w:t xml:space="preserve"> a to ani po předchozí písemné výzvě a poskytnutí přiměřené lhůty k nápravě druhou smluvní stranou</w:t>
      </w:r>
      <w:r w:rsidRPr="00714221">
        <w:t xml:space="preserve">. Smlouva se odstoupením zrušuje s účinky ex </w:t>
      </w:r>
      <w:proofErr w:type="spellStart"/>
      <w:r w:rsidRPr="00714221">
        <w:t>nunc</w:t>
      </w:r>
      <w:proofErr w:type="spellEnd"/>
      <w:r w:rsidRPr="00714221">
        <w:t>, a proto</w:t>
      </w:r>
      <w:r>
        <w:t xml:space="preserve"> v</w:t>
      </w:r>
      <w:r w:rsidRPr="00714221">
        <w:t xml:space="preserve"> důsledk</w:t>
      </w:r>
      <w:r>
        <w:t>u</w:t>
      </w:r>
      <w:r w:rsidRPr="00714221">
        <w:t xml:space="preserve"> odstoupení nezanikají práva a povinnosti týkající se období od uzavření smlouvy do okamžiku účinnosti odstoupení a strany nemají povinnost vracet si plnění poskytnuté podle této smlouvy, vztahující se k období od uzavření smlouvy do okamžiku odstoupení.</w:t>
      </w:r>
      <w:r w:rsidR="007E2A2D">
        <w:t xml:space="preserve"> Odstoupení nabývá účinnosti jeho doručením druhé smluvní straně.</w:t>
      </w:r>
    </w:p>
    <w:p w14:paraId="49B8FA6E" w14:textId="040351E3" w:rsidR="009E6820" w:rsidRPr="00010A3E" w:rsidRDefault="009E6820" w:rsidP="00CE7CB5">
      <w:pPr>
        <w:pStyle w:val="Nadpis2"/>
      </w:pPr>
      <w:r w:rsidRPr="00010A3E">
        <w:t xml:space="preserve">Po ukončení platnosti této smlouvy jsou, jak </w:t>
      </w:r>
      <w:r w:rsidR="00A8452F" w:rsidRPr="00010A3E">
        <w:t xml:space="preserve">ZČU, </w:t>
      </w:r>
      <w:r w:rsidRPr="00010A3E">
        <w:t xml:space="preserve">tak </w:t>
      </w:r>
      <w:r w:rsidR="00A8452F" w:rsidRPr="00010A3E">
        <w:t xml:space="preserve">Plzeň 2015, </w:t>
      </w:r>
      <w:r w:rsidRPr="00010A3E">
        <w:t>povinny nejpozději do 3 měsíců od ukončení smluvního vztahu odstranit logo ZČU</w:t>
      </w:r>
      <w:r w:rsidR="00F63F47">
        <w:t>, tak Plzeň 2015</w:t>
      </w:r>
      <w:r w:rsidRPr="00010A3E">
        <w:t xml:space="preserve"> ze všech materiálů, na které bylo toto umístěno, resp. přestat tyto materiály aktivně užívat, v případě umístění loga/</w:t>
      </w:r>
      <w:proofErr w:type="spellStart"/>
      <w:r w:rsidRPr="00010A3E">
        <w:t>logolinku</w:t>
      </w:r>
      <w:proofErr w:type="spellEnd"/>
      <w:r w:rsidRPr="00010A3E">
        <w:t xml:space="preserve"> na webových stránkách, odstranit logo/</w:t>
      </w:r>
      <w:proofErr w:type="spellStart"/>
      <w:r w:rsidRPr="00010A3E">
        <w:t>logolink</w:t>
      </w:r>
      <w:proofErr w:type="spellEnd"/>
      <w:r w:rsidRPr="00010A3E">
        <w:t xml:space="preserve"> z webových stránek. </w:t>
      </w:r>
    </w:p>
    <w:p w14:paraId="586C28EC" w14:textId="77777777" w:rsidR="009E6820" w:rsidRPr="00BA6688" w:rsidRDefault="009E6820" w:rsidP="007A1574">
      <w:pPr>
        <w:pStyle w:val="Nadpis1"/>
        <w:rPr>
          <w:sz w:val="24"/>
          <w:szCs w:val="24"/>
        </w:rPr>
      </w:pPr>
      <w:r w:rsidRPr="00BA6688">
        <w:rPr>
          <w:sz w:val="24"/>
          <w:szCs w:val="24"/>
        </w:rPr>
        <w:t>Závěrečná ustanovení</w:t>
      </w:r>
    </w:p>
    <w:p w14:paraId="486AD334" w14:textId="77777777" w:rsidR="009E6820" w:rsidRPr="00CF6409" w:rsidRDefault="009E6820" w:rsidP="00B55F85">
      <w:pPr>
        <w:pStyle w:val="Nadpis2"/>
        <w:rPr>
          <w:szCs w:val="22"/>
        </w:rPr>
      </w:pPr>
      <w:r w:rsidRPr="007A1574">
        <w:rPr>
          <w:rFonts w:cs="Arial"/>
          <w:szCs w:val="22"/>
        </w:rPr>
        <w:t xml:space="preserve">Neplatnost některého ustanovení této smlouvy, nezpůsobuje neplatnost smlouvy jako celku. Smluvní strany se zavazují takové neplatné ustanovení nahradit bez zbytečného odkladu jiným ustanovením, které bude platné a které svým obsahem bude nejvíce odpovídat </w:t>
      </w:r>
      <w:r>
        <w:rPr>
          <w:rFonts w:cs="Arial"/>
          <w:szCs w:val="22"/>
        </w:rPr>
        <w:t>sm</w:t>
      </w:r>
      <w:r w:rsidRPr="007A1574">
        <w:rPr>
          <w:rFonts w:cs="Arial"/>
          <w:szCs w:val="22"/>
        </w:rPr>
        <w:t>yslu a účelu původního ustanovení a této smlouvy.</w:t>
      </w:r>
    </w:p>
    <w:p w14:paraId="45355A31" w14:textId="77777777" w:rsidR="009E6820" w:rsidRPr="007A1574" w:rsidRDefault="009E6820" w:rsidP="00B55F85">
      <w:pPr>
        <w:pStyle w:val="Nadpis2"/>
        <w:rPr>
          <w:szCs w:val="22"/>
        </w:rPr>
      </w:pPr>
      <w:r>
        <w:rPr>
          <w:szCs w:val="22"/>
        </w:rPr>
        <w:t>Pro účely doručování mezi smluvními stranami platí adresy, uvedené v záhlaví této smlouvy, případnou změnu doručovací adresy jsou smluvní strany povinny si neprodleně písemně oznámit. Za den doručení se považuje den skutečného doručení zásilky případně odmítnutí zásilky a v případě, kdy si adresát zásilku nepřevezme 10. den ode dne uložení zásilky u poskytovatele poštovních služeb.</w:t>
      </w:r>
    </w:p>
    <w:p w14:paraId="2AD1DDA6" w14:textId="77777777" w:rsidR="009E6820" w:rsidRDefault="009E6820" w:rsidP="00A8452F">
      <w:pPr>
        <w:pStyle w:val="Nadpis2"/>
      </w:pPr>
      <w:r w:rsidRPr="00714221">
        <w:t xml:space="preserve">Tato smlouva byla sepsána ve třech vyhotoveních, z nichž ZČU </w:t>
      </w:r>
      <w:proofErr w:type="gramStart"/>
      <w:r w:rsidRPr="00714221">
        <w:t>obdrží</w:t>
      </w:r>
      <w:proofErr w:type="gramEnd"/>
      <w:r w:rsidRPr="00714221">
        <w:t xml:space="preserve"> po dvou</w:t>
      </w:r>
      <w:r>
        <w:t xml:space="preserve"> a </w:t>
      </w:r>
      <w:r w:rsidR="00A8452F">
        <w:t>Plzeň 2015</w:t>
      </w:r>
      <w:r>
        <w:t xml:space="preserve"> </w:t>
      </w:r>
      <w:r w:rsidR="00A8452F">
        <w:t xml:space="preserve">jedno </w:t>
      </w:r>
      <w:r>
        <w:t>vyhotovení; všechna vyhotovení mají platnost originální smlouvy.</w:t>
      </w:r>
    </w:p>
    <w:p w14:paraId="5030E698" w14:textId="77777777" w:rsidR="009E6820" w:rsidRDefault="009E6820" w:rsidP="00B55F85">
      <w:pPr>
        <w:pStyle w:val="Nadpis2"/>
      </w:pPr>
      <w:r>
        <w:t>Dodatky k této smlouvě i jakékoli její změny mohou být provedeny jen písemně, není-li smlouvou stanoveno jinak.</w:t>
      </w:r>
    </w:p>
    <w:p w14:paraId="7F0B4562" w14:textId="77777777" w:rsidR="009E6820" w:rsidRDefault="009E6820" w:rsidP="00B55F85">
      <w:pPr>
        <w:pStyle w:val="Nadpis2"/>
      </w:pPr>
      <w:r>
        <w:t xml:space="preserve">Tato smlouva se řídí českým právním řádem, zejména zákonem č. </w:t>
      </w:r>
      <w:r w:rsidR="00627915">
        <w:t>89/2012</w:t>
      </w:r>
      <w:r>
        <w:t xml:space="preserve"> Sb., </w:t>
      </w:r>
      <w:r w:rsidR="00627915">
        <w:t>občanský zákoník</w:t>
      </w:r>
      <w:r>
        <w:t>, ve znění pozdějších předpisů.</w:t>
      </w:r>
    </w:p>
    <w:p w14:paraId="6E71BD94" w14:textId="710616E1" w:rsidR="00D501D6" w:rsidRPr="00010A3E" w:rsidRDefault="00A8452F" w:rsidP="0027085D">
      <w:pPr>
        <w:pStyle w:val="Nadpis2"/>
      </w:pPr>
      <w:r w:rsidRPr="00010A3E">
        <w:t xml:space="preserve">Smluvní strany jsou </w:t>
      </w:r>
      <w:r w:rsidR="00D501D6" w:rsidRPr="00010A3E">
        <w:t>subjekt</w:t>
      </w:r>
      <w:r w:rsidRPr="00010A3E">
        <w:t>y</w:t>
      </w:r>
      <w:r w:rsidR="00D501D6" w:rsidRPr="00010A3E">
        <w:t xml:space="preserve"> povinným</w:t>
      </w:r>
      <w:r w:rsidRPr="00010A3E">
        <w:t>i</w:t>
      </w:r>
      <w:r w:rsidR="00D501D6" w:rsidRPr="00010A3E">
        <w:t xml:space="preserve"> </w:t>
      </w:r>
      <w:r w:rsidR="00133068">
        <w:t>u</w:t>
      </w:r>
      <w:r w:rsidR="00D501D6" w:rsidRPr="00010A3E">
        <w:t>veřejňovat smlouvy dle zákona č. 340/2015 Sb.</w:t>
      </w:r>
      <w:r w:rsidR="00133068">
        <w:t>, o registru smluv.</w:t>
      </w:r>
      <w:r w:rsidR="00D501D6" w:rsidRPr="00010A3E">
        <w:t xml:space="preserve"> </w:t>
      </w:r>
      <w:r w:rsidRPr="00010A3E">
        <w:t>Přestože ve smlouvě není vyjádřena hodnota plnění, dohodly se smluvní strany, že bude smlouva uveřejněna v plném znění a uveřejní ji ZČU</w:t>
      </w:r>
      <w:r w:rsidR="00D501D6" w:rsidRPr="00010A3E">
        <w:t>.</w:t>
      </w:r>
      <w:r w:rsidR="0027085D">
        <w:t xml:space="preserve"> Nebude-li však s</w:t>
      </w:r>
      <w:r w:rsidR="0027085D" w:rsidRPr="0027085D">
        <w:t>mlouva uveřejněna ZČU nejpozději do jedno</w:t>
      </w:r>
      <w:r w:rsidR="0027085D">
        <w:t xml:space="preserve">ho měsíce po jejím uzavření, uveřejní smlouvu Plzeň 2015. </w:t>
      </w:r>
      <w:r w:rsidR="00D501D6" w:rsidRPr="00010A3E">
        <w:t>Uveřejnění v registru smluv není porušením mlčenlivosti dle článku 5 této smlouvy.</w:t>
      </w:r>
    </w:p>
    <w:p w14:paraId="31C7D5E7" w14:textId="01CB9F1C" w:rsidR="009E6820" w:rsidRPr="004D60FA" w:rsidRDefault="009E6820" w:rsidP="00C54187">
      <w:pPr>
        <w:pStyle w:val="Nadpis3"/>
        <w:numPr>
          <w:ilvl w:val="0"/>
          <w:numId w:val="0"/>
        </w:numPr>
        <w:ind w:left="720"/>
      </w:pPr>
    </w:p>
    <w:tbl>
      <w:tblPr>
        <w:tblW w:w="0" w:type="auto"/>
        <w:jc w:val="center"/>
        <w:tblLayout w:type="fixed"/>
        <w:tblCellMar>
          <w:left w:w="57" w:type="dxa"/>
          <w:right w:w="57" w:type="dxa"/>
        </w:tblCellMar>
        <w:tblLook w:val="01E0" w:firstRow="1" w:lastRow="1" w:firstColumn="1" w:lastColumn="1" w:noHBand="0" w:noVBand="0"/>
      </w:tblPr>
      <w:tblGrid>
        <w:gridCol w:w="4536"/>
        <w:gridCol w:w="4536"/>
      </w:tblGrid>
      <w:tr w:rsidR="009E6820" w:rsidRPr="00000BB3" w14:paraId="3B5AFCD4" w14:textId="77777777" w:rsidTr="003C09CA">
        <w:trPr>
          <w:trHeight w:val="567"/>
          <w:jc w:val="center"/>
        </w:trPr>
        <w:tc>
          <w:tcPr>
            <w:tcW w:w="4536" w:type="dxa"/>
            <w:vAlign w:val="bottom"/>
          </w:tcPr>
          <w:p w14:paraId="5A65CEF1" w14:textId="77777777" w:rsidR="00AF09DF" w:rsidRDefault="00AF09DF" w:rsidP="003C09CA">
            <w:pPr>
              <w:tabs>
                <w:tab w:val="left" w:pos="595"/>
              </w:tabs>
              <w:spacing w:line="240" w:lineRule="auto"/>
              <w:rPr>
                <w:lang w:eastAsia="cs-CZ"/>
              </w:rPr>
            </w:pPr>
          </w:p>
          <w:p w14:paraId="0EC0CD18" w14:textId="77777777" w:rsidR="009E6820" w:rsidRPr="00000BB3" w:rsidRDefault="009E6820" w:rsidP="003C09CA">
            <w:pPr>
              <w:tabs>
                <w:tab w:val="left" w:pos="595"/>
              </w:tabs>
              <w:spacing w:line="240" w:lineRule="auto"/>
              <w:rPr>
                <w:lang w:eastAsia="cs-CZ"/>
              </w:rPr>
            </w:pPr>
            <w:r w:rsidRPr="00000BB3">
              <w:rPr>
                <w:lang w:eastAsia="cs-CZ"/>
              </w:rPr>
              <w:t xml:space="preserve">V Plzni, dne </w:t>
            </w:r>
            <w:r w:rsidR="00F21179">
              <w:rPr>
                <w:lang w:eastAsia="cs-CZ"/>
              </w:rPr>
              <w:t>________________</w:t>
            </w:r>
          </w:p>
        </w:tc>
        <w:tc>
          <w:tcPr>
            <w:tcW w:w="4536" w:type="dxa"/>
            <w:vAlign w:val="bottom"/>
          </w:tcPr>
          <w:p w14:paraId="1588C785" w14:textId="0EBEFEC9" w:rsidR="009E6820" w:rsidRPr="00000BB3" w:rsidRDefault="00AF09DF" w:rsidP="003C09CA">
            <w:pPr>
              <w:tabs>
                <w:tab w:val="left" w:pos="595"/>
              </w:tabs>
              <w:spacing w:line="240" w:lineRule="auto"/>
              <w:rPr>
                <w:lang w:eastAsia="cs-CZ"/>
              </w:rPr>
            </w:pPr>
            <w:r>
              <w:rPr>
                <w:lang w:eastAsia="cs-CZ"/>
              </w:rPr>
              <w:t xml:space="preserve">      </w:t>
            </w:r>
            <w:r w:rsidR="008A2214">
              <w:rPr>
                <w:lang w:eastAsia="cs-CZ"/>
              </w:rPr>
              <w:t xml:space="preserve"> </w:t>
            </w:r>
            <w:r w:rsidR="00C54187">
              <w:rPr>
                <w:lang w:eastAsia="cs-CZ"/>
              </w:rPr>
              <w:t xml:space="preserve"> </w:t>
            </w:r>
            <w:r w:rsidR="009E6820" w:rsidRPr="00000BB3">
              <w:rPr>
                <w:lang w:eastAsia="cs-CZ"/>
              </w:rPr>
              <w:t xml:space="preserve">V Plzni, dne </w:t>
            </w:r>
            <w:r w:rsidR="00F21179">
              <w:rPr>
                <w:lang w:eastAsia="cs-CZ"/>
              </w:rPr>
              <w:t>_______________</w:t>
            </w:r>
          </w:p>
        </w:tc>
      </w:tr>
      <w:tr w:rsidR="00F21179" w:rsidRPr="00000BB3" w14:paraId="790E7EF4" w14:textId="77777777" w:rsidTr="003C09CA">
        <w:trPr>
          <w:trHeight w:val="567"/>
          <w:jc w:val="center"/>
        </w:trPr>
        <w:tc>
          <w:tcPr>
            <w:tcW w:w="4536" w:type="dxa"/>
            <w:vAlign w:val="bottom"/>
          </w:tcPr>
          <w:p w14:paraId="2CA21DBE" w14:textId="77777777" w:rsidR="00F21179" w:rsidRDefault="00F21179" w:rsidP="003C09CA">
            <w:pPr>
              <w:tabs>
                <w:tab w:val="left" w:pos="595"/>
              </w:tabs>
              <w:spacing w:line="240" w:lineRule="auto"/>
              <w:rPr>
                <w:lang w:eastAsia="cs-CZ"/>
              </w:rPr>
            </w:pPr>
          </w:p>
        </w:tc>
        <w:tc>
          <w:tcPr>
            <w:tcW w:w="4536" w:type="dxa"/>
            <w:vAlign w:val="bottom"/>
          </w:tcPr>
          <w:p w14:paraId="625BDBDC" w14:textId="77777777" w:rsidR="00F21179" w:rsidRDefault="00F21179" w:rsidP="003C09CA">
            <w:pPr>
              <w:tabs>
                <w:tab w:val="left" w:pos="595"/>
              </w:tabs>
              <w:spacing w:line="240" w:lineRule="auto"/>
              <w:rPr>
                <w:lang w:eastAsia="cs-CZ"/>
              </w:rPr>
            </w:pPr>
          </w:p>
        </w:tc>
      </w:tr>
    </w:tbl>
    <w:p w14:paraId="04EB9900" w14:textId="77777777" w:rsidR="00F21179" w:rsidRDefault="00F21179" w:rsidP="008D3F04">
      <w:pPr>
        <w:spacing w:before="0" w:after="200"/>
        <w:jc w:val="both"/>
        <w:rPr>
          <w:b/>
          <w:bCs/>
        </w:rPr>
      </w:pPr>
      <w:r w:rsidRPr="00F21179">
        <w:rPr>
          <w:b/>
          <w:bCs/>
        </w:rPr>
        <w:t>Západočeská univerzita v Plzni</w:t>
      </w:r>
      <w:r w:rsidRPr="00F21179">
        <w:rPr>
          <w:b/>
          <w:bCs/>
        </w:rPr>
        <w:tab/>
      </w:r>
      <w:r w:rsidRPr="00F21179">
        <w:rPr>
          <w:b/>
          <w:bCs/>
        </w:rPr>
        <w:tab/>
      </w:r>
      <w:r w:rsidRPr="00F21179">
        <w:rPr>
          <w:b/>
          <w:bCs/>
        </w:rPr>
        <w:tab/>
      </w:r>
      <w:r w:rsidRPr="00F21179">
        <w:rPr>
          <w:b/>
          <w:bCs/>
        </w:rPr>
        <w:tab/>
        <w:t>Plzeň 2015, zapsaný ústav</w:t>
      </w:r>
    </w:p>
    <w:p w14:paraId="5D59367E" w14:textId="77777777" w:rsidR="00F21179" w:rsidRDefault="00F21179" w:rsidP="008D3F04">
      <w:pPr>
        <w:spacing w:before="0" w:after="200"/>
        <w:jc w:val="both"/>
        <w:rPr>
          <w:b/>
          <w:bCs/>
        </w:rPr>
      </w:pPr>
    </w:p>
    <w:p w14:paraId="1E7340E8" w14:textId="211C6CA7" w:rsidR="00F21179" w:rsidRDefault="00F21179" w:rsidP="00F21179">
      <w:pPr>
        <w:spacing w:before="0" w:line="240" w:lineRule="auto"/>
        <w:jc w:val="both"/>
        <w:rPr>
          <w:b/>
          <w:bCs/>
        </w:rPr>
      </w:pPr>
      <w:r>
        <w:rPr>
          <w:b/>
          <w:bCs/>
        </w:rPr>
        <w:t>_______________________</w:t>
      </w:r>
      <w:r w:rsidR="00C54187">
        <w:rPr>
          <w:b/>
          <w:bCs/>
        </w:rPr>
        <w:t>_________</w:t>
      </w:r>
      <w:r>
        <w:rPr>
          <w:b/>
          <w:bCs/>
        </w:rPr>
        <w:t>_</w:t>
      </w:r>
      <w:r>
        <w:rPr>
          <w:b/>
          <w:bCs/>
        </w:rPr>
        <w:tab/>
      </w:r>
      <w:r>
        <w:rPr>
          <w:b/>
          <w:bCs/>
        </w:rPr>
        <w:tab/>
        <w:t>______________________</w:t>
      </w:r>
    </w:p>
    <w:p w14:paraId="468DC552" w14:textId="6BE4D7D6" w:rsidR="00F21179" w:rsidRDefault="00F21179" w:rsidP="00F21179">
      <w:pPr>
        <w:spacing w:before="0" w:line="240" w:lineRule="auto"/>
        <w:jc w:val="both"/>
      </w:pPr>
      <w:r>
        <w:t xml:space="preserve"> </w:t>
      </w:r>
      <w:r w:rsidR="004F086C" w:rsidRPr="004F086C">
        <w:t>doc. Dr. RNDr. Miroslav Holeček, rektor</w:t>
      </w:r>
      <w:r>
        <w:tab/>
      </w:r>
      <w:r>
        <w:tab/>
      </w:r>
      <w:proofErr w:type="spellStart"/>
      <w:r w:rsidR="00A13159">
        <w:t>xxx</w:t>
      </w:r>
      <w:proofErr w:type="spellEnd"/>
    </w:p>
    <w:sectPr w:rsidR="00F21179" w:rsidSect="00C54187">
      <w:footerReference w:type="default" r:id="rId8"/>
      <w:pgSz w:w="11906" w:h="16838"/>
      <w:pgMar w:top="851" w:right="1418" w:bottom="85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5D4A3" w14:textId="77777777" w:rsidR="002B2622" w:rsidRDefault="002B2622" w:rsidP="00CE6DAD">
      <w:pPr>
        <w:spacing w:before="0" w:line="240" w:lineRule="auto"/>
      </w:pPr>
      <w:r>
        <w:separator/>
      </w:r>
    </w:p>
  </w:endnote>
  <w:endnote w:type="continuationSeparator" w:id="0">
    <w:p w14:paraId="46A18B50" w14:textId="77777777" w:rsidR="002B2622" w:rsidRDefault="002B2622" w:rsidP="00CE6DA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277350"/>
      <w:docPartObj>
        <w:docPartGallery w:val="Page Numbers (Bottom of Page)"/>
        <w:docPartUnique/>
      </w:docPartObj>
    </w:sdtPr>
    <w:sdtEndPr/>
    <w:sdtContent>
      <w:sdt>
        <w:sdtPr>
          <w:id w:val="-1669238322"/>
          <w:docPartObj>
            <w:docPartGallery w:val="Page Numbers (Top of Page)"/>
            <w:docPartUnique/>
          </w:docPartObj>
        </w:sdtPr>
        <w:sdtEndPr/>
        <w:sdtContent>
          <w:p w14:paraId="69D32003" w14:textId="15992B7C" w:rsidR="00425D1A" w:rsidRPr="00425D1A" w:rsidRDefault="00425D1A" w:rsidP="00425D1A">
            <w:pPr>
              <w:pStyle w:val="Zpat"/>
              <w:jc w:val="center"/>
              <w:rPr>
                <w:b/>
                <w:bCs/>
                <w:sz w:val="24"/>
                <w:szCs w:val="24"/>
              </w:rPr>
            </w:pPr>
            <w:r>
              <w:t xml:space="preserve">Stránka </w:t>
            </w:r>
            <w:r>
              <w:rPr>
                <w:b/>
                <w:bCs/>
                <w:sz w:val="24"/>
                <w:szCs w:val="24"/>
              </w:rPr>
              <w:fldChar w:fldCharType="begin"/>
            </w:r>
            <w:r>
              <w:rPr>
                <w:b/>
                <w:bCs/>
              </w:rPr>
              <w:instrText>PAGE</w:instrText>
            </w:r>
            <w:r>
              <w:rPr>
                <w:b/>
                <w:bCs/>
                <w:sz w:val="24"/>
                <w:szCs w:val="24"/>
              </w:rPr>
              <w:fldChar w:fldCharType="separate"/>
            </w:r>
            <w:r w:rsidR="00A13159">
              <w:rPr>
                <w:b/>
                <w:bCs/>
                <w:noProof/>
              </w:rPr>
              <w:t>2</w:t>
            </w:r>
            <w:r>
              <w:rPr>
                <w:b/>
                <w:bCs/>
                <w:sz w:val="24"/>
                <w:szCs w:val="24"/>
              </w:rPr>
              <w:fldChar w:fldCharType="end"/>
            </w:r>
          </w:p>
        </w:sdtContent>
      </w:sdt>
    </w:sdtContent>
  </w:sdt>
  <w:p w14:paraId="63800547" w14:textId="77777777" w:rsidR="00425D1A" w:rsidRDefault="00425D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0CD33" w14:textId="77777777" w:rsidR="002B2622" w:rsidRDefault="002B2622" w:rsidP="00CE6DAD">
      <w:pPr>
        <w:spacing w:before="0" w:line="240" w:lineRule="auto"/>
      </w:pPr>
      <w:r>
        <w:separator/>
      </w:r>
    </w:p>
  </w:footnote>
  <w:footnote w:type="continuationSeparator" w:id="0">
    <w:p w14:paraId="180DBEC2" w14:textId="77777777" w:rsidR="002B2622" w:rsidRDefault="002B2622" w:rsidP="00CE6DA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3566"/>
    <w:multiLevelType w:val="multilevel"/>
    <w:tmpl w:val="AB2A05B6"/>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16F44104"/>
    <w:multiLevelType w:val="multilevel"/>
    <w:tmpl w:val="EB6C1FB0"/>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23BE63E8"/>
    <w:multiLevelType w:val="hybridMultilevel"/>
    <w:tmpl w:val="07F47A8E"/>
    <w:lvl w:ilvl="0" w:tplc="A58C541A">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27041A"/>
    <w:multiLevelType w:val="multilevel"/>
    <w:tmpl w:val="FF589A8A"/>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3A6D214D"/>
    <w:multiLevelType w:val="multilevel"/>
    <w:tmpl w:val="165655B0"/>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76"/>
        </w:tabs>
        <w:ind w:left="576" w:hanging="576"/>
      </w:pPr>
      <w:rPr>
        <w:rFonts w:cs="Times New Roman"/>
        <w:b w:val="0"/>
      </w:rPr>
    </w:lvl>
    <w:lvl w:ilvl="2">
      <w:start w:val="1"/>
      <w:numFmt w:val="decimal"/>
      <w:pStyle w:val="Nadpis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3C6E7630"/>
    <w:multiLevelType w:val="hybridMultilevel"/>
    <w:tmpl w:val="8382AD04"/>
    <w:lvl w:ilvl="0" w:tplc="21700E08">
      <w:start w:val="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2AE1434"/>
    <w:multiLevelType w:val="multilevel"/>
    <w:tmpl w:val="E5044F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C204710"/>
    <w:multiLevelType w:val="hybridMultilevel"/>
    <w:tmpl w:val="2FA8CE3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7EB6683F"/>
    <w:multiLevelType w:val="multilevel"/>
    <w:tmpl w:val="E79C04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2"/>
  </w:num>
  <w:num w:numId="6">
    <w:abstractNumId w:val="8"/>
  </w:num>
  <w:num w:numId="7">
    <w:abstractNumId w:val="3"/>
  </w:num>
  <w:num w:numId="8">
    <w:abstractNumId w:val="1"/>
  </w:num>
  <w:num w:numId="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06E"/>
    <w:rsid w:val="00000BB3"/>
    <w:rsid w:val="000010BA"/>
    <w:rsid w:val="00001E78"/>
    <w:rsid w:val="000107FB"/>
    <w:rsid w:val="00010A3E"/>
    <w:rsid w:val="00010D52"/>
    <w:rsid w:val="00017318"/>
    <w:rsid w:val="0001749C"/>
    <w:rsid w:val="0002048C"/>
    <w:rsid w:val="00022AA9"/>
    <w:rsid w:val="00034238"/>
    <w:rsid w:val="00043662"/>
    <w:rsid w:val="000519BA"/>
    <w:rsid w:val="00062588"/>
    <w:rsid w:val="00084CA7"/>
    <w:rsid w:val="00085DAA"/>
    <w:rsid w:val="00093301"/>
    <w:rsid w:val="000D492D"/>
    <w:rsid w:val="000D567A"/>
    <w:rsid w:val="000E05F9"/>
    <w:rsid w:val="000E42F5"/>
    <w:rsid w:val="000E4EEB"/>
    <w:rsid w:val="000E7C64"/>
    <w:rsid w:val="000F4BB4"/>
    <w:rsid w:val="0011716C"/>
    <w:rsid w:val="00120234"/>
    <w:rsid w:val="00127A02"/>
    <w:rsid w:val="0013223D"/>
    <w:rsid w:val="00133068"/>
    <w:rsid w:val="001400B4"/>
    <w:rsid w:val="00143BB1"/>
    <w:rsid w:val="001736BD"/>
    <w:rsid w:val="00180B58"/>
    <w:rsid w:val="001A4026"/>
    <w:rsid w:val="001A5AB9"/>
    <w:rsid w:val="001B5676"/>
    <w:rsid w:val="001C49E5"/>
    <w:rsid w:val="001D4E69"/>
    <w:rsid w:val="001D606E"/>
    <w:rsid w:val="001D7A75"/>
    <w:rsid w:val="001E3625"/>
    <w:rsid w:val="001E4542"/>
    <w:rsid w:val="001F0B81"/>
    <w:rsid w:val="001F20E7"/>
    <w:rsid w:val="00205009"/>
    <w:rsid w:val="002141C4"/>
    <w:rsid w:val="00215C93"/>
    <w:rsid w:val="00215DC7"/>
    <w:rsid w:val="0021746E"/>
    <w:rsid w:val="00220BCC"/>
    <w:rsid w:val="002247AC"/>
    <w:rsid w:val="00224A46"/>
    <w:rsid w:val="00226D42"/>
    <w:rsid w:val="00227958"/>
    <w:rsid w:val="00236E2F"/>
    <w:rsid w:val="00250185"/>
    <w:rsid w:val="0025246E"/>
    <w:rsid w:val="0027085D"/>
    <w:rsid w:val="00273785"/>
    <w:rsid w:val="002900AE"/>
    <w:rsid w:val="00290111"/>
    <w:rsid w:val="00295EF5"/>
    <w:rsid w:val="002B2622"/>
    <w:rsid w:val="002B3CAE"/>
    <w:rsid w:val="002B3CF1"/>
    <w:rsid w:val="002B4F14"/>
    <w:rsid w:val="002C5FF6"/>
    <w:rsid w:val="002D023F"/>
    <w:rsid w:val="002F54ED"/>
    <w:rsid w:val="00311DD8"/>
    <w:rsid w:val="00321D89"/>
    <w:rsid w:val="00324270"/>
    <w:rsid w:val="00325B4F"/>
    <w:rsid w:val="00326C2D"/>
    <w:rsid w:val="00331418"/>
    <w:rsid w:val="00334447"/>
    <w:rsid w:val="00337328"/>
    <w:rsid w:val="00342BB2"/>
    <w:rsid w:val="0035606E"/>
    <w:rsid w:val="003617FC"/>
    <w:rsid w:val="00366250"/>
    <w:rsid w:val="00366A66"/>
    <w:rsid w:val="003759A3"/>
    <w:rsid w:val="00380A6E"/>
    <w:rsid w:val="003810F5"/>
    <w:rsid w:val="00382669"/>
    <w:rsid w:val="003969AF"/>
    <w:rsid w:val="003A7AD4"/>
    <w:rsid w:val="003B5D45"/>
    <w:rsid w:val="003C09CA"/>
    <w:rsid w:val="003C23E0"/>
    <w:rsid w:val="003C3A44"/>
    <w:rsid w:val="003C4341"/>
    <w:rsid w:val="003D2D55"/>
    <w:rsid w:val="003D4EB9"/>
    <w:rsid w:val="003D7F71"/>
    <w:rsid w:val="003F4E71"/>
    <w:rsid w:val="003F63FA"/>
    <w:rsid w:val="00402315"/>
    <w:rsid w:val="00412DC4"/>
    <w:rsid w:val="00420901"/>
    <w:rsid w:val="004258FD"/>
    <w:rsid w:val="00425D1A"/>
    <w:rsid w:val="00437690"/>
    <w:rsid w:val="00460F48"/>
    <w:rsid w:val="00463622"/>
    <w:rsid w:val="00467F5C"/>
    <w:rsid w:val="00481A89"/>
    <w:rsid w:val="004A7C0D"/>
    <w:rsid w:val="004B2E23"/>
    <w:rsid w:val="004B3F11"/>
    <w:rsid w:val="004C421C"/>
    <w:rsid w:val="004D1967"/>
    <w:rsid w:val="004D60FA"/>
    <w:rsid w:val="004E45E9"/>
    <w:rsid w:val="004E77E7"/>
    <w:rsid w:val="004F086C"/>
    <w:rsid w:val="004F35D8"/>
    <w:rsid w:val="005116B9"/>
    <w:rsid w:val="00512148"/>
    <w:rsid w:val="0055115A"/>
    <w:rsid w:val="005563BE"/>
    <w:rsid w:val="00565BF5"/>
    <w:rsid w:val="005700B4"/>
    <w:rsid w:val="0059772F"/>
    <w:rsid w:val="005A1205"/>
    <w:rsid w:val="005A7A6E"/>
    <w:rsid w:val="005B6AB4"/>
    <w:rsid w:val="005C170E"/>
    <w:rsid w:val="005C4E1E"/>
    <w:rsid w:val="005C562F"/>
    <w:rsid w:val="005F4A58"/>
    <w:rsid w:val="005F555B"/>
    <w:rsid w:val="00627915"/>
    <w:rsid w:val="00631083"/>
    <w:rsid w:val="00634DB0"/>
    <w:rsid w:val="00636814"/>
    <w:rsid w:val="006549F0"/>
    <w:rsid w:val="00655CFB"/>
    <w:rsid w:val="0066069D"/>
    <w:rsid w:val="00675680"/>
    <w:rsid w:val="00682B24"/>
    <w:rsid w:val="00687E39"/>
    <w:rsid w:val="00690890"/>
    <w:rsid w:val="006908E8"/>
    <w:rsid w:val="006D03D2"/>
    <w:rsid w:val="006D6414"/>
    <w:rsid w:val="006E6456"/>
    <w:rsid w:val="006F01D3"/>
    <w:rsid w:val="006F06F3"/>
    <w:rsid w:val="006F154B"/>
    <w:rsid w:val="006F6629"/>
    <w:rsid w:val="0070502F"/>
    <w:rsid w:val="007076B7"/>
    <w:rsid w:val="00711D69"/>
    <w:rsid w:val="00714221"/>
    <w:rsid w:val="0071478A"/>
    <w:rsid w:val="007160D0"/>
    <w:rsid w:val="0072732C"/>
    <w:rsid w:val="00730941"/>
    <w:rsid w:val="007310DE"/>
    <w:rsid w:val="007737E2"/>
    <w:rsid w:val="007759EF"/>
    <w:rsid w:val="007804AB"/>
    <w:rsid w:val="00780601"/>
    <w:rsid w:val="00780D37"/>
    <w:rsid w:val="00790635"/>
    <w:rsid w:val="00795EE6"/>
    <w:rsid w:val="007A0FDB"/>
    <w:rsid w:val="007A1574"/>
    <w:rsid w:val="007B1ACB"/>
    <w:rsid w:val="007B1F61"/>
    <w:rsid w:val="007B2000"/>
    <w:rsid w:val="007C5269"/>
    <w:rsid w:val="007D0F5F"/>
    <w:rsid w:val="007D30D5"/>
    <w:rsid w:val="007E0B69"/>
    <w:rsid w:val="007E2A2D"/>
    <w:rsid w:val="007E5033"/>
    <w:rsid w:val="007E60AA"/>
    <w:rsid w:val="0080083D"/>
    <w:rsid w:val="008031F8"/>
    <w:rsid w:val="008052E8"/>
    <w:rsid w:val="00815C60"/>
    <w:rsid w:val="00830BEF"/>
    <w:rsid w:val="00836A80"/>
    <w:rsid w:val="00841B3A"/>
    <w:rsid w:val="0086572C"/>
    <w:rsid w:val="0086602F"/>
    <w:rsid w:val="00866CBC"/>
    <w:rsid w:val="00867506"/>
    <w:rsid w:val="00880E39"/>
    <w:rsid w:val="0088219E"/>
    <w:rsid w:val="00894683"/>
    <w:rsid w:val="008A2214"/>
    <w:rsid w:val="008A28BD"/>
    <w:rsid w:val="008B45D7"/>
    <w:rsid w:val="008C02B2"/>
    <w:rsid w:val="008C4A67"/>
    <w:rsid w:val="008C5A95"/>
    <w:rsid w:val="008D2864"/>
    <w:rsid w:val="008D3F04"/>
    <w:rsid w:val="008F562D"/>
    <w:rsid w:val="008F664F"/>
    <w:rsid w:val="00903C13"/>
    <w:rsid w:val="00903EFA"/>
    <w:rsid w:val="0090725F"/>
    <w:rsid w:val="00910D09"/>
    <w:rsid w:val="009143AB"/>
    <w:rsid w:val="00930C3A"/>
    <w:rsid w:val="00937359"/>
    <w:rsid w:val="009412BB"/>
    <w:rsid w:val="00953F65"/>
    <w:rsid w:val="00962084"/>
    <w:rsid w:val="00966667"/>
    <w:rsid w:val="009717AD"/>
    <w:rsid w:val="0097249C"/>
    <w:rsid w:val="00974968"/>
    <w:rsid w:val="009806EA"/>
    <w:rsid w:val="00993E3F"/>
    <w:rsid w:val="009952CC"/>
    <w:rsid w:val="009A77C3"/>
    <w:rsid w:val="009B06EE"/>
    <w:rsid w:val="009C5DBC"/>
    <w:rsid w:val="009E6820"/>
    <w:rsid w:val="00A00503"/>
    <w:rsid w:val="00A13159"/>
    <w:rsid w:val="00A24400"/>
    <w:rsid w:val="00A2633F"/>
    <w:rsid w:val="00A27F9A"/>
    <w:rsid w:val="00A31A46"/>
    <w:rsid w:val="00A35238"/>
    <w:rsid w:val="00A35864"/>
    <w:rsid w:val="00A4050E"/>
    <w:rsid w:val="00A5531B"/>
    <w:rsid w:val="00A5612A"/>
    <w:rsid w:val="00A618B7"/>
    <w:rsid w:val="00A6220B"/>
    <w:rsid w:val="00A72626"/>
    <w:rsid w:val="00A75418"/>
    <w:rsid w:val="00A8452F"/>
    <w:rsid w:val="00A94009"/>
    <w:rsid w:val="00A952B0"/>
    <w:rsid w:val="00A974DE"/>
    <w:rsid w:val="00AB1144"/>
    <w:rsid w:val="00AB1462"/>
    <w:rsid w:val="00AB297A"/>
    <w:rsid w:val="00AB33C0"/>
    <w:rsid w:val="00AB4E77"/>
    <w:rsid w:val="00AB6781"/>
    <w:rsid w:val="00AD1556"/>
    <w:rsid w:val="00AD469C"/>
    <w:rsid w:val="00AE1C75"/>
    <w:rsid w:val="00AE2917"/>
    <w:rsid w:val="00AE5900"/>
    <w:rsid w:val="00AE5A39"/>
    <w:rsid w:val="00AF09DF"/>
    <w:rsid w:val="00AF5F6F"/>
    <w:rsid w:val="00AF7DED"/>
    <w:rsid w:val="00B02082"/>
    <w:rsid w:val="00B02514"/>
    <w:rsid w:val="00B05328"/>
    <w:rsid w:val="00B14AAD"/>
    <w:rsid w:val="00B1792B"/>
    <w:rsid w:val="00B345F9"/>
    <w:rsid w:val="00B4357B"/>
    <w:rsid w:val="00B43E51"/>
    <w:rsid w:val="00B452A8"/>
    <w:rsid w:val="00B47657"/>
    <w:rsid w:val="00B55F85"/>
    <w:rsid w:val="00B61280"/>
    <w:rsid w:val="00B625CD"/>
    <w:rsid w:val="00B665AA"/>
    <w:rsid w:val="00B91596"/>
    <w:rsid w:val="00BA1E89"/>
    <w:rsid w:val="00BA6688"/>
    <w:rsid w:val="00BB1AD1"/>
    <w:rsid w:val="00BC1C89"/>
    <w:rsid w:val="00BC60C4"/>
    <w:rsid w:val="00BC616F"/>
    <w:rsid w:val="00BC7E72"/>
    <w:rsid w:val="00BD6D46"/>
    <w:rsid w:val="00BF5908"/>
    <w:rsid w:val="00C005F3"/>
    <w:rsid w:val="00C14CEF"/>
    <w:rsid w:val="00C26804"/>
    <w:rsid w:val="00C313B2"/>
    <w:rsid w:val="00C43E54"/>
    <w:rsid w:val="00C45030"/>
    <w:rsid w:val="00C47982"/>
    <w:rsid w:val="00C507CE"/>
    <w:rsid w:val="00C53E4F"/>
    <w:rsid w:val="00C54187"/>
    <w:rsid w:val="00C76111"/>
    <w:rsid w:val="00C76DBC"/>
    <w:rsid w:val="00C85219"/>
    <w:rsid w:val="00C9427A"/>
    <w:rsid w:val="00C9598A"/>
    <w:rsid w:val="00CA716D"/>
    <w:rsid w:val="00CC3D62"/>
    <w:rsid w:val="00CD2971"/>
    <w:rsid w:val="00CD2997"/>
    <w:rsid w:val="00CD447C"/>
    <w:rsid w:val="00CE54C7"/>
    <w:rsid w:val="00CE6DAD"/>
    <w:rsid w:val="00CE7CB5"/>
    <w:rsid w:val="00CF6409"/>
    <w:rsid w:val="00D15C5F"/>
    <w:rsid w:val="00D2315A"/>
    <w:rsid w:val="00D46183"/>
    <w:rsid w:val="00D501D6"/>
    <w:rsid w:val="00D507A0"/>
    <w:rsid w:val="00D56365"/>
    <w:rsid w:val="00D616FC"/>
    <w:rsid w:val="00D64D6E"/>
    <w:rsid w:val="00D653F3"/>
    <w:rsid w:val="00D77CE4"/>
    <w:rsid w:val="00D77F38"/>
    <w:rsid w:val="00D77FCF"/>
    <w:rsid w:val="00D94D2E"/>
    <w:rsid w:val="00D97AFF"/>
    <w:rsid w:val="00DA5B9D"/>
    <w:rsid w:val="00DB586C"/>
    <w:rsid w:val="00DC0516"/>
    <w:rsid w:val="00DC2FCB"/>
    <w:rsid w:val="00DF4FC8"/>
    <w:rsid w:val="00E01AA5"/>
    <w:rsid w:val="00E027F5"/>
    <w:rsid w:val="00E1078D"/>
    <w:rsid w:val="00E16663"/>
    <w:rsid w:val="00E22581"/>
    <w:rsid w:val="00E341D7"/>
    <w:rsid w:val="00E446BF"/>
    <w:rsid w:val="00E47B01"/>
    <w:rsid w:val="00E56639"/>
    <w:rsid w:val="00E56CAE"/>
    <w:rsid w:val="00E5751D"/>
    <w:rsid w:val="00E57C42"/>
    <w:rsid w:val="00E75B56"/>
    <w:rsid w:val="00E75F3B"/>
    <w:rsid w:val="00E84226"/>
    <w:rsid w:val="00E849DD"/>
    <w:rsid w:val="00E90C0A"/>
    <w:rsid w:val="00E9264F"/>
    <w:rsid w:val="00E92AA1"/>
    <w:rsid w:val="00E942CC"/>
    <w:rsid w:val="00EA166C"/>
    <w:rsid w:val="00EC0FFF"/>
    <w:rsid w:val="00EC375D"/>
    <w:rsid w:val="00EC3E5B"/>
    <w:rsid w:val="00EC742E"/>
    <w:rsid w:val="00ED467E"/>
    <w:rsid w:val="00ED48C5"/>
    <w:rsid w:val="00ED6D83"/>
    <w:rsid w:val="00ED7B2E"/>
    <w:rsid w:val="00EF22F8"/>
    <w:rsid w:val="00EF2C94"/>
    <w:rsid w:val="00EF51C8"/>
    <w:rsid w:val="00EF658C"/>
    <w:rsid w:val="00F00770"/>
    <w:rsid w:val="00F036F2"/>
    <w:rsid w:val="00F15B9D"/>
    <w:rsid w:val="00F21179"/>
    <w:rsid w:val="00F26A99"/>
    <w:rsid w:val="00F47A6A"/>
    <w:rsid w:val="00F50D35"/>
    <w:rsid w:val="00F54179"/>
    <w:rsid w:val="00F63F47"/>
    <w:rsid w:val="00F70E15"/>
    <w:rsid w:val="00F720B9"/>
    <w:rsid w:val="00F7545E"/>
    <w:rsid w:val="00F7681B"/>
    <w:rsid w:val="00F93158"/>
    <w:rsid w:val="00F9405F"/>
    <w:rsid w:val="00F944ED"/>
    <w:rsid w:val="00F94822"/>
    <w:rsid w:val="00F963A4"/>
    <w:rsid w:val="00F9797B"/>
    <w:rsid w:val="00FB3625"/>
    <w:rsid w:val="00FB381E"/>
    <w:rsid w:val="00FC02A2"/>
    <w:rsid w:val="00FC1C80"/>
    <w:rsid w:val="00FD20EE"/>
    <w:rsid w:val="00FD3A30"/>
    <w:rsid w:val="00FD5920"/>
    <w:rsid w:val="00FD6B6C"/>
    <w:rsid w:val="00FE24B0"/>
    <w:rsid w:val="00FE2683"/>
    <w:rsid w:val="00FF2294"/>
    <w:rsid w:val="00FF3C78"/>
    <w:rsid w:val="00FF3DA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7296F0"/>
  <w15:docId w15:val="{5B7DD173-007E-470B-BCC2-0B4F47D4F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4CEF"/>
    <w:pPr>
      <w:spacing w:before="120" w:line="276" w:lineRule="auto"/>
    </w:pPr>
    <w:rPr>
      <w:lang w:eastAsia="en-US"/>
    </w:rPr>
  </w:style>
  <w:style w:type="paragraph" w:styleId="Nadpis1">
    <w:name w:val="heading 1"/>
    <w:basedOn w:val="Normln"/>
    <w:next w:val="Nadpis2"/>
    <w:link w:val="Nadpis1Char"/>
    <w:uiPriority w:val="99"/>
    <w:qFormat/>
    <w:rsid w:val="00C005F3"/>
    <w:pPr>
      <w:keepNext/>
      <w:numPr>
        <w:numId w:val="1"/>
      </w:numPr>
      <w:tabs>
        <w:tab w:val="left" w:pos="595"/>
      </w:tabs>
      <w:spacing w:before="480" w:after="120" w:line="240" w:lineRule="auto"/>
      <w:jc w:val="center"/>
      <w:outlineLvl w:val="0"/>
    </w:pPr>
    <w:rPr>
      <w:rFonts w:eastAsia="Times New Roman"/>
      <w:b/>
      <w:kern w:val="28"/>
      <w:sz w:val="28"/>
      <w:szCs w:val="20"/>
      <w:lang w:eastAsia="cs-CZ"/>
    </w:rPr>
  </w:style>
  <w:style w:type="paragraph" w:styleId="Nadpis2">
    <w:name w:val="heading 2"/>
    <w:basedOn w:val="Normln"/>
    <w:link w:val="Nadpis2Char"/>
    <w:uiPriority w:val="99"/>
    <w:qFormat/>
    <w:rsid w:val="00C005F3"/>
    <w:pPr>
      <w:numPr>
        <w:ilvl w:val="1"/>
        <w:numId w:val="1"/>
      </w:numPr>
      <w:spacing w:line="240" w:lineRule="auto"/>
      <w:jc w:val="both"/>
      <w:outlineLvl w:val="1"/>
    </w:pPr>
    <w:rPr>
      <w:rFonts w:eastAsia="Times New Roman"/>
      <w:szCs w:val="20"/>
      <w:lang w:eastAsia="cs-CZ"/>
    </w:rPr>
  </w:style>
  <w:style w:type="paragraph" w:styleId="Nadpis3">
    <w:name w:val="heading 3"/>
    <w:basedOn w:val="Normln"/>
    <w:link w:val="Nadpis3Char"/>
    <w:uiPriority w:val="99"/>
    <w:qFormat/>
    <w:rsid w:val="00C005F3"/>
    <w:pPr>
      <w:numPr>
        <w:ilvl w:val="2"/>
        <w:numId w:val="1"/>
      </w:numPr>
      <w:tabs>
        <w:tab w:val="left" w:pos="1276"/>
      </w:tabs>
      <w:spacing w:line="240" w:lineRule="auto"/>
      <w:jc w:val="both"/>
      <w:outlineLvl w:val="2"/>
    </w:pPr>
    <w:rPr>
      <w:rFonts w:eastAsia="Times New Roman"/>
      <w:szCs w:val="20"/>
      <w:lang w:eastAsia="cs-CZ"/>
    </w:rPr>
  </w:style>
  <w:style w:type="paragraph" w:styleId="Nadpis4">
    <w:name w:val="heading 4"/>
    <w:basedOn w:val="Normln"/>
    <w:next w:val="Normln"/>
    <w:link w:val="Nadpis4Char"/>
    <w:uiPriority w:val="99"/>
    <w:qFormat/>
    <w:rsid w:val="00C005F3"/>
    <w:pPr>
      <w:keepNext/>
      <w:keepLines/>
      <w:spacing w:before="200"/>
      <w:outlineLvl w:val="3"/>
    </w:pPr>
    <w:rPr>
      <w:rFonts w:eastAsia="Times New Roman"/>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C005F3"/>
    <w:rPr>
      <w:rFonts w:ascii="Calibri" w:hAnsi="Calibri" w:cs="Times New Roman"/>
      <w:b/>
      <w:kern w:val="28"/>
      <w:sz w:val="20"/>
      <w:szCs w:val="20"/>
      <w:lang w:eastAsia="cs-CZ"/>
    </w:rPr>
  </w:style>
  <w:style w:type="character" w:customStyle="1" w:styleId="Nadpis2Char">
    <w:name w:val="Nadpis 2 Char"/>
    <w:basedOn w:val="Standardnpsmoodstavce"/>
    <w:link w:val="Nadpis2"/>
    <w:uiPriority w:val="99"/>
    <w:locked/>
    <w:rsid w:val="00C005F3"/>
    <w:rPr>
      <w:rFonts w:eastAsia="Times New Roman" w:cs="Times New Roman"/>
      <w:sz w:val="20"/>
      <w:szCs w:val="20"/>
      <w:lang w:eastAsia="cs-CZ"/>
    </w:rPr>
  </w:style>
  <w:style w:type="character" w:customStyle="1" w:styleId="Nadpis3Char">
    <w:name w:val="Nadpis 3 Char"/>
    <w:basedOn w:val="Standardnpsmoodstavce"/>
    <w:link w:val="Nadpis3"/>
    <w:uiPriority w:val="99"/>
    <w:locked/>
    <w:rsid w:val="00C005F3"/>
    <w:rPr>
      <w:rFonts w:eastAsia="Times New Roman" w:cs="Times New Roman"/>
      <w:sz w:val="20"/>
      <w:szCs w:val="20"/>
      <w:lang w:eastAsia="cs-CZ"/>
    </w:rPr>
  </w:style>
  <w:style w:type="character" w:customStyle="1" w:styleId="Nadpis4Char">
    <w:name w:val="Nadpis 4 Char"/>
    <w:basedOn w:val="Standardnpsmoodstavce"/>
    <w:link w:val="Nadpis4"/>
    <w:uiPriority w:val="99"/>
    <w:locked/>
    <w:rsid w:val="00C005F3"/>
    <w:rPr>
      <w:rFonts w:ascii="Calibri" w:hAnsi="Calibri" w:cs="Times New Roman"/>
      <w:bCs/>
      <w:iCs/>
    </w:rPr>
  </w:style>
  <w:style w:type="character" w:customStyle="1" w:styleId="platne1">
    <w:name w:val="platne1"/>
    <w:basedOn w:val="Standardnpsmoodstavce"/>
    <w:uiPriority w:val="99"/>
    <w:rsid w:val="0035606E"/>
    <w:rPr>
      <w:rFonts w:cs="Times New Roman"/>
    </w:rPr>
  </w:style>
  <w:style w:type="paragraph" w:customStyle="1" w:styleId="Paragraph">
    <w:name w:val="Paragraph"/>
    <w:basedOn w:val="Normln"/>
    <w:uiPriority w:val="99"/>
    <w:rsid w:val="00C14CEF"/>
    <w:pPr>
      <w:tabs>
        <w:tab w:val="left" w:pos="2835"/>
      </w:tabs>
      <w:spacing w:line="240" w:lineRule="auto"/>
      <w:ind w:left="567"/>
      <w:jc w:val="both"/>
    </w:pPr>
    <w:rPr>
      <w:rFonts w:ascii="Arial" w:eastAsia="Times New Roman" w:hAnsi="Arial"/>
      <w:szCs w:val="20"/>
      <w:lang w:eastAsia="cs-CZ"/>
    </w:rPr>
  </w:style>
  <w:style w:type="table" w:styleId="Mkatabulky">
    <w:name w:val="Table Grid"/>
    <w:basedOn w:val="Normlntabulka"/>
    <w:uiPriority w:val="99"/>
    <w:rsid w:val="00C14CEF"/>
    <w:pPr>
      <w:tabs>
        <w:tab w:val="left" w:pos="595"/>
      </w:tab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99"/>
    <w:qFormat/>
    <w:rsid w:val="00C14CEF"/>
    <w:rPr>
      <w:lang w:eastAsia="en-US"/>
    </w:rPr>
  </w:style>
  <w:style w:type="paragraph" w:styleId="Nzev">
    <w:name w:val="Title"/>
    <w:basedOn w:val="Normln"/>
    <w:next w:val="Normln"/>
    <w:link w:val="NzevChar"/>
    <w:uiPriority w:val="99"/>
    <w:qFormat/>
    <w:rsid w:val="00437690"/>
    <w:pPr>
      <w:spacing w:before="0" w:after="300" w:line="240" w:lineRule="auto"/>
      <w:contextualSpacing/>
      <w:jc w:val="center"/>
    </w:pPr>
    <w:rPr>
      <w:rFonts w:eastAsia="Times New Roman"/>
      <w:b/>
      <w:spacing w:val="5"/>
      <w:kern w:val="28"/>
      <w:sz w:val="32"/>
      <w:szCs w:val="52"/>
    </w:rPr>
  </w:style>
  <w:style w:type="character" w:customStyle="1" w:styleId="NzevChar">
    <w:name w:val="Název Char"/>
    <w:basedOn w:val="Standardnpsmoodstavce"/>
    <w:link w:val="Nzev"/>
    <w:uiPriority w:val="99"/>
    <w:locked/>
    <w:rsid w:val="00437690"/>
    <w:rPr>
      <w:rFonts w:ascii="Calibri" w:hAnsi="Calibri" w:cs="Times New Roman"/>
      <w:b/>
      <w:spacing w:val="5"/>
      <w:kern w:val="28"/>
      <w:sz w:val="52"/>
      <w:szCs w:val="52"/>
    </w:rPr>
  </w:style>
  <w:style w:type="paragraph" w:styleId="Zhlav">
    <w:name w:val="header"/>
    <w:basedOn w:val="Normln"/>
    <w:link w:val="ZhlavChar"/>
    <w:uiPriority w:val="99"/>
    <w:rsid w:val="00CE6DAD"/>
    <w:pPr>
      <w:tabs>
        <w:tab w:val="center" w:pos="4536"/>
        <w:tab w:val="right" w:pos="9072"/>
      </w:tabs>
      <w:spacing w:before="0" w:line="240" w:lineRule="auto"/>
    </w:pPr>
  </w:style>
  <w:style w:type="character" w:customStyle="1" w:styleId="ZhlavChar">
    <w:name w:val="Záhlaví Char"/>
    <w:basedOn w:val="Standardnpsmoodstavce"/>
    <w:link w:val="Zhlav"/>
    <w:uiPriority w:val="99"/>
    <w:locked/>
    <w:rsid w:val="00CE6DAD"/>
    <w:rPr>
      <w:rFonts w:ascii="Calibri" w:hAnsi="Calibri" w:cs="Times New Roman"/>
    </w:rPr>
  </w:style>
  <w:style w:type="paragraph" w:styleId="Zpat">
    <w:name w:val="footer"/>
    <w:basedOn w:val="Normln"/>
    <w:link w:val="ZpatChar"/>
    <w:uiPriority w:val="99"/>
    <w:rsid w:val="00CE6DAD"/>
    <w:pPr>
      <w:tabs>
        <w:tab w:val="center" w:pos="4536"/>
        <w:tab w:val="right" w:pos="9072"/>
      </w:tabs>
      <w:spacing w:before="0" w:line="240" w:lineRule="auto"/>
    </w:pPr>
  </w:style>
  <w:style w:type="character" w:customStyle="1" w:styleId="ZpatChar">
    <w:name w:val="Zápatí Char"/>
    <w:basedOn w:val="Standardnpsmoodstavce"/>
    <w:link w:val="Zpat"/>
    <w:uiPriority w:val="99"/>
    <w:locked/>
    <w:rsid w:val="00CE6DAD"/>
    <w:rPr>
      <w:rFonts w:ascii="Calibri" w:hAnsi="Calibri" w:cs="Times New Roman"/>
    </w:rPr>
  </w:style>
  <w:style w:type="paragraph" w:styleId="Odstavecseseznamem">
    <w:name w:val="List Paragraph"/>
    <w:basedOn w:val="Normln"/>
    <w:uiPriority w:val="34"/>
    <w:qFormat/>
    <w:rsid w:val="005A1205"/>
    <w:pPr>
      <w:ind w:left="720"/>
      <w:contextualSpacing/>
    </w:pPr>
  </w:style>
  <w:style w:type="character" w:styleId="Odkaznakoment">
    <w:name w:val="annotation reference"/>
    <w:basedOn w:val="Standardnpsmoodstavce"/>
    <w:uiPriority w:val="99"/>
    <w:semiHidden/>
    <w:rsid w:val="005A7A6E"/>
    <w:rPr>
      <w:rFonts w:cs="Times New Roman"/>
      <w:sz w:val="16"/>
      <w:szCs w:val="16"/>
    </w:rPr>
  </w:style>
  <w:style w:type="paragraph" w:styleId="Textkomente">
    <w:name w:val="annotation text"/>
    <w:basedOn w:val="Normln"/>
    <w:link w:val="TextkomenteChar"/>
    <w:uiPriority w:val="99"/>
    <w:semiHidden/>
    <w:rsid w:val="005A7A6E"/>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5A7A6E"/>
    <w:rPr>
      <w:rFonts w:ascii="Calibri" w:hAnsi="Calibri" w:cs="Times New Roman"/>
      <w:sz w:val="20"/>
      <w:szCs w:val="20"/>
    </w:rPr>
  </w:style>
  <w:style w:type="paragraph" w:styleId="Pedmtkomente">
    <w:name w:val="annotation subject"/>
    <w:basedOn w:val="Textkomente"/>
    <w:next w:val="Textkomente"/>
    <w:link w:val="PedmtkomenteChar"/>
    <w:uiPriority w:val="99"/>
    <w:semiHidden/>
    <w:rsid w:val="005A7A6E"/>
    <w:rPr>
      <w:b/>
      <w:bCs/>
    </w:rPr>
  </w:style>
  <w:style w:type="character" w:customStyle="1" w:styleId="PedmtkomenteChar">
    <w:name w:val="Předmět komentáře Char"/>
    <w:basedOn w:val="TextkomenteChar"/>
    <w:link w:val="Pedmtkomente"/>
    <w:uiPriority w:val="99"/>
    <w:semiHidden/>
    <w:locked/>
    <w:rsid w:val="005A7A6E"/>
    <w:rPr>
      <w:rFonts w:ascii="Calibri" w:hAnsi="Calibri" w:cs="Times New Roman"/>
      <w:b/>
      <w:bCs/>
      <w:sz w:val="20"/>
      <w:szCs w:val="20"/>
    </w:rPr>
  </w:style>
  <w:style w:type="paragraph" w:styleId="Revize">
    <w:name w:val="Revision"/>
    <w:hidden/>
    <w:uiPriority w:val="99"/>
    <w:semiHidden/>
    <w:rsid w:val="005A7A6E"/>
    <w:rPr>
      <w:lang w:eastAsia="en-US"/>
    </w:rPr>
  </w:style>
  <w:style w:type="paragraph" w:styleId="Textbubliny">
    <w:name w:val="Balloon Text"/>
    <w:basedOn w:val="Normln"/>
    <w:link w:val="TextbublinyChar"/>
    <w:uiPriority w:val="99"/>
    <w:semiHidden/>
    <w:rsid w:val="005A7A6E"/>
    <w:pPr>
      <w:spacing w:before="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A7A6E"/>
    <w:rPr>
      <w:rFonts w:ascii="Tahoma" w:hAnsi="Tahoma" w:cs="Tahoma"/>
      <w:sz w:val="16"/>
      <w:szCs w:val="16"/>
    </w:rPr>
  </w:style>
  <w:style w:type="character" w:customStyle="1" w:styleId="st">
    <w:name w:val="st"/>
    <w:basedOn w:val="Standardnpsmoodstavce"/>
    <w:uiPriority w:val="99"/>
    <w:rsid w:val="00E75B56"/>
    <w:rPr>
      <w:rFonts w:cs="Times New Roman"/>
    </w:rPr>
  </w:style>
  <w:style w:type="character" w:styleId="Zdraznn">
    <w:name w:val="Emphasis"/>
    <w:basedOn w:val="Standardnpsmoodstavce"/>
    <w:uiPriority w:val="99"/>
    <w:qFormat/>
    <w:rsid w:val="00E75B56"/>
    <w:rPr>
      <w:rFonts w:cs="Times New Roman"/>
      <w:i/>
      <w:iCs/>
    </w:rPr>
  </w:style>
  <w:style w:type="paragraph" w:styleId="Zkladntext3">
    <w:name w:val="Body Text 3"/>
    <w:basedOn w:val="Normln"/>
    <w:link w:val="Zkladntext3Char"/>
    <w:uiPriority w:val="99"/>
    <w:rsid w:val="00CF6409"/>
    <w:pPr>
      <w:spacing w:before="0" w:line="240" w:lineRule="auto"/>
    </w:pPr>
    <w:rPr>
      <w:sz w:val="21"/>
      <w:szCs w:val="21"/>
      <w:lang w:eastAsia="cs-CZ"/>
    </w:rPr>
  </w:style>
  <w:style w:type="character" w:customStyle="1" w:styleId="Zkladntext3Char">
    <w:name w:val="Základní text 3 Char"/>
    <w:basedOn w:val="Standardnpsmoodstavce"/>
    <w:link w:val="Zkladntext3"/>
    <w:uiPriority w:val="99"/>
    <w:semiHidden/>
    <w:locked/>
    <w:rsid w:val="002900AE"/>
    <w:rPr>
      <w:rFonts w:cs="Times New Roman"/>
      <w:sz w:val="16"/>
      <w:szCs w:val="16"/>
      <w:lang w:eastAsia="en-US"/>
    </w:rPr>
  </w:style>
  <w:style w:type="character" w:styleId="Hypertextovodkaz">
    <w:name w:val="Hyperlink"/>
    <w:basedOn w:val="Standardnpsmoodstavce"/>
    <w:uiPriority w:val="99"/>
    <w:semiHidden/>
    <w:unhideWhenUsed/>
    <w:rsid w:val="009724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287488">
      <w:bodyDiv w:val="1"/>
      <w:marLeft w:val="0"/>
      <w:marRight w:val="0"/>
      <w:marTop w:val="0"/>
      <w:marBottom w:val="0"/>
      <w:divBdr>
        <w:top w:val="none" w:sz="0" w:space="0" w:color="auto"/>
        <w:left w:val="none" w:sz="0" w:space="0" w:color="auto"/>
        <w:bottom w:val="none" w:sz="0" w:space="0" w:color="auto"/>
        <w:right w:val="none" w:sz="0" w:space="0" w:color="auto"/>
      </w:divBdr>
    </w:div>
    <w:div w:id="195593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B1ABB-A012-45C5-9BA3-1D5F62884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1495</Words>
  <Characters>8824</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SMLOUVA O PARTNERSKÉ SPOLUPRÁCI</vt:lpstr>
    </vt:vector>
  </TitlesOfParts>
  <Company>AIMTEC a.s</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PARTNERSKÉ SPOLUPRÁCI</dc:title>
  <dc:creator>foln</dc:creator>
  <cp:lastModifiedBy>Blanka Grebeňová</cp:lastModifiedBy>
  <cp:revision>2</cp:revision>
  <cp:lastPrinted>2016-02-19T08:11:00Z</cp:lastPrinted>
  <dcterms:created xsi:type="dcterms:W3CDTF">2022-03-09T06:25:00Z</dcterms:created>
  <dcterms:modified xsi:type="dcterms:W3CDTF">2022-03-09T06:25:00Z</dcterms:modified>
</cp:coreProperties>
</file>