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9F" w:rsidRDefault="00F27DC6">
      <w:pPr>
        <w:pStyle w:val="Bodytext30"/>
        <w:framePr w:w="3629" w:h="370" w:wrap="none" w:hAnchor="page" w:x="1741" w:y="1"/>
      </w:pPr>
      <w:bookmarkStart w:id="0" w:name="_GoBack"/>
      <w:bookmarkEnd w:id="0"/>
      <w:r>
        <w:t>Položkový rozpočet stavby</w:t>
      </w:r>
    </w:p>
    <w:p w:rsidR="000D6B9F" w:rsidRDefault="00F27DC6">
      <w:pPr>
        <w:pStyle w:val="Bodytext10"/>
        <w:framePr w:w="1637" w:h="226" w:wrap="none" w:hAnchor="page" w:x="9243" w:y="107"/>
        <w:rPr>
          <w:sz w:val="18"/>
          <w:szCs w:val="18"/>
        </w:rPr>
      </w:pPr>
      <w:r>
        <w:rPr>
          <w:sz w:val="18"/>
          <w:szCs w:val="18"/>
        </w:rPr>
        <w:t>Datum: 07.03.2022</w:t>
      </w:r>
    </w:p>
    <w:p w:rsidR="000D6B9F" w:rsidRDefault="00F27DC6">
      <w:pPr>
        <w:pStyle w:val="Bodytext20"/>
        <w:framePr w:w="8050" w:h="307" w:wrap="none" w:hAnchor="page" w:x="1760" w:y="515"/>
      </w:pPr>
      <w:r>
        <w:rPr>
          <w:b w:val="0"/>
          <w:bCs w:val="0"/>
        </w:rPr>
        <w:t xml:space="preserve">Stavba : </w:t>
      </w:r>
      <w:r>
        <w:t>KOM-257 Rozšíření parkovacích míst a chodníky,ul.Peřinkova</w:t>
      </w:r>
    </w:p>
    <w:p w:rsidR="000D6B9F" w:rsidRDefault="00F27DC6">
      <w:pPr>
        <w:pStyle w:val="Bodytext10"/>
        <w:framePr w:w="1166" w:h="250" w:wrap="none" w:hAnchor="page" w:x="1453" w:y="1081"/>
      </w:pPr>
      <w:r>
        <w:rPr>
          <w:b/>
          <w:bCs/>
        </w:rPr>
        <w:t>Objednatel :</w:t>
      </w:r>
    </w:p>
    <w:p w:rsidR="000D6B9F" w:rsidRDefault="00F27DC6">
      <w:pPr>
        <w:pStyle w:val="Bodytext10"/>
        <w:framePr w:w="4325" w:h="485" w:wrap="none" w:hAnchor="page" w:x="1510" w:y="2070"/>
      </w:pPr>
      <w:r>
        <w:rPr>
          <w:b/>
          <w:bCs/>
        </w:rPr>
        <w:t xml:space="preserve">Zhotovitel : </w:t>
      </w:r>
      <w:r>
        <w:t>AF - PROSTAVBY.s.r.o.</w:t>
      </w:r>
    </w:p>
    <w:p w:rsidR="000D6B9F" w:rsidRDefault="00F27DC6">
      <w:pPr>
        <w:pStyle w:val="Bodytext10"/>
        <w:framePr w:w="4325" w:h="485" w:wrap="none" w:hAnchor="page" w:x="1510" w:y="2070"/>
        <w:ind w:left="1220"/>
      </w:pPr>
      <w:r>
        <w:t>Družstevní I / 228,763 21 Slavičín</w:t>
      </w:r>
    </w:p>
    <w:p w:rsidR="000D6B9F" w:rsidRDefault="00F27DC6">
      <w:pPr>
        <w:pStyle w:val="Bodytext10"/>
        <w:framePr w:w="1704" w:h="509" w:wrap="none" w:hAnchor="page" w:x="9406" w:y="2031"/>
      </w:pPr>
      <w:r>
        <w:t>IČO : 060 48 307</w:t>
      </w:r>
    </w:p>
    <w:p w:rsidR="000D6B9F" w:rsidRDefault="00F27DC6">
      <w:pPr>
        <w:pStyle w:val="Bodytext10"/>
        <w:framePr w:w="1704" w:h="509" w:wrap="none" w:hAnchor="page" w:x="9406" w:y="2031"/>
      </w:pPr>
      <w:r>
        <w:t>DIČ : CZ06048307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5678"/>
      </w:tblGrid>
      <w:tr w:rsidR="000D6B9F">
        <w:trPr>
          <w:trHeight w:hRule="exact" w:val="278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C9CBC7"/>
          </w:tcPr>
          <w:p w:rsidR="000D6B9F" w:rsidRDefault="000D6B9F">
            <w:pPr>
              <w:framePr w:w="10435" w:h="1670" w:wrap="none" w:hAnchor="page" w:x="891" w:y="3020"/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BC7"/>
            <w:vAlign w:val="bottom"/>
          </w:tcPr>
          <w:p w:rsidR="000D6B9F" w:rsidRDefault="00F27DC6">
            <w:pPr>
              <w:pStyle w:val="Other10"/>
              <w:framePr w:w="10435" w:h="1670" w:wrap="none" w:hAnchor="page" w:x="891" w:y="3020"/>
              <w:jc w:val="right"/>
            </w:pPr>
            <w:r>
              <w:t>Rozpočtové náklady</w:t>
            </w:r>
          </w:p>
        </w:tc>
      </w:tr>
      <w:tr w:rsidR="000D6B9F">
        <w:trPr>
          <w:trHeight w:hRule="exact" w:val="1046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5" w:h="1670" w:wrap="none" w:hAnchor="page" w:x="891" w:y="3020"/>
              <w:tabs>
                <w:tab w:val="left" w:pos="3595"/>
              </w:tabs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Základ pro DPH</w:t>
            </w:r>
            <w:r>
              <w:rPr>
                <w:b w:val="0"/>
                <w:bCs w:val="0"/>
                <w:sz w:val="19"/>
                <w:szCs w:val="19"/>
              </w:rPr>
              <w:tab/>
              <w:t>15%</w:t>
            </w:r>
          </w:p>
          <w:p w:rsidR="000D6B9F" w:rsidRDefault="00F27DC6">
            <w:pPr>
              <w:pStyle w:val="Other10"/>
              <w:framePr w:w="10435" w:h="1670" w:wrap="none" w:hAnchor="page" w:x="891" w:y="3020"/>
              <w:tabs>
                <w:tab w:val="left" w:pos="3586"/>
                <w:tab w:val="right" w:pos="4123"/>
              </w:tabs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DPH</w:t>
            </w:r>
            <w:r>
              <w:rPr>
                <w:b w:val="0"/>
                <w:bCs w:val="0"/>
                <w:sz w:val="19"/>
                <w:szCs w:val="19"/>
              </w:rPr>
              <w:tab/>
              <w:t>15</w:t>
            </w:r>
            <w:r>
              <w:rPr>
                <w:b w:val="0"/>
                <w:bCs w:val="0"/>
                <w:sz w:val="19"/>
                <w:szCs w:val="19"/>
              </w:rPr>
              <w:tab/>
              <w:t>%</w:t>
            </w:r>
          </w:p>
          <w:p w:rsidR="000D6B9F" w:rsidRDefault="00F27DC6">
            <w:pPr>
              <w:pStyle w:val="Other10"/>
              <w:framePr w:w="10435" w:h="1670" w:wrap="none" w:hAnchor="page" w:x="891" w:y="3020"/>
              <w:tabs>
                <w:tab w:val="left" w:pos="3595"/>
                <w:tab w:val="right" w:pos="4133"/>
              </w:tabs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Základ pro DPH</w:t>
            </w:r>
            <w:r>
              <w:rPr>
                <w:b w:val="0"/>
                <w:bCs w:val="0"/>
                <w:sz w:val="19"/>
                <w:szCs w:val="19"/>
              </w:rPr>
              <w:tab/>
              <w:t>21</w:t>
            </w:r>
            <w:r>
              <w:rPr>
                <w:b w:val="0"/>
                <w:bCs w:val="0"/>
                <w:sz w:val="19"/>
                <w:szCs w:val="19"/>
              </w:rPr>
              <w:tab/>
              <w:t>%</w:t>
            </w:r>
          </w:p>
          <w:p w:rsidR="000D6B9F" w:rsidRDefault="00F27DC6">
            <w:pPr>
              <w:pStyle w:val="Other10"/>
              <w:framePr w:w="10435" w:h="1670" w:wrap="none" w:hAnchor="page" w:x="891" w:y="3020"/>
              <w:tabs>
                <w:tab w:val="left" w:pos="3586"/>
                <w:tab w:val="right" w:pos="4123"/>
              </w:tabs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DPH</w:t>
            </w:r>
            <w:r>
              <w:rPr>
                <w:b w:val="0"/>
                <w:bCs w:val="0"/>
                <w:sz w:val="19"/>
                <w:szCs w:val="19"/>
              </w:rPr>
              <w:tab/>
              <w:t>21</w:t>
            </w:r>
            <w:r>
              <w:rPr>
                <w:b w:val="0"/>
                <w:bCs w:val="0"/>
                <w:sz w:val="19"/>
                <w:szCs w:val="19"/>
              </w:rPr>
              <w:tab/>
              <w:t>%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5" w:h="1670" w:wrap="none" w:hAnchor="page" w:x="891" w:y="3020"/>
              <w:spacing w:after="4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0,00</w:t>
            </w:r>
          </w:p>
          <w:p w:rsidR="000D6B9F" w:rsidRDefault="00F27DC6">
            <w:pPr>
              <w:pStyle w:val="Other10"/>
              <w:framePr w:w="10435" w:h="1670" w:wrap="none" w:hAnchor="page" w:x="891" w:y="3020"/>
              <w:spacing w:after="4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0,00</w:t>
            </w:r>
          </w:p>
          <w:p w:rsidR="000D6B9F" w:rsidRDefault="00F27DC6">
            <w:pPr>
              <w:pStyle w:val="Other10"/>
              <w:framePr w:w="10435" w:h="1670" w:wrap="none" w:hAnchor="page" w:x="891" w:y="3020"/>
              <w:spacing w:after="4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791 824,46</w:t>
            </w:r>
          </w:p>
          <w:p w:rsidR="000D6B9F" w:rsidRDefault="00F27DC6">
            <w:pPr>
              <w:pStyle w:val="Other10"/>
              <w:framePr w:w="10435" w:h="1670" w:wrap="none" w:hAnchor="page" w:x="891" w:y="3020"/>
              <w:spacing w:after="4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166 283,10</w:t>
            </w:r>
          </w:p>
        </w:tc>
      </w:tr>
      <w:tr w:rsidR="000D6B9F">
        <w:trPr>
          <w:trHeight w:hRule="exact" w:val="346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C0"/>
          </w:tcPr>
          <w:p w:rsidR="000D6B9F" w:rsidRDefault="00F27DC6">
            <w:pPr>
              <w:pStyle w:val="Other10"/>
              <w:framePr w:w="10435" w:h="1670" w:wrap="none" w:hAnchor="page" w:x="891" w:y="3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 za stavbu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0"/>
          </w:tcPr>
          <w:p w:rsidR="000D6B9F" w:rsidRDefault="00F27DC6">
            <w:pPr>
              <w:pStyle w:val="Other10"/>
              <w:framePr w:w="10435" w:h="1670" w:wrap="none" w:hAnchor="page" w:x="891" w:y="30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958 107,56</w:t>
            </w:r>
          </w:p>
        </w:tc>
      </w:tr>
    </w:tbl>
    <w:p w:rsidR="000D6B9F" w:rsidRDefault="000D6B9F">
      <w:pPr>
        <w:framePr w:w="10435" w:h="1670" w:wrap="none" w:hAnchor="page" w:x="891" w:y="3020"/>
        <w:spacing w:line="1" w:lineRule="exact"/>
      </w:pPr>
    </w:p>
    <w:p w:rsidR="000D6B9F" w:rsidRDefault="00F27DC6">
      <w:pPr>
        <w:pStyle w:val="Bodytext20"/>
        <w:framePr w:w="6331" w:h="312" w:wrap="none" w:hAnchor="page" w:x="929" w:y="5199"/>
      </w:pPr>
      <w:r>
        <w:t>Rekapitulace stavebních objektů a provozních souborů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214"/>
        <w:gridCol w:w="1843"/>
        <w:gridCol w:w="1210"/>
        <w:gridCol w:w="1224"/>
        <w:gridCol w:w="1402"/>
      </w:tblGrid>
      <w:tr w:rsidR="000D6B9F">
        <w:trPr>
          <w:trHeight w:hRule="exact" w:val="480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9CBC7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</w:pPr>
            <w:r>
              <w:t>Číslo a název objektu / provozního souboru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9CBC7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C9CBC7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spacing w:after="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DPH</w:t>
            </w:r>
          </w:p>
          <w:p w:rsidR="000D6B9F" w:rsidRDefault="00F27DC6">
            <w:pPr>
              <w:pStyle w:val="Other10"/>
              <w:framePr w:w="10430" w:h="1330" w:wrap="none" w:hAnchor="page" w:x="891" w:y="5579"/>
              <w:ind w:firstLine="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C9CBC7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DPH</w:t>
            </w:r>
          </w:p>
          <w:p w:rsidR="000D6B9F" w:rsidRDefault="00F27DC6">
            <w:pPr>
              <w:pStyle w:val="Other10"/>
              <w:framePr w:w="10430" w:h="1330" w:wrap="none" w:hAnchor="page" w:x="891" w:y="5579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BC7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 celkem</w:t>
            </w:r>
          </w:p>
        </w:tc>
      </w:tr>
      <w:tr w:rsidR="000D6B9F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ind w:firstLine="280"/>
            </w:pPr>
            <w:r>
              <w:rPr>
                <w:b w:val="0"/>
                <w:bCs w:val="0"/>
              </w:rPr>
              <w:t>Rozšíření parkovacích míst a chodníky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t>901 843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ind w:firstLine="500"/>
            </w:pPr>
            <w:r>
              <w:rPr>
                <w:b w:val="0"/>
                <w:bCs w:val="0"/>
              </w:rPr>
              <w:t>745 324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rPr>
                <w:b w:val="0"/>
                <w:bCs w:val="0"/>
              </w:rPr>
              <w:t>156 518</w:t>
            </w:r>
          </w:p>
        </w:tc>
      </w:tr>
      <w:tr w:rsidR="000D6B9F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</w:pPr>
            <w:r>
              <w:t>02</w:t>
            </w:r>
          </w:p>
        </w:tc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ind w:firstLine="280"/>
            </w:pPr>
            <w:r>
              <w:rPr>
                <w:b w:val="0"/>
                <w:bCs w:val="0"/>
              </w:rPr>
              <w:t>VRN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t>56 265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rPr>
                <w:b w:val="0"/>
                <w:bCs w:val="0"/>
              </w:rPr>
              <w:t>46 500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rPr>
                <w:b w:val="0"/>
                <w:bCs w:val="0"/>
              </w:rPr>
              <w:t>9 765</w:t>
            </w:r>
          </w:p>
        </w:tc>
      </w:tr>
      <w:tr w:rsidR="000D6B9F">
        <w:trPr>
          <w:trHeight w:hRule="exact" w:val="355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C0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</w:pPr>
            <w:r>
              <w:t>Celkem za stavbu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C0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t>958 108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C0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EC0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t>791 824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0"/>
            <w:vAlign w:val="center"/>
          </w:tcPr>
          <w:p w:rsidR="000D6B9F" w:rsidRDefault="00F27DC6">
            <w:pPr>
              <w:pStyle w:val="Other10"/>
              <w:framePr w:w="10430" w:h="1330" w:wrap="none" w:hAnchor="page" w:x="891" w:y="5579"/>
              <w:jc w:val="right"/>
            </w:pPr>
            <w:r>
              <w:t>166 283</w:t>
            </w:r>
          </w:p>
        </w:tc>
      </w:tr>
    </w:tbl>
    <w:p w:rsidR="000D6B9F" w:rsidRDefault="000D6B9F">
      <w:pPr>
        <w:framePr w:w="10430" w:h="1330" w:wrap="none" w:hAnchor="page" w:x="891" w:y="5579"/>
        <w:spacing w:line="1" w:lineRule="exact"/>
      </w:pPr>
    </w:p>
    <w:p w:rsidR="000D6B9F" w:rsidRDefault="00F27DC6">
      <w:pPr>
        <w:pStyle w:val="Bodytext10"/>
        <w:framePr w:w="1282" w:h="235" w:wrap="none" w:hAnchor="page" w:x="2710" w:y="9126"/>
        <w:pBdr>
          <w:top w:val="single" w:sz="4" w:space="0" w:color="auto"/>
        </w:pBdr>
      </w:pPr>
      <w:r>
        <w:t>Za zhotovitele</w:t>
      </w:r>
    </w:p>
    <w:p w:rsidR="000D6B9F" w:rsidRDefault="00F27DC6">
      <w:pPr>
        <w:pStyle w:val="Bodytext10"/>
        <w:framePr w:w="1368" w:h="245" w:wrap="none" w:hAnchor="page" w:x="8629" w:y="9116"/>
        <w:pBdr>
          <w:top w:val="single" w:sz="4" w:space="0" w:color="auto"/>
        </w:pBdr>
        <w:jc w:val="center"/>
      </w:pPr>
      <w:r>
        <w:t>Za objednatele</w:t>
      </w:r>
    </w:p>
    <w:p w:rsidR="000D6B9F" w:rsidRDefault="00F27DC6">
      <w:pPr>
        <w:pStyle w:val="Bodytext10"/>
        <w:framePr w:w="4205" w:h="245" w:wrap="none" w:hAnchor="page" w:x="1016" w:y="15505"/>
        <w:rPr>
          <w:sz w:val="18"/>
          <w:szCs w:val="18"/>
        </w:rPr>
      </w:pPr>
      <w:r>
        <w:rPr>
          <w:sz w:val="18"/>
          <w:szCs w:val="18"/>
        </w:rPr>
        <w:t xml:space="preserve">Zpracováno programem </w:t>
      </w:r>
      <w:r>
        <w:rPr>
          <w:b/>
          <w:bCs/>
          <w:sz w:val="18"/>
          <w:szCs w:val="18"/>
          <w:lang w:val="en-US" w:eastAsia="en-US" w:bidi="en-US"/>
        </w:rPr>
        <w:t xml:space="preserve">BUILDpower, </w:t>
      </w:r>
      <w:r>
        <w:rPr>
          <w:b/>
          <w:bCs/>
          <w:sz w:val="18"/>
          <w:szCs w:val="18"/>
        </w:rPr>
        <w:t>© RTS, a.s.</w:t>
      </w:r>
    </w:p>
    <w:p w:rsidR="000D6B9F" w:rsidRDefault="00F27DC6">
      <w:pPr>
        <w:pStyle w:val="Bodytext10"/>
        <w:framePr w:w="1070" w:h="226" w:wrap="none" w:hAnchor="page" w:x="9661" w:y="15481"/>
        <w:rPr>
          <w:sz w:val="18"/>
          <w:szCs w:val="18"/>
        </w:rPr>
      </w:pPr>
      <w:r>
        <w:rPr>
          <w:sz w:val="18"/>
          <w:szCs w:val="18"/>
        </w:rPr>
        <w:t>Stránka 1 z 1</w:t>
      </w: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line="360" w:lineRule="exact"/>
      </w:pPr>
    </w:p>
    <w:p w:rsidR="000D6B9F" w:rsidRDefault="000D6B9F">
      <w:pPr>
        <w:spacing w:after="628" w:line="1" w:lineRule="exact"/>
      </w:pPr>
    </w:p>
    <w:p w:rsidR="000D6B9F" w:rsidRDefault="000D6B9F">
      <w:pPr>
        <w:spacing w:line="1" w:lineRule="exact"/>
      </w:pPr>
    </w:p>
    <w:sectPr w:rsidR="000D6B9F">
      <w:pgSz w:w="11900" w:h="16840"/>
      <w:pgMar w:top="801" w:right="575" w:bottom="90" w:left="890" w:header="37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68" w:rsidRDefault="00615468">
      <w:r>
        <w:separator/>
      </w:r>
    </w:p>
  </w:endnote>
  <w:endnote w:type="continuationSeparator" w:id="0">
    <w:p w:rsidR="00615468" w:rsidRDefault="0061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68" w:rsidRDefault="00615468"/>
  </w:footnote>
  <w:footnote w:type="continuationSeparator" w:id="0">
    <w:p w:rsidR="00615468" w:rsidRDefault="006154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9F"/>
    <w:rsid w:val="000D6B9F"/>
    <w:rsid w:val="002D52A0"/>
    <w:rsid w:val="00615468"/>
    <w:rsid w:val="009B0493"/>
    <w:rsid w:val="00F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A04B-9177-40EB-9027-34C3DDC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30"/>
      <w:szCs w:val="3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2022-03-08T14:27:00Z</dcterms:created>
  <dcterms:modified xsi:type="dcterms:W3CDTF">2022-03-08T14:27:00Z</dcterms:modified>
</cp:coreProperties>
</file>