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EB" w:rsidRDefault="001905E1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3560" cy="6750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FD24EB" w:rsidRDefault="001905E1">
      <w:pPr>
        <w:spacing w:after="136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FD24EB" w:rsidRDefault="001905E1">
      <w:pPr>
        <w:spacing w:after="0" w:line="259" w:lineRule="auto"/>
        <w:ind w:left="703" w:right="0"/>
        <w:jc w:val="left"/>
      </w:pPr>
      <w:r>
        <w:rPr>
          <w:b/>
          <w:sz w:val="40"/>
        </w:rPr>
        <w:t xml:space="preserve">MAXIMA pojišťovna, a.s. </w:t>
      </w:r>
    </w:p>
    <w:p w:rsidR="00FD24EB" w:rsidRDefault="001905E1">
      <w:pPr>
        <w:spacing w:after="0"/>
        <w:ind w:left="703" w:right="3578"/>
        <w:jc w:val="left"/>
      </w:pPr>
      <w:r>
        <w:rPr>
          <w:sz w:val="22"/>
        </w:rPr>
        <w:t>se sídlem Italská 1583/24</w:t>
      </w:r>
      <w:r>
        <w:rPr>
          <w:sz w:val="22"/>
        </w:rPr>
        <w:t>, 120 00 Praha 2</w:t>
      </w:r>
      <w:r>
        <w:rPr>
          <w:sz w:val="22"/>
        </w:rPr>
        <w:t>, Česká republika</w:t>
      </w:r>
      <w:r>
        <w:rPr>
          <w:sz w:val="22"/>
        </w:rPr>
        <w:t xml:space="preserve"> </w:t>
      </w:r>
      <w:r>
        <w:rPr>
          <w:sz w:val="22"/>
        </w:rPr>
        <w:t>IČ</w:t>
      </w:r>
      <w:r>
        <w:rPr>
          <w:sz w:val="22"/>
        </w:rPr>
        <w:t xml:space="preserve">: 613 28 464 </w:t>
      </w:r>
    </w:p>
    <w:p w:rsidR="00FD24EB" w:rsidRDefault="001905E1">
      <w:pPr>
        <w:spacing w:after="0"/>
        <w:ind w:left="703" w:right="0"/>
        <w:jc w:val="left"/>
      </w:pPr>
      <w:r>
        <w:rPr>
          <w:sz w:val="22"/>
        </w:rPr>
        <w:t>právnická osoba zapsaná</w:t>
      </w:r>
      <w:r>
        <w:rPr>
          <w:sz w:val="22"/>
        </w:rPr>
        <w:t xml:space="preserve"> v </w:t>
      </w:r>
      <w:r>
        <w:rPr>
          <w:sz w:val="22"/>
        </w:rPr>
        <w:t>obchodním rejstříku, vedené</w:t>
      </w:r>
      <w:r>
        <w:rPr>
          <w:sz w:val="22"/>
        </w:rPr>
        <w:t xml:space="preserve">m </w:t>
      </w:r>
      <w:r>
        <w:rPr>
          <w:sz w:val="22"/>
        </w:rPr>
        <w:t>Městským soudem v Praze, oddíl B, vložka 3314</w:t>
      </w:r>
      <w:r>
        <w:rPr>
          <w:sz w:val="22"/>
        </w:rPr>
        <w:t xml:space="preserve"> </w:t>
      </w:r>
    </w:p>
    <w:p w:rsidR="00FD24EB" w:rsidRDefault="001905E1">
      <w:pPr>
        <w:spacing w:after="0"/>
        <w:ind w:left="703" w:right="0"/>
        <w:jc w:val="left"/>
      </w:pPr>
      <w:r>
        <w:rPr>
          <w:sz w:val="22"/>
        </w:rPr>
        <w:t>zastoupená na základě zmocnění níže podepsanými osob</w:t>
      </w:r>
      <w:r>
        <w:rPr>
          <w:sz w:val="22"/>
        </w:rPr>
        <w:t xml:space="preserve">ami 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pStyle w:val="Nadpis1"/>
        <w:ind w:left="703" w:hanging="10"/>
        <w:jc w:val="left"/>
      </w:pPr>
      <w:r>
        <w:rPr>
          <w:b w:val="0"/>
          <w:sz w:val="22"/>
        </w:rPr>
        <w:t xml:space="preserve">(dále jen </w:t>
      </w:r>
      <w:r>
        <w:rPr>
          <w:sz w:val="22"/>
        </w:rPr>
        <w:t>„pojistitel“</w:t>
      </w:r>
      <w:r>
        <w:rPr>
          <w:b w:val="0"/>
          <w:sz w:val="22"/>
        </w:rPr>
        <w:t xml:space="preserve">)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FD24EB" w:rsidRDefault="001905E1">
      <w:pPr>
        <w:spacing w:after="0" w:line="259" w:lineRule="auto"/>
        <w:ind w:left="636" w:right="0" w:firstLine="0"/>
        <w:jc w:val="center"/>
      </w:pPr>
      <w:r>
        <w:rPr>
          <w:b/>
          <w:sz w:val="22"/>
        </w:rPr>
        <w:t xml:space="preserve">a </w:t>
      </w:r>
    </w:p>
    <w:p w:rsidR="00FD24EB" w:rsidRDefault="001905E1">
      <w:pPr>
        <w:spacing w:after="0" w:line="259" w:lineRule="auto"/>
        <w:ind w:left="707" w:right="0" w:firstLine="0"/>
        <w:jc w:val="center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707" w:right="0" w:firstLine="0"/>
        <w:jc w:val="center"/>
      </w:pPr>
      <w:r>
        <w:rPr>
          <w:sz w:val="22"/>
        </w:rPr>
        <w:t xml:space="preserve"> </w:t>
      </w:r>
    </w:p>
    <w:p w:rsidR="00FD24EB" w:rsidRDefault="001905E1">
      <w:pPr>
        <w:spacing w:after="180" w:line="259" w:lineRule="auto"/>
        <w:ind w:left="700" w:right="0" w:firstLine="0"/>
        <w:jc w:val="center"/>
      </w:pPr>
      <w:r>
        <w:t xml:space="preserve"> </w:t>
      </w:r>
    </w:p>
    <w:p w:rsidR="00FD24EB" w:rsidRDefault="001905E1">
      <w:pPr>
        <w:spacing w:after="0" w:line="259" w:lineRule="auto"/>
        <w:ind w:left="703" w:right="0"/>
        <w:jc w:val="left"/>
      </w:pPr>
      <w:r>
        <w:rPr>
          <w:b/>
          <w:sz w:val="40"/>
        </w:rPr>
        <w:t xml:space="preserve">Sportovní zařízení města Příbram  </w:t>
      </w:r>
    </w:p>
    <w:p w:rsidR="00FD24EB" w:rsidRDefault="001905E1">
      <w:pPr>
        <w:spacing w:after="0"/>
        <w:ind w:left="703" w:right="2450"/>
        <w:jc w:val="left"/>
      </w:pPr>
      <w:r>
        <w:rPr>
          <w:sz w:val="22"/>
        </w:rPr>
        <w:t xml:space="preserve">se sídlem </w:t>
      </w:r>
      <w:r>
        <w:rPr>
          <w:sz w:val="22"/>
        </w:rPr>
        <w:t>Le</w:t>
      </w:r>
      <w:r>
        <w:rPr>
          <w:sz w:val="22"/>
        </w:rPr>
        <w:t>gionářů 378, Příbram VII, 261 01 Příbram, Česká republika</w:t>
      </w:r>
      <w:r>
        <w:rPr>
          <w:sz w:val="22"/>
        </w:rPr>
        <w:t xml:space="preserve"> </w:t>
      </w:r>
      <w:r>
        <w:rPr>
          <w:sz w:val="22"/>
        </w:rPr>
        <w:t>IČ</w:t>
      </w:r>
      <w:r>
        <w:rPr>
          <w:sz w:val="22"/>
        </w:rPr>
        <w:t xml:space="preserve">: 712 17 975 </w:t>
      </w:r>
    </w:p>
    <w:p w:rsidR="00FD24EB" w:rsidRDefault="001905E1">
      <w:pPr>
        <w:spacing w:after="0"/>
        <w:ind w:left="703" w:right="522"/>
        <w:jc w:val="left"/>
      </w:pPr>
      <w:r>
        <w:rPr>
          <w:sz w:val="22"/>
        </w:rPr>
        <w:t>právnická osoba zapsaná</w:t>
      </w:r>
      <w:r>
        <w:rPr>
          <w:sz w:val="22"/>
        </w:rPr>
        <w:t xml:space="preserve"> v </w:t>
      </w:r>
      <w:r>
        <w:rPr>
          <w:sz w:val="22"/>
        </w:rPr>
        <w:t>obchodním rejstříku, vedené</w:t>
      </w:r>
      <w:r>
        <w:rPr>
          <w:sz w:val="22"/>
        </w:rPr>
        <w:t xml:space="preserve">m </w:t>
      </w:r>
      <w:r>
        <w:rPr>
          <w:sz w:val="22"/>
        </w:rPr>
        <w:t xml:space="preserve">Městským soudem v Praze, oddíl </w:t>
      </w:r>
      <w:r>
        <w:rPr>
          <w:sz w:val="22"/>
        </w:rPr>
        <w:t xml:space="preserve">Pr, </w:t>
      </w:r>
      <w:r>
        <w:rPr>
          <w:sz w:val="22"/>
        </w:rPr>
        <w:t xml:space="preserve">vložka </w:t>
      </w:r>
      <w:r>
        <w:rPr>
          <w:sz w:val="22"/>
        </w:rPr>
        <w:t xml:space="preserve">1062 </w:t>
      </w:r>
      <w:r>
        <w:rPr>
          <w:sz w:val="22"/>
        </w:rPr>
        <w:t>zastoupená na základě zmocnění níže podepsanou osobou</w:t>
      </w: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703" w:right="0"/>
        <w:jc w:val="left"/>
      </w:pPr>
      <w:r>
        <w:rPr>
          <w:sz w:val="22"/>
        </w:rPr>
        <w:t xml:space="preserve">(dále jen </w:t>
      </w:r>
      <w:r>
        <w:rPr>
          <w:b/>
          <w:sz w:val="22"/>
        </w:rPr>
        <w:t>„pojistník“</w:t>
      </w:r>
      <w:r>
        <w:rPr>
          <w:sz w:val="22"/>
        </w:rPr>
        <w:t xml:space="preserve">)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3" w:line="259" w:lineRule="auto"/>
        <w:ind w:left="649" w:right="0"/>
        <w:jc w:val="center"/>
      </w:pPr>
      <w:r>
        <w:rPr>
          <w:b/>
          <w:sz w:val="22"/>
        </w:rPr>
        <w:t xml:space="preserve">uzavírají pojistnou smlouvu č. </w:t>
      </w:r>
    </w:p>
    <w:p w:rsidR="00FD24EB" w:rsidRDefault="001905E1">
      <w:pPr>
        <w:spacing w:after="195" w:line="259" w:lineRule="auto"/>
        <w:ind w:left="702" w:right="0" w:firstLine="0"/>
        <w:jc w:val="center"/>
      </w:pPr>
      <w:r>
        <w:rPr>
          <w:b/>
          <w:sz w:val="22"/>
        </w:rPr>
        <w:t xml:space="preserve"> </w:t>
      </w:r>
    </w:p>
    <w:p w:rsidR="00FD24EB" w:rsidRDefault="001905E1">
      <w:pPr>
        <w:pStyle w:val="Nadpis1"/>
      </w:pPr>
      <w:r>
        <w:t xml:space="preserve"> 300 22 00038  </w:t>
      </w:r>
    </w:p>
    <w:p w:rsidR="00FD24EB" w:rsidRDefault="001905E1">
      <w:pPr>
        <w:spacing w:after="0" w:line="259" w:lineRule="auto"/>
        <w:ind w:left="702" w:right="0" w:firstLine="0"/>
        <w:jc w:val="center"/>
      </w:pPr>
      <w:r>
        <w:rPr>
          <w:b/>
          <w:sz w:val="22"/>
        </w:rPr>
        <w:t xml:space="preserve"> </w:t>
      </w:r>
    </w:p>
    <w:p w:rsidR="00FD24EB" w:rsidRDefault="001905E1">
      <w:pPr>
        <w:spacing w:after="3" w:line="259" w:lineRule="auto"/>
        <w:ind w:left="649" w:right="4"/>
        <w:jc w:val="center"/>
      </w:pPr>
      <w:r>
        <w:rPr>
          <w:b/>
          <w:sz w:val="22"/>
        </w:rPr>
        <w:t xml:space="preserve">Která spolu s přílohami </w:t>
      </w:r>
      <w:r>
        <w:rPr>
          <w:b/>
          <w:sz w:val="22"/>
        </w:rPr>
        <w:t xml:space="preserve">a pojistnými podmínkami tvoří nedílný celek.  </w:t>
      </w:r>
    </w:p>
    <w:p w:rsidR="00FD24EB" w:rsidRDefault="001905E1">
      <w:pPr>
        <w:pStyle w:val="Nadpis2"/>
        <w:spacing w:after="13" w:line="248" w:lineRule="auto"/>
        <w:ind w:left="703" w:right="55"/>
        <w:jc w:val="both"/>
      </w:pPr>
      <w:r>
        <w:rPr>
          <w:sz w:val="21"/>
        </w:rPr>
        <w:t>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ÚVODNÍ USTANOVENÍ</w:t>
      </w:r>
      <w:r>
        <w:rPr>
          <w:sz w:val="21"/>
        </w:rPr>
        <w:t xml:space="preserve"> </w:t>
      </w:r>
    </w:p>
    <w:p w:rsidR="00FD24EB" w:rsidRDefault="001905E1">
      <w:pPr>
        <w:spacing w:after="4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right="55"/>
      </w:pPr>
      <w:r>
        <w:rPr>
          <w:b/>
          <w:sz w:val="21"/>
        </w:rPr>
        <w:t>1.1.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sz w:val="21"/>
        </w:rPr>
        <w:t xml:space="preserve">Pojistník sjednává tuto pojistnou smlouvu ve svůj prospěch, tzn. je zároveň </w:t>
      </w:r>
      <w:r>
        <w:rPr>
          <w:b/>
          <w:sz w:val="21"/>
        </w:rPr>
        <w:t>pojištěným</w:t>
      </w:r>
      <w:r>
        <w:rPr>
          <w:sz w:val="21"/>
        </w:rPr>
        <w:t xml:space="preserve">. </w:t>
      </w:r>
    </w:p>
    <w:p w:rsidR="00FD24EB" w:rsidRDefault="001905E1">
      <w:pPr>
        <w:spacing w:after="6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3"/>
        <w:spacing w:after="13" w:line="248" w:lineRule="auto"/>
        <w:ind w:left="703" w:right="55"/>
        <w:jc w:val="both"/>
      </w:pPr>
      <w:r>
        <w:rPr>
          <w:sz w:val="21"/>
        </w:rPr>
        <w:t>1.2.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Předmět činnosti </w:t>
      </w:r>
      <w:r>
        <w:rPr>
          <w:b w:val="0"/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>Předmět činnosti pojištěného ke dni uzavření této smlouvy je vymezen v</w:t>
      </w:r>
      <w:r>
        <w:rPr>
          <w:sz w:val="21"/>
        </w:rPr>
        <w:t xml:space="preserve"> </w:t>
      </w:r>
      <w:r>
        <w:rPr>
          <w:sz w:val="21"/>
        </w:rPr>
        <w:t xml:space="preserve">následujících přiložených </w:t>
      </w:r>
      <w:r>
        <w:rPr>
          <w:sz w:val="21"/>
        </w:rPr>
        <w:t xml:space="preserve">dokumentech:   </w:t>
      </w:r>
    </w:p>
    <w:p w:rsidR="00FD24EB" w:rsidRDefault="001905E1">
      <w:pPr>
        <w:tabs>
          <w:tab w:val="center" w:pos="1467"/>
          <w:tab w:val="center" w:pos="3138"/>
        </w:tabs>
        <w:spacing w:after="14" w:line="24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>-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sz w:val="21"/>
        </w:rPr>
        <w:t xml:space="preserve">výpisu z obchodního rejstříku </w:t>
      </w:r>
      <w:r>
        <w:rPr>
          <w:sz w:val="21"/>
        </w:rPr>
        <w:t xml:space="preserve"> </w:t>
      </w:r>
    </w:p>
    <w:p w:rsidR="00FD24EB" w:rsidRDefault="001905E1">
      <w:pPr>
        <w:spacing w:after="6" w:line="259" w:lineRule="auto"/>
        <w:ind w:left="178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5" w:right="55" w:hanging="56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809549</wp:posOffset>
                </wp:positionH>
                <wp:positionV relativeFrom="paragraph">
                  <wp:posOffset>-31440</wp:posOffset>
                </wp:positionV>
                <wp:extent cx="3536315" cy="483108"/>
                <wp:effectExtent l="0" t="0" r="0" b="0"/>
                <wp:wrapNone/>
                <wp:docPr id="23314" name="Group 23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315" cy="483108"/>
                          <a:chOff x="0" y="0"/>
                          <a:chExt cx="3536315" cy="483108"/>
                        </a:xfrm>
                      </wpg:grpSpPr>
                      <wps:wsp>
                        <wps:cNvPr id="26956" name="Shape 26956"/>
                        <wps:cNvSpPr/>
                        <wps:spPr>
                          <a:xfrm>
                            <a:off x="2591130" y="0"/>
                            <a:ext cx="945185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85" h="161544">
                                <a:moveTo>
                                  <a:pt x="0" y="0"/>
                                </a:moveTo>
                                <a:lnTo>
                                  <a:pt x="945185" y="0"/>
                                </a:lnTo>
                                <a:lnTo>
                                  <a:pt x="945185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7" name="Shape 26957"/>
                        <wps:cNvSpPr/>
                        <wps:spPr>
                          <a:xfrm>
                            <a:off x="1103325" y="161544"/>
                            <a:ext cx="17452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34" h="160020">
                                <a:moveTo>
                                  <a:pt x="0" y="0"/>
                                </a:moveTo>
                                <a:lnTo>
                                  <a:pt x="1745234" y="0"/>
                                </a:lnTo>
                                <a:lnTo>
                                  <a:pt x="174523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8" name="Shape 26958"/>
                        <wps:cNvSpPr/>
                        <wps:spPr>
                          <a:xfrm>
                            <a:off x="0" y="321564"/>
                            <a:ext cx="120548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161544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7FEB5" id="Group 23314" o:spid="_x0000_s1026" style="position:absolute;margin-left:63.75pt;margin-top:-2.5pt;width:278.45pt;height:38.05pt;z-index:-251658240" coordsize="35363,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">
                <v:shape id="Shape 26956" o:spid="_x0000_s1027" style="position:absolute;left:25911;width:9452;height:1615;visibility:visible;mso-wrap-style:square;v-text-anchor:top" coordsize="945185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d8McA&#10;AADeAAAADwAAAGRycy9kb3ducmV2LnhtbESP3WrCQBSE7wt9h+UUvKubCm41dRURSktBir/Xx+wx&#10;CWbPhuyapG/fFQQvh5n5hpkteluJlhpfOtbwNkxAEGfOlJxr2O8+XycgfEA2WDkmDX/kYTF/fpph&#10;alzHG2q3IRcRwj5FDUUIdSqlzwqy6IeuJo7e2TUWQ5RNLk2DXYTbSo6SREmLJceFAmtaFZRdtler&#10;QYXj11V1vz+bcrq7rA/nrH0/TbQevPTLDxCB+vAI39vfRsNITccKbnfi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nfDHAAAA3gAAAA8AAAAAAAAAAAAAAAAAmAIAAGRy&#10;cy9kb3ducmV2LnhtbFBLBQYAAAAABAAEAPUAAACMAwAAAAA=&#10;" path="m,l945185,r,161544l,161544,,e" fillcolor="silver" stroked="f" strokeweight="0">
                  <v:stroke miterlimit="83231f" joinstyle="miter"/>
                  <v:path arrowok="t" textboxrect="0,0,945185,161544"/>
                </v:shape>
                <v:shape id="Shape 26957" o:spid="_x0000_s1028" style="position:absolute;left:11033;top:1615;width:17452;height:1600;visibility:visible;mso-wrap-style:square;v-text-anchor:top" coordsize="174523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uKcgA&#10;AADeAAAADwAAAGRycy9kb3ducmV2LnhtbESPQUsDMRSE74L/ITzBi7TZVqx1bVpErNiDB1sFj6+b&#10;193FzcuSPNP135uC4HGYmW+YxWpwnUoUYuvZwGRcgCKuvG25NvC+W4/moKIgW+w8k4EfirBanp8t&#10;sLT+yG+UtlKrDOFYooFGpC+1jlVDDuPY98TZO/jgULIMtbYBjxnuOj0tipl22HJeaLCnx4aqr+23&#10;M3A9Ceunq8+PlDbzzf4gr+E5yd6Yy4vh4R6U0CD/4b/2izUwnd3d3MLpTr4C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qq4pyAAAAN4AAAAPAAAAAAAAAAAAAAAAAJgCAABk&#10;cnMvZG93bnJldi54bWxQSwUGAAAAAAQABAD1AAAAjQMAAAAA&#10;" path="m,l1745234,r,160020l,160020,,e" fillcolor="silver" stroked="f" strokeweight="0">
                  <v:stroke miterlimit="83231f" joinstyle="miter"/>
                  <v:path arrowok="t" textboxrect="0,0,1745234,160020"/>
                </v:shape>
                <v:shape id="Shape 26958" o:spid="_x0000_s1029" style="position:absolute;top:3215;width:12054;height:1616;visibility:visible;mso-wrap-style:square;v-text-anchor:top" coordsize="120548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DicQA&#10;AADeAAAADwAAAGRycy9kb3ducmV2LnhtbERPz2vCMBS+D/wfwhO8iKYTLFs1yibI5knnhO34aJ5N&#10;XfNSmtjW/94chB0/vt/LdW8r0VLjS8cKnqcJCOLc6ZILBafv7eQFhA/IGivHpOBGHtarwdMSM+06&#10;/qL2GAoRQ9hnqMCEUGdS+tyQRT91NXHkzq6xGCJsCqkb7GK4reQsSVJpseTYYLCmjaH873i1CuY/&#10;4+LycR7/3lLZ7t/73YG96ZQaDfu3BYhAffgXP9yfWsEsfZ3HvfFOv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A4nEAAAA3gAAAA8AAAAAAAAAAAAAAAAAmAIAAGRycy9k&#10;b3ducmV2LnhtbFBLBQYAAAAABAAEAPUAAACJAwAAAAA=&#10;" path="m,l1205484,r,161544l,161544,,e" fillcolor="silver" stroked="f" strokeweight="0">
                  <v:stroke miterlimit="83231f" joinstyle="miter"/>
                  <v:path arrowok="t" textboxrect="0,0,1205484,161544"/>
                </v:shape>
              </v:group>
            </w:pict>
          </mc:Fallback>
        </mc:AlternateContent>
      </w:r>
      <w:r>
        <w:rPr>
          <w:b/>
          <w:sz w:val="21"/>
        </w:rPr>
        <w:t>1.3.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sz w:val="21"/>
        </w:rPr>
        <w:t>Poji</w:t>
      </w:r>
      <w:r>
        <w:rPr>
          <w:sz w:val="21"/>
        </w:rPr>
        <w:t>stník pověřil makléřskou spo</w:t>
      </w:r>
      <w:r>
        <w:rPr>
          <w:sz w:val="21"/>
        </w:rPr>
        <w:t>le</w:t>
      </w:r>
      <w:r>
        <w:rPr>
          <w:sz w:val="21"/>
        </w:rPr>
        <w:t>čnost</w:t>
      </w:r>
      <w:r>
        <w:rPr>
          <w:sz w:val="21"/>
        </w:rPr>
        <w:t xml:space="preserve"> </w:t>
      </w:r>
      <w:r>
        <w:rPr>
          <w:b/>
          <w:color w:val="BFBFBF"/>
          <w:sz w:val="21"/>
        </w:rPr>
        <w:t>Nobelia s.r.o</w:t>
      </w:r>
      <w:r>
        <w:rPr>
          <w:color w:val="FFFFFF"/>
          <w:sz w:val="21"/>
        </w:rPr>
        <w:t>.</w:t>
      </w:r>
      <w:r>
        <w:rPr>
          <w:sz w:val="21"/>
        </w:rPr>
        <w:t>, sjednatelské</w:t>
      </w:r>
      <w:r>
        <w:rPr>
          <w:sz w:val="21"/>
        </w:rPr>
        <w:t xml:space="preserve"> </w:t>
      </w:r>
      <w:r>
        <w:rPr>
          <w:sz w:val="21"/>
        </w:rPr>
        <w:t xml:space="preserve">číslo </w:t>
      </w:r>
      <w:r>
        <w:rPr>
          <w:b/>
          <w:sz w:val="21"/>
        </w:rPr>
        <w:t xml:space="preserve">, </w:t>
      </w:r>
      <w:r>
        <w:rPr>
          <w:sz w:val="21"/>
        </w:rPr>
        <w:t xml:space="preserve">zastoupenou </w:t>
      </w:r>
      <w:r>
        <w:rPr>
          <w:sz w:val="21"/>
        </w:rPr>
        <w:t xml:space="preserve">prostřednictvím </w:t>
      </w:r>
      <w:r>
        <w:rPr>
          <w:b/>
          <w:color w:val="BFBFBF"/>
          <w:sz w:val="21"/>
        </w:rPr>
        <w:t>Ing. Zdeňka Šafránka</w:t>
      </w:r>
      <w:r>
        <w:rPr>
          <w:sz w:val="21"/>
        </w:rPr>
        <w:t xml:space="preserve">, telefon: </w:t>
      </w:r>
      <w:r>
        <w:rPr>
          <w:b/>
          <w:color w:val="BFBFBF"/>
          <w:sz w:val="21"/>
          <w:shd w:val="clear" w:color="auto" w:fill="C0C0C0"/>
        </w:rPr>
        <w:t>+420 606 613 490</w:t>
      </w:r>
      <w:r>
        <w:rPr>
          <w:sz w:val="21"/>
        </w:rPr>
        <w:t xml:space="preserve">, e-mail: </w:t>
      </w:r>
      <w:r>
        <w:rPr>
          <w:color w:val="BFBFBF"/>
          <w:sz w:val="21"/>
          <w:u w:val="single" w:color="BFBFBF"/>
        </w:rPr>
        <w:t>safranek@nobelia.cz</w:t>
      </w:r>
      <w:r>
        <w:rPr>
          <w:sz w:val="21"/>
        </w:rPr>
        <w:t xml:space="preserve">, </w:t>
      </w:r>
      <w:r>
        <w:rPr>
          <w:sz w:val="21"/>
        </w:rPr>
        <w:t>vedením a zpracováním jeho pojistného zájmu. Obchodní styk</w:t>
      </w:r>
      <w:r>
        <w:rPr>
          <w:sz w:val="21"/>
        </w:rPr>
        <w:t xml:space="preserve">, </w:t>
      </w:r>
      <w:r>
        <w:rPr>
          <w:sz w:val="21"/>
        </w:rPr>
        <w:t>který se</w:t>
      </w:r>
      <w:r>
        <w:rPr>
          <w:sz w:val="21"/>
        </w:rPr>
        <w:t xml:space="preserve"> </w:t>
      </w:r>
      <w:r>
        <w:rPr>
          <w:sz w:val="21"/>
        </w:rPr>
        <w:t>bude týkat této pojistné smlouvy,</w:t>
      </w:r>
      <w:r>
        <w:rPr>
          <w:sz w:val="21"/>
        </w:rPr>
        <w:t xml:space="preserve"> bud</w:t>
      </w:r>
      <w:r>
        <w:rPr>
          <w:sz w:val="21"/>
        </w:rPr>
        <w:t>e prováděn výhradně prostřednictvím tohoto zplnomocněnéh</w:t>
      </w:r>
      <w:r>
        <w:rPr>
          <w:sz w:val="21"/>
        </w:rPr>
        <w:t>o makléře, který je oprávněn přijímat smluvně závazná oznámení, prohlášení a rozhodnutí smluvních partnerů.</w:t>
      </w:r>
      <w:r>
        <w:rPr>
          <w:sz w:val="21"/>
        </w:rPr>
        <w:t xml:space="preserve"> </w:t>
      </w:r>
    </w:p>
    <w:p w:rsidR="00FD24EB" w:rsidRDefault="001905E1">
      <w:pPr>
        <w:spacing w:after="6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5" w:right="55" w:hanging="567"/>
      </w:pPr>
      <w:r>
        <w:rPr>
          <w:b/>
          <w:sz w:val="21"/>
        </w:rPr>
        <w:t>1.4.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sz w:val="21"/>
        </w:rPr>
        <w:t xml:space="preserve">Pro pojištění sjednané touto </w:t>
      </w:r>
      <w:r>
        <w:rPr>
          <w:sz w:val="21"/>
        </w:rPr>
        <w:t>smlouvou pla</w:t>
      </w:r>
      <w:r>
        <w:rPr>
          <w:sz w:val="21"/>
        </w:rPr>
        <w:t>tí</w:t>
      </w:r>
      <w:r>
        <w:rPr>
          <w:sz w:val="21"/>
        </w:rPr>
        <w:t xml:space="preserve"> </w:t>
      </w:r>
      <w:r>
        <w:rPr>
          <w:sz w:val="21"/>
        </w:rPr>
        <w:t xml:space="preserve">občanský zákoník a </w:t>
      </w:r>
      <w:r>
        <w:rPr>
          <w:sz w:val="21"/>
        </w:rPr>
        <w:t>ostat</w:t>
      </w:r>
      <w:r>
        <w:rPr>
          <w:sz w:val="21"/>
        </w:rPr>
        <w:t>ní obecně závazné právní předpisy v</w:t>
      </w:r>
      <w:r>
        <w:rPr>
          <w:sz w:val="21"/>
        </w:rPr>
        <w:t xml:space="preserve"> </w:t>
      </w:r>
      <w:r>
        <w:rPr>
          <w:sz w:val="21"/>
        </w:rPr>
        <w:t>platném znění, ustanovení pojistné smlouvy a následující pojistné podmínky:</w:t>
      </w: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 xml:space="preserve">VPP 300-2 </w:t>
      </w:r>
      <w:r>
        <w:rPr>
          <w:sz w:val="21"/>
        </w:rPr>
        <w:t>–</w:t>
      </w:r>
      <w:r>
        <w:rPr>
          <w:sz w:val="21"/>
        </w:rPr>
        <w:t xml:space="preserve"> </w:t>
      </w:r>
      <w:r>
        <w:rPr>
          <w:sz w:val="21"/>
        </w:rPr>
        <w:t>Všeobecné pojistné podmínky pro pojištění majetku a</w:t>
      </w:r>
      <w:r>
        <w:rPr>
          <w:sz w:val="21"/>
        </w:rPr>
        <w:t xml:space="preserve"> </w:t>
      </w:r>
      <w:r>
        <w:rPr>
          <w:sz w:val="21"/>
        </w:rPr>
        <w:t>odpovědnosti podnikatelů</w:t>
      </w:r>
      <w:r>
        <w:rPr>
          <w:sz w:val="21"/>
        </w:rPr>
        <w:t xml:space="preserve"> a </w:t>
      </w:r>
      <w:r>
        <w:rPr>
          <w:sz w:val="21"/>
        </w:rPr>
        <w:t>dál</w:t>
      </w:r>
      <w:r>
        <w:rPr>
          <w:sz w:val="21"/>
        </w:rPr>
        <w:t xml:space="preserve">e: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 xml:space="preserve">ZPP 310-2 </w:t>
      </w:r>
      <w:r>
        <w:rPr>
          <w:sz w:val="21"/>
        </w:rPr>
        <w:t>–</w:t>
      </w:r>
      <w:r>
        <w:rPr>
          <w:sz w:val="21"/>
        </w:rPr>
        <w:t xml:space="preserve"> Zv</w:t>
      </w:r>
      <w:r>
        <w:rPr>
          <w:sz w:val="21"/>
        </w:rPr>
        <w:t xml:space="preserve">láštní pojistné podmínky pro živelní pojištění </w:t>
      </w: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 xml:space="preserve">ZPP 330-2 </w:t>
      </w:r>
      <w:r>
        <w:rPr>
          <w:sz w:val="21"/>
        </w:rPr>
        <w:t>–</w:t>
      </w:r>
      <w:r>
        <w:rPr>
          <w:sz w:val="21"/>
        </w:rPr>
        <w:t xml:space="preserve"> </w:t>
      </w:r>
      <w:r>
        <w:rPr>
          <w:sz w:val="21"/>
        </w:rPr>
        <w:t>Zvlášt</w:t>
      </w:r>
      <w:r>
        <w:rPr>
          <w:sz w:val="21"/>
        </w:rPr>
        <w:t xml:space="preserve">ní pojistné podmínky pro pojištění odcizení </w:t>
      </w: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 xml:space="preserve">ZPP 360-2 </w:t>
      </w:r>
      <w:r>
        <w:rPr>
          <w:sz w:val="21"/>
        </w:rPr>
        <w:t>–</w:t>
      </w:r>
      <w:r>
        <w:rPr>
          <w:sz w:val="21"/>
        </w:rPr>
        <w:t xml:space="preserve"> </w:t>
      </w:r>
      <w:r>
        <w:rPr>
          <w:sz w:val="21"/>
        </w:rPr>
        <w:t>Zvláštní pojistné podmínky pro pojištění strojů</w:t>
      </w:r>
      <w:r>
        <w:rPr>
          <w:sz w:val="21"/>
        </w:rPr>
        <w:t xml:space="preserve"> a el</w:t>
      </w:r>
      <w:r>
        <w:rPr>
          <w:sz w:val="21"/>
        </w:rPr>
        <w:t>ektronických zařízení</w:t>
      </w:r>
      <w:r>
        <w:rPr>
          <w:sz w:val="21"/>
        </w:rPr>
        <w:t xml:space="preserve">  </w:t>
      </w:r>
    </w:p>
    <w:p w:rsidR="00FD24EB" w:rsidRDefault="001905E1">
      <w:pPr>
        <w:spacing w:after="21" w:line="234" w:lineRule="auto"/>
        <w:ind w:left="977" w:right="2161" w:firstLine="283"/>
        <w:jc w:val="left"/>
      </w:pPr>
      <w:r>
        <w:rPr>
          <w:sz w:val="21"/>
        </w:rPr>
        <w:t xml:space="preserve">ZPP 650-2 </w:t>
      </w:r>
      <w:r>
        <w:rPr>
          <w:sz w:val="21"/>
        </w:rPr>
        <w:t>–</w:t>
      </w:r>
      <w:r>
        <w:rPr>
          <w:sz w:val="21"/>
        </w:rPr>
        <w:t xml:space="preserve"> </w:t>
      </w:r>
      <w:r>
        <w:rPr>
          <w:sz w:val="21"/>
        </w:rPr>
        <w:t>Zvláštní pojistné podmínky pro pojištění odpovědnosti za újmu</w:t>
      </w:r>
      <w:r>
        <w:rPr>
          <w:sz w:val="21"/>
        </w:rPr>
        <w:t xml:space="preserve"> DPP 375-2 </w:t>
      </w:r>
      <w:r>
        <w:rPr>
          <w:sz w:val="21"/>
        </w:rPr>
        <w:t>–</w:t>
      </w:r>
      <w:r>
        <w:rPr>
          <w:sz w:val="21"/>
        </w:rPr>
        <w:t xml:space="preserve"> </w:t>
      </w:r>
      <w:r>
        <w:rPr>
          <w:sz w:val="21"/>
        </w:rPr>
        <w:t>Doplňkové</w:t>
      </w:r>
      <w:r>
        <w:rPr>
          <w:sz w:val="21"/>
        </w:rPr>
        <w:t xml:space="preserve"> </w:t>
      </w:r>
      <w:r>
        <w:rPr>
          <w:sz w:val="21"/>
        </w:rPr>
        <w:t xml:space="preserve">pojistné podmínky </w:t>
      </w:r>
      <w:r>
        <w:rPr>
          <w:sz w:val="21"/>
        </w:rPr>
        <w:t xml:space="preserve">k </w:t>
      </w:r>
      <w:r>
        <w:rPr>
          <w:sz w:val="21"/>
        </w:rPr>
        <w:t>asistenčním službám</w:t>
      </w:r>
      <w:r>
        <w:rPr>
          <w:sz w:val="21"/>
        </w:rPr>
        <w:t xml:space="preserve">   </w:t>
      </w:r>
      <w:r>
        <w:rPr>
          <w:b/>
          <w:sz w:val="22"/>
        </w:rPr>
        <w:t xml:space="preserve"> </w:t>
      </w:r>
    </w:p>
    <w:p w:rsidR="00FD24EB" w:rsidRDefault="001905E1">
      <w:pPr>
        <w:pStyle w:val="Nadpis3"/>
        <w:spacing w:after="13" w:line="248" w:lineRule="auto"/>
        <w:ind w:left="703" w:right="55"/>
        <w:jc w:val="both"/>
      </w:pPr>
      <w:r>
        <w:rPr>
          <w:sz w:val="21"/>
        </w:rPr>
        <w:t>1.5.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Počátek pojištění: </w:t>
      </w:r>
      <w:r>
        <w:rPr>
          <w:sz w:val="21"/>
        </w:rPr>
        <w:t>25. 2. 2022</w:t>
      </w:r>
      <w:r>
        <w:rPr>
          <w:b w:val="0"/>
          <w:sz w:val="21"/>
        </w:rPr>
        <w:t xml:space="preserve"> </w:t>
      </w:r>
    </w:p>
    <w:p w:rsidR="00FD24EB" w:rsidRDefault="001905E1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1" w:line="247" w:lineRule="auto"/>
        <w:ind w:left="1285" w:right="0"/>
        <w:jc w:val="left"/>
      </w:pPr>
      <w:r>
        <w:rPr>
          <w:sz w:val="21"/>
        </w:rPr>
        <w:t>Poj</w:t>
      </w:r>
      <w:r>
        <w:rPr>
          <w:sz w:val="21"/>
        </w:rPr>
        <w:t>ištění se sjednává</w:t>
      </w:r>
      <w:r>
        <w:rPr>
          <w:sz w:val="21"/>
        </w:rPr>
        <w:t xml:space="preserve"> na dobu jednoho </w:t>
      </w:r>
      <w:r>
        <w:rPr>
          <w:sz w:val="21"/>
        </w:rPr>
        <w:t>pojistnéh</w:t>
      </w:r>
      <w:r>
        <w:rPr>
          <w:sz w:val="21"/>
        </w:rPr>
        <w:t>o roku s automatickou prolo</w:t>
      </w:r>
      <w:r>
        <w:rPr>
          <w:sz w:val="21"/>
        </w:rPr>
        <w:t>ngací.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272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b/>
          <w:sz w:val="21"/>
        </w:rPr>
        <w:t>Pojistná doba</w:t>
      </w:r>
      <w:r>
        <w:rPr>
          <w:sz w:val="21"/>
        </w:rPr>
        <w:t xml:space="preserve"> </w:t>
      </w:r>
      <w:r>
        <w:rPr>
          <w:sz w:val="21"/>
        </w:rPr>
        <w:t xml:space="preserve">je doba účinnosti pojistné </w:t>
      </w:r>
      <w:r>
        <w:rPr>
          <w:sz w:val="21"/>
        </w:rPr>
        <w:t xml:space="preserve">smlouvy.  </w:t>
      </w:r>
    </w:p>
    <w:p w:rsidR="00FD24EB" w:rsidRDefault="001905E1">
      <w:pPr>
        <w:spacing w:after="6" w:line="259" w:lineRule="auto"/>
        <w:ind w:left="1272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2"/>
        <w:spacing w:after="13" w:line="248" w:lineRule="auto"/>
        <w:ind w:left="703" w:right="55"/>
        <w:jc w:val="both"/>
      </w:pPr>
      <w:r>
        <w:rPr>
          <w:sz w:val="21"/>
        </w:rPr>
        <w:t>2.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POJIŠTĚNÍ MAJETKU NA MÍSTĚ POJIŠTĚNÍ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3"/>
        <w:ind w:left="1285" w:right="55"/>
      </w:pPr>
      <w:r>
        <w:rPr>
          <w:b/>
          <w:sz w:val="21"/>
        </w:rPr>
        <w:t xml:space="preserve">Pro místa pojištění nacházející se v záplavovém území Q 20 a nižším (tj. oblast, která bývá zaplavována povodní s periodicitou 20 let nebo nižší), stanoveném příslušným správním orgánem je vyloučeno pojištění rizika „Povodeň nebo záplava“.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3"/>
        <w:ind w:left="1285" w:right="55"/>
      </w:pPr>
      <w:r>
        <w:rPr>
          <w:b/>
          <w:sz w:val="21"/>
        </w:rPr>
        <w:t>Místa pojiště</w:t>
      </w:r>
      <w:r>
        <w:rPr>
          <w:b/>
          <w:sz w:val="21"/>
        </w:rPr>
        <w:t xml:space="preserve">ní: 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1"/>
        </w:numPr>
        <w:spacing w:after="14" w:line="247" w:lineRule="auto"/>
        <w:ind w:right="55" w:hanging="247"/>
      </w:pPr>
      <w:r>
        <w:rPr>
          <w:sz w:val="21"/>
        </w:rPr>
        <w:t>Legionářů 378, Příbram, 26101; popis adresy: zimní stadion, parcely na k.ú. Březové Hory dle přílohy č.2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1"/>
        </w:numPr>
        <w:spacing w:after="14" w:line="247" w:lineRule="auto"/>
        <w:ind w:right="55" w:hanging="247"/>
      </w:pPr>
      <w:r>
        <w:rPr>
          <w:sz w:val="21"/>
        </w:rPr>
        <w:t xml:space="preserve">Legionářů 539, Příbram, 26101; popis adresy: plavecký stadion, parcely na k.ú. Březové Hory </w:t>
      </w:r>
      <w:r>
        <w:rPr>
          <w:sz w:val="21"/>
        </w:rPr>
        <w:t xml:space="preserve">dle </w:t>
      </w:r>
      <w:r>
        <w:rPr>
          <w:sz w:val="21"/>
        </w:rPr>
        <w:t>přílohy č.2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1"/>
        </w:numPr>
        <w:spacing w:after="14" w:line="247" w:lineRule="auto"/>
        <w:ind w:right="55" w:hanging="247"/>
      </w:pPr>
      <w:r>
        <w:rPr>
          <w:sz w:val="21"/>
        </w:rPr>
        <w:t>pozemková parcela: 2270/2, okres: P</w:t>
      </w:r>
      <w:r>
        <w:rPr>
          <w:sz w:val="21"/>
        </w:rPr>
        <w:t xml:space="preserve">říbram, obec: Příbram, katastrální území: Příbram; popis adresy: areál Nový rybník, </w:t>
      </w:r>
      <w:r>
        <w:rPr>
          <w:sz w:val="21"/>
        </w:rPr>
        <w:t xml:space="preserve"> </w:t>
      </w:r>
      <w:r>
        <w:rPr>
          <w:sz w:val="21"/>
        </w:rPr>
        <w:t>parcely na k.ú. Příbram dle přílohy č.2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1"/>
        </w:numPr>
        <w:spacing w:after="14" w:line="247" w:lineRule="auto"/>
        <w:ind w:right="55" w:hanging="247"/>
      </w:pPr>
      <w:r>
        <w:rPr>
          <w:sz w:val="21"/>
        </w:rPr>
        <w:t>pozemková parcela: 1938/1, okres: Příbram, obec: Příbram, katastrální území: Příbram; popis adresy: hřiště pod Sv</w:t>
      </w:r>
      <w:r>
        <w:rPr>
          <w:sz w:val="21"/>
        </w:rPr>
        <w:t xml:space="preserve">atou Horou </w:t>
      </w:r>
    </w:p>
    <w:p w:rsidR="00FD24EB" w:rsidRDefault="001905E1">
      <w:pPr>
        <w:numPr>
          <w:ilvl w:val="0"/>
          <w:numId w:val="1"/>
        </w:numPr>
        <w:spacing w:after="14" w:line="247" w:lineRule="auto"/>
        <w:ind w:right="55" w:hanging="247"/>
      </w:pPr>
      <w:r>
        <w:rPr>
          <w:sz w:val="21"/>
        </w:rPr>
        <w:t>pozem</w:t>
      </w:r>
      <w:r>
        <w:rPr>
          <w:sz w:val="21"/>
        </w:rPr>
        <w:t>ková parcela: 4399, okres: Příbram, obec: Příbram, katastrální území: Příbram;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1"/>
        </w:numPr>
        <w:spacing w:after="11" w:line="247" w:lineRule="auto"/>
        <w:ind w:right="55" w:hanging="247"/>
      </w:pPr>
      <w:r>
        <w:rPr>
          <w:sz w:val="21"/>
        </w:rPr>
        <w:t xml:space="preserve">Zadov 224, Stachy, 38473                                                                                                                   </w:t>
      </w:r>
    </w:p>
    <w:p w:rsidR="00FD24EB" w:rsidRDefault="001905E1">
      <w:pPr>
        <w:numPr>
          <w:ilvl w:val="0"/>
          <w:numId w:val="1"/>
        </w:numPr>
        <w:spacing w:after="14" w:line="247" w:lineRule="auto"/>
        <w:ind w:right="55" w:hanging="247"/>
      </w:pPr>
      <w:r>
        <w:rPr>
          <w:sz w:val="21"/>
        </w:rPr>
        <w:t>území ČR související</w:t>
      </w:r>
      <w:r>
        <w:rPr>
          <w:sz w:val="21"/>
        </w:rPr>
        <w:t xml:space="preserve"> </w:t>
      </w:r>
      <w:r>
        <w:rPr>
          <w:sz w:val="21"/>
        </w:rPr>
        <w:t>s výkonem pojiš</w:t>
      </w:r>
      <w:r>
        <w:rPr>
          <w:sz w:val="21"/>
        </w:rPr>
        <w:t>těné činnosti  s max. limitem 100 000 Kč</w:t>
      </w:r>
      <w:r>
        <w:rPr>
          <w:sz w:val="21"/>
        </w:rPr>
        <w:t xml:space="preserve"> </w:t>
      </w:r>
    </w:p>
    <w:p w:rsidR="00FD24EB" w:rsidRDefault="001905E1">
      <w:pPr>
        <w:spacing w:after="3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3"/>
        <w:spacing w:after="13" w:line="248" w:lineRule="auto"/>
        <w:ind w:left="703" w:right="55"/>
        <w:jc w:val="both"/>
      </w:pPr>
      <w:r>
        <w:rPr>
          <w:sz w:val="21"/>
        </w:rPr>
        <w:t xml:space="preserve"> 2.1 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ŽIVELNÍ POJIŠTĚNÍ 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 xml:space="preserve">Pojištění se řídí </w:t>
      </w:r>
      <w:r>
        <w:rPr>
          <w:sz w:val="21"/>
        </w:rPr>
        <w:t>Z</w:t>
      </w:r>
      <w:r>
        <w:rPr>
          <w:sz w:val="21"/>
        </w:rPr>
        <w:t>vláštními</w:t>
      </w:r>
      <w:r>
        <w:rPr>
          <w:sz w:val="21"/>
        </w:rPr>
        <w:t xml:space="preserve"> </w:t>
      </w:r>
      <w:r>
        <w:rPr>
          <w:sz w:val="21"/>
        </w:rPr>
        <w:t>pojistným</w:t>
      </w:r>
      <w:r>
        <w:rPr>
          <w:sz w:val="21"/>
        </w:rPr>
        <w:t xml:space="preserve"> po</w:t>
      </w:r>
      <w:r>
        <w:rPr>
          <w:sz w:val="21"/>
        </w:rPr>
        <w:t>dmínkami pro živelní p</w:t>
      </w:r>
      <w:r>
        <w:rPr>
          <w:sz w:val="21"/>
        </w:rPr>
        <w:t>oji</w:t>
      </w:r>
      <w:r>
        <w:rPr>
          <w:sz w:val="21"/>
        </w:rPr>
        <w:t>štění ZPP 310</w:t>
      </w:r>
      <w:r>
        <w:rPr>
          <w:sz w:val="21"/>
        </w:rPr>
        <w:t xml:space="preserve">-2.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6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4"/>
        <w:ind w:left="703" w:right="55"/>
      </w:pPr>
      <w:r>
        <w:t xml:space="preserve"> 2.1.1 </w:t>
      </w:r>
      <w:r>
        <w:rPr>
          <w:rFonts w:ascii="Arial" w:eastAsia="Arial" w:hAnsi="Arial" w:cs="Arial"/>
        </w:rPr>
        <w:t xml:space="preserve"> </w:t>
      </w:r>
      <w:r>
        <w:t>Předmět pojištění, pojistné částky</w:t>
      </w:r>
      <w:r>
        <w:t xml:space="preserve"> </w:t>
      </w:r>
      <w:r>
        <w:t>a spoluúčasti pro předmět</w:t>
      </w:r>
      <w: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9356" w:type="dxa"/>
        <w:tblInd w:w="1277" w:type="dxa"/>
        <w:tblCellMar>
          <w:top w:w="4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4662"/>
        <w:gridCol w:w="1900"/>
        <w:gridCol w:w="1409"/>
      </w:tblGrid>
      <w:tr w:rsidR="00FD24EB">
        <w:trPr>
          <w:trHeight w:val="76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Předmět pojištění </w:t>
            </w:r>
          </w:p>
          <w:p w:rsidR="00FD24EB" w:rsidRDefault="001905E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1"/>
              </w:rPr>
              <w:t>Popis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>Pojistná částka (Kč)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>Spoluúčast (Kč)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FD24EB">
        <w:trPr>
          <w:trHeight w:val="213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1"/>
              </w:rPr>
              <w:lastRenderedPageBreak/>
              <w:t xml:space="preserve">Stavby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60" w:lineRule="auto"/>
              <w:ind w:left="0" w:right="150" w:firstLine="0"/>
            </w:pPr>
            <w:r>
              <w:rPr>
                <w:sz w:val="21"/>
              </w:rPr>
              <w:t>Soubor ostatních sta</w:t>
            </w:r>
            <w:r>
              <w:rPr>
                <w:sz w:val="21"/>
              </w:rPr>
              <w:t xml:space="preserve">veb </w:t>
            </w:r>
            <w:r>
              <w:rPr>
                <w:sz w:val="21"/>
              </w:rPr>
              <w:t>a stavebních součástí</w:t>
            </w:r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soubor vlastních stavebních součástí, včetně prvků EZS, PZTS, kamerového systému, reklamních </w:t>
            </w:r>
          </w:p>
          <w:p w:rsidR="00FD24EB" w:rsidRDefault="001905E1">
            <w:pPr>
              <w:spacing w:after="4" w:line="258" w:lineRule="auto"/>
              <w:ind w:left="0" w:right="62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>panelů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soubor ostatních  staveb - např. lavičky, odpadkové koše, trampolína, chatka, minigolf, parkovací automaty, stojany na kola gril, kontejnery , basketbalová deska apod. </w:t>
            </w:r>
          </w:p>
          <w:p w:rsidR="00FD24EB" w:rsidRDefault="001905E1">
            <w:pPr>
              <w:spacing w:after="0" w:line="259" w:lineRule="auto"/>
              <w:ind w:left="0" w:right="-23" w:firstLine="0"/>
              <w:jc w:val="right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1"/>
              </w:rPr>
              <w:t>1 00</w:t>
            </w:r>
            <w:r>
              <w:rPr>
                <w:sz w:val="21"/>
              </w:rPr>
              <w:t xml:space="preserve">0 000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7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4" w:right="87" w:firstLine="0"/>
              <w:jc w:val="left"/>
            </w:pPr>
            <w:r>
              <w:rPr>
                <w:sz w:val="21"/>
              </w:rPr>
              <w:t>Věci hmotné movité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Soubor vlast</w:t>
            </w:r>
            <w:r>
              <w:rPr>
                <w:sz w:val="21"/>
              </w:rPr>
              <w:t xml:space="preserve">ního a cizího movitého vybavení </w:t>
            </w:r>
            <w:r>
              <w:rPr>
                <w:sz w:val="21"/>
              </w:rPr>
              <w:t xml:space="preserve">a </w:t>
            </w:r>
            <w:r>
              <w:rPr>
                <w:sz w:val="21"/>
              </w:rPr>
              <w:t>zařízení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včetně rolb na úprav</w:t>
            </w:r>
            <w:r>
              <w:rPr>
                <w:sz w:val="21"/>
              </w:rPr>
              <w:t>u l</w:t>
            </w:r>
            <w:r>
              <w:rPr>
                <w:rFonts w:ascii="Arial" w:eastAsia="Arial" w:hAnsi="Arial" w:cs="Arial"/>
                <w:sz w:val="21"/>
              </w:rPr>
              <w:t>edu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1"/>
              </w:rPr>
              <w:t xml:space="preserve">7 500 000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1"/>
              </w:rPr>
              <w:t>Peníze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Sou</w:t>
            </w:r>
            <w:r>
              <w:rPr>
                <w:sz w:val="21"/>
              </w:rPr>
              <w:t>bor vlastních a cizích peněz a cenností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1"/>
              </w:rPr>
              <w:t xml:space="preserve">Limit: 450 000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7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4" w:right="106" w:firstLine="0"/>
            </w:pPr>
            <w:r>
              <w:rPr>
                <w:rFonts w:ascii="Arial" w:eastAsia="Arial" w:hAnsi="Arial" w:cs="Arial"/>
                <w:sz w:val="21"/>
              </w:rPr>
              <w:t xml:space="preserve">Náklady na demolici a odvoz suti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42" w:firstLine="0"/>
              <w:jc w:val="righ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1"/>
              </w:rPr>
              <w:t>Limit:</w:t>
            </w:r>
            <w:r>
              <w:rPr>
                <w:sz w:val="21"/>
              </w:rPr>
              <w:t xml:space="preserve"> 1 000 0</w:t>
            </w:r>
            <w:r>
              <w:rPr>
                <w:rFonts w:ascii="Arial" w:eastAsia="Arial" w:hAnsi="Arial" w:cs="Arial"/>
                <w:sz w:val="21"/>
              </w:rPr>
              <w:t>00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</w:tbl>
    <w:p w:rsidR="00FD24EB" w:rsidRDefault="001905E1">
      <w:pPr>
        <w:spacing w:after="4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pStyle w:val="Nadpis4"/>
        <w:ind w:left="703" w:right="55"/>
      </w:pPr>
      <w:r>
        <w:t xml:space="preserve"> 2.1.2 </w:t>
      </w:r>
      <w:r>
        <w:rPr>
          <w:rFonts w:ascii="Arial" w:eastAsia="Arial" w:hAnsi="Arial" w:cs="Arial"/>
        </w:rPr>
        <w:t xml:space="preserve"> </w:t>
      </w:r>
      <w:r>
        <w:t>Rozsah pojištění, limity plnění a spoluúčasti</w:t>
      </w:r>
      <w:r>
        <w:t xml:space="preserve"> pro jed</w:t>
      </w:r>
      <w:r>
        <w:t>notlivá rizika</w:t>
      </w:r>
      <w:r>
        <w:t xml:space="preserve"> </w:t>
      </w:r>
    </w:p>
    <w:p w:rsidR="00FD24EB" w:rsidRDefault="001905E1">
      <w:pPr>
        <w:spacing w:after="0" w:line="259" w:lineRule="auto"/>
        <w:ind w:left="1234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>Není</w:t>
      </w:r>
      <w:r>
        <w:rPr>
          <w:sz w:val="21"/>
        </w:rPr>
        <w:t>-li uv</w:t>
      </w:r>
      <w:r>
        <w:rPr>
          <w:sz w:val="21"/>
        </w:rPr>
        <w:t>edeno jinak, jsou sjednané limity plnění společné pro všechny předměty pojištění uvedené v</w:t>
      </w:r>
      <w:r>
        <w:rPr>
          <w:sz w:val="21"/>
        </w:rPr>
        <w:t xml:space="preserve"> p</w:t>
      </w:r>
      <w:r>
        <w:rPr>
          <w:sz w:val="21"/>
        </w:rPr>
        <w:t>ředchozím bodě.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071" w:type="dxa"/>
        <w:tblInd w:w="1277" w:type="dxa"/>
        <w:tblCellMar>
          <w:top w:w="52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2549"/>
      </w:tblGrid>
      <w:tr w:rsidR="00FD24EB">
        <w:trPr>
          <w:trHeight w:val="6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1"/>
              </w:rPr>
              <w:t xml:space="preserve">Pojištěné nebezpečí </w:t>
            </w:r>
          </w:p>
          <w:p w:rsidR="00FD24EB" w:rsidRDefault="001905E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375" w:right="385" w:firstLine="0"/>
              <w:jc w:val="center"/>
            </w:pPr>
            <w:r>
              <w:rPr>
                <w:b/>
                <w:sz w:val="21"/>
              </w:rPr>
              <w:t>Roční limit plnění (Kč)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364" w:right="368" w:firstLine="0"/>
              <w:jc w:val="center"/>
            </w:pPr>
            <w:r>
              <w:rPr>
                <w:b/>
                <w:sz w:val="21"/>
              </w:rPr>
              <w:t>Spoluúčast (Kč)</w:t>
            </w:r>
            <w:r>
              <w:rPr>
                <w:sz w:val="21"/>
              </w:rPr>
              <w:t xml:space="preserve"> </w:t>
            </w:r>
          </w:p>
        </w:tc>
      </w:tr>
      <w:tr w:rsidR="00FD24EB">
        <w:trPr>
          <w:trHeight w:val="10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Požární nebezpečí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1" w:right="32" w:hanging="8"/>
              <w:jc w:val="center"/>
            </w:pPr>
            <w:r>
              <w:rPr>
                <w:sz w:val="21"/>
              </w:rPr>
              <w:t xml:space="preserve">Jednotlivé předměty pojištění </w:t>
            </w:r>
            <w:r>
              <w:rPr>
                <w:sz w:val="21"/>
              </w:rPr>
              <w:t>jsou poji</w:t>
            </w:r>
            <w:r>
              <w:rPr>
                <w:sz w:val="21"/>
              </w:rPr>
              <w:t>štěny na</w:t>
            </w:r>
            <w:r>
              <w:rPr>
                <w:sz w:val="21"/>
              </w:rPr>
              <w:t xml:space="preserve"> jejich </w:t>
            </w:r>
            <w:r>
              <w:rPr>
                <w:b/>
                <w:sz w:val="21"/>
              </w:rPr>
              <w:t>pojistné částky</w:t>
            </w:r>
            <w:r>
              <w:rPr>
                <w:sz w:val="21"/>
              </w:rPr>
              <w:t xml:space="preserve">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1" w:right="5" w:firstLine="0"/>
              <w:jc w:val="center"/>
            </w:pPr>
            <w:r>
              <w:rPr>
                <w:sz w:val="21"/>
              </w:rPr>
              <w:t xml:space="preserve">Jednotlivé předměty pojištění jsou pojištěny </w:t>
            </w:r>
            <w:r>
              <w:rPr>
                <w:sz w:val="21"/>
              </w:rPr>
              <w:t xml:space="preserve">se </w:t>
            </w:r>
            <w:r>
              <w:rPr>
                <w:b/>
                <w:sz w:val="21"/>
              </w:rPr>
              <w:t>spoluúčastí</w:t>
            </w:r>
            <w:r>
              <w:rPr>
                <w:sz w:val="21"/>
              </w:rPr>
              <w:t xml:space="preserve"> u nich uvedenou. </w:t>
            </w:r>
          </w:p>
        </w:tc>
      </w:tr>
      <w:tr w:rsidR="00FD24EB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Povodeň</w:t>
            </w:r>
            <w:r>
              <w:rPr>
                <w:sz w:val="21"/>
              </w:rPr>
              <w:t xml:space="preserve"> nebo </w:t>
            </w:r>
            <w:r>
              <w:rPr>
                <w:sz w:val="21"/>
              </w:rPr>
              <w:t xml:space="preserve">záplava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Vichř</w:t>
            </w:r>
            <w:r>
              <w:rPr>
                <w:sz w:val="21"/>
              </w:rPr>
              <w:t xml:space="preserve">ice nebo </w:t>
            </w:r>
            <w:r>
              <w:rPr>
                <w:sz w:val="21"/>
              </w:rPr>
              <w:t>krupobití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Sesuv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Zemětřesení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Tíha sněhu nebo námrazy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Vodovodní nebezpečí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500 000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Náraz nebo pád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  <w:tr w:rsidR="00FD24EB">
        <w:trPr>
          <w:trHeight w:val="2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Kou</w:t>
            </w:r>
            <w:r>
              <w:rPr>
                <w:sz w:val="21"/>
              </w:rPr>
              <w:t>ř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</w:tbl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>Na</w:t>
      </w:r>
      <w:r>
        <w:rPr>
          <w:sz w:val="21"/>
        </w:rPr>
        <w:t>d rámec čl.</w:t>
      </w:r>
      <w:r>
        <w:rPr>
          <w:sz w:val="21"/>
        </w:rPr>
        <w:t xml:space="preserve"> 3, VPP 310-2 se </w:t>
      </w:r>
      <w:r>
        <w:rPr>
          <w:sz w:val="21"/>
        </w:rPr>
        <w:t>sjednávají tato pojistná nebezpečí: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9071" w:type="dxa"/>
        <w:tblInd w:w="1277" w:type="dxa"/>
        <w:tblCellMar>
          <w:top w:w="52" w:type="dxa"/>
          <w:left w:w="14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2549"/>
      </w:tblGrid>
      <w:tr w:rsidR="00FD24EB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1"/>
              </w:rPr>
              <w:t xml:space="preserve">Pojištěné nebezpečí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341" w:right="385" w:firstLine="0"/>
              <w:jc w:val="center"/>
            </w:pPr>
            <w:r>
              <w:rPr>
                <w:b/>
                <w:sz w:val="21"/>
              </w:rPr>
              <w:t>Roční limit plnění (Kč)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330" w:right="368" w:firstLine="0"/>
              <w:jc w:val="center"/>
            </w:pPr>
            <w:r>
              <w:rPr>
                <w:b/>
                <w:sz w:val="21"/>
              </w:rPr>
              <w:t>Spoluúčast (Kč)</w:t>
            </w:r>
            <w:r>
              <w:rPr>
                <w:sz w:val="21"/>
              </w:rPr>
              <w:t xml:space="preserve"> </w:t>
            </w:r>
          </w:p>
        </w:tc>
      </w:tr>
      <w:tr w:rsidR="00FD24EB">
        <w:trPr>
          <w:trHeight w:val="2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Atmosférické srážky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1"/>
              </w:rPr>
              <w:t xml:space="preserve">1 000 </w:t>
            </w:r>
          </w:p>
        </w:tc>
      </w:tr>
      <w:tr w:rsidR="00FD24EB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Nepřímý úder blesku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1"/>
              </w:rPr>
              <w:t xml:space="preserve">100 000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1"/>
              </w:rPr>
              <w:t xml:space="preserve">1 000 </w:t>
            </w:r>
          </w:p>
        </w:tc>
      </w:tr>
    </w:tbl>
    <w:p w:rsidR="00FD24EB" w:rsidRDefault="001905E1">
      <w:pPr>
        <w:spacing w:after="16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2"/>
        <w:ind w:left="703"/>
      </w:pPr>
      <w:r>
        <w:t xml:space="preserve"> 2.1.3 </w:t>
      </w:r>
      <w:r>
        <w:rPr>
          <w:rFonts w:ascii="Arial" w:eastAsia="Arial" w:hAnsi="Arial" w:cs="Arial"/>
        </w:rPr>
        <w:t xml:space="preserve"> </w:t>
      </w:r>
      <w:r>
        <w:t>Dolo</w:t>
      </w:r>
      <w:r>
        <w:t>žk</w:t>
      </w:r>
      <w:r>
        <w:t xml:space="preserve">y </w:t>
      </w:r>
    </w:p>
    <w:p w:rsidR="00FD24EB" w:rsidRDefault="001905E1">
      <w:pPr>
        <w:spacing w:after="157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FD24EB" w:rsidRDefault="001905E1">
      <w:pPr>
        <w:pStyle w:val="Nadpis3"/>
        <w:ind w:left="703"/>
      </w:pPr>
      <w:r>
        <w:lastRenderedPageBreak/>
        <w:t xml:space="preserve">ZIV-01-20 - </w:t>
      </w:r>
      <w:r>
        <w:t>Pojištění souboru věcí</w:t>
      </w:r>
      <w:r>
        <w:t xml:space="preserve"> </w:t>
      </w:r>
    </w:p>
    <w:p w:rsidR="00FD24EB" w:rsidRDefault="001905E1">
      <w:pPr>
        <w:ind w:left="703" w:right="67"/>
      </w:pPr>
      <w:r>
        <w:t>Bylo-</w:t>
      </w:r>
      <w:r>
        <w:t xml:space="preserve">li sjednáno pojištění souboru věcí (dále jen „soubor“), vztahuje se pojištění na všechny věci, které </w:t>
      </w:r>
      <w:r>
        <w:t xml:space="preserve">k </w:t>
      </w:r>
      <w:r>
        <w:t>souboru náleží při vzniku pojistné události. Ujednání o pojistné částce nebo limitu pojistného plnění, pojistné hodnotě a po</w:t>
      </w:r>
      <w:r>
        <w:t>dpojištění se vztahují na celý soubor.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ZIV-02-20 - </w:t>
      </w:r>
      <w:r>
        <w:t>Definice jedné pojistné</w:t>
      </w:r>
      <w:r>
        <w:t xml:space="preserve"> </w:t>
      </w:r>
      <w:r>
        <w:t xml:space="preserve">události pro pojistná nebezpečí povodeň, záplava, vichřice, krupobití </w:t>
      </w:r>
      <w:r>
        <w:t xml:space="preserve"> </w:t>
      </w:r>
    </w:p>
    <w:p w:rsidR="00FD24EB" w:rsidRDefault="001905E1">
      <w:pPr>
        <w:ind w:left="703" w:right="67"/>
      </w:pPr>
      <w:r>
        <w:t>Ujednává se, že škody způsobené pojistnými nebezpečími povodeň nebo záplava, nastalé z</w:t>
      </w:r>
      <w:r>
        <w:t xml:space="preserve"> </w:t>
      </w:r>
      <w:r>
        <w:t>jedné příčiny během 7</w:t>
      </w:r>
      <w:r>
        <w:t xml:space="preserve">2 hodin, se považují za jednu pojistnou událost. </w:t>
      </w:r>
      <w:r>
        <w:t xml:space="preserve"> </w:t>
      </w:r>
    </w:p>
    <w:p w:rsidR="00FD24EB" w:rsidRDefault="001905E1">
      <w:pPr>
        <w:ind w:left="703" w:right="67"/>
      </w:pPr>
      <w:r>
        <w:t>Dále se ujednává, že za jednu pojistnou událost se považují škody, způsobené pojistnými nebezpečími vichřice nebo krupobití nastalé z</w:t>
      </w:r>
      <w:r>
        <w:t xml:space="preserve"> </w:t>
      </w:r>
      <w:r>
        <w:t xml:space="preserve">jedné příčiny během 48 hodin. </w:t>
      </w:r>
      <w:r>
        <w:t xml:space="preserve"> </w:t>
      </w:r>
    </w:p>
    <w:p w:rsidR="00FD24EB" w:rsidRDefault="001905E1">
      <w:pPr>
        <w:ind w:left="703" w:right="67"/>
      </w:pPr>
      <w:r>
        <w:t>Tato definice pojistné události se netý</w:t>
      </w:r>
      <w:r>
        <w:t>ká pojištění přerušení nebo omezení provozu</w:t>
      </w:r>
      <w:r>
        <w:t xml:space="preserve">.  </w:t>
      </w:r>
    </w:p>
    <w:p w:rsidR="00FD24EB" w:rsidRDefault="001905E1">
      <w:pPr>
        <w:spacing w:after="155"/>
        <w:ind w:left="703" w:right="67"/>
      </w:pPr>
      <w:r>
        <w:t xml:space="preserve">V </w:t>
      </w:r>
      <w:r>
        <w:t>případě</w:t>
      </w:r>
      <w:r>
        <w:t xml:space="preserve"> </w:t>
      </w:r>
      <w:r>
        <w:t>vzniku takové jedné pojistné události na více místech pojištění se od celkové výše pojistného plnění za pojistnou událost odečítá pouze ta spoluúčast, která je nejvyšší ze všech spoluúčastí sjednanýc</w:t>
      </w:r>
      <w:r>
        <w:t>h a následně vypočtených pro jednotlivá místa pojištění postižená touto pojistnou událostí.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ZIV-03-20 - </w:t>
      </w:r>
      <w:r>
        <w:t>Výluka záplavového území Q 20</w:t>
      </w:r>
      <w:r>
        <w:t xml:space="preserve"> </w:t>
      </w:r>
    </w:p>
    <w:p w:rsidR="00FD24EB" w:rsidRDefault="001905E1">
      <w:pPr>
        <w:ind w:left="703" w:right="67"/>
      </w:pPr>
      <w:r>
        <w:t>Pro místa pojištění nebo jejich části nacházející se v záplavovém území Q 20 a nižším (tj. oblast, která bývá zaplavována povodní s</w:t>
      </w:r>
      <w:r>
        <w:t xml:space="preserve"> </w:t>
      </w:r>
      <w:r>
        <w:t>periodicitou 20 let nebo nižší), stanoveném příslušným správním orgán</w:t>
      </w:r>
      <w:r>
        <w:t xml:space="preserve">em je, bez </w:t>
      </w:r>
      <w:r>
        <w:t>ohledu na jiná ujednání v</w:t>
      </w:r>
      <w:r>
        <w:t xml:space="preserve"> </w:t>
      </w:r>
      <w:r>
        <w:t>této smlouvě, vylo</w:t>
      </w:r>
      <w:r>
        <w:t>učeno pojištění rizika „Povodeň nebo záplava“.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ZIV-04-20 - </w:t>
      </w:r>
      <w:r>
        <w:t>Náklady na demolici a odvoz suti</w:t>
      </w:r>
      <w:r>
        <w:t xml:space="preserve"> </w:t>
      </w:r>
    </w:p>
    <w:p w:rsidR="00FD24EB" w:rsidRDefault="001905E1">
      <w:pPr>
        <w:ind w:left="703" w:right="67"/>
      </w:pPr>
      <w:r>
        <w:t>Ujednává se, že pojistitel nahradí účelně vynaložené náklady z</w:t>
      </w:r>
      <w:r>
        <w:t xml:space="preserve"> </w:t>
      </w:r>
      <w:r>
        <w:t>již nastalé</w:t>
      </w:r>
      <w:r>
        <w:t xml:space="preserve"> </w:t>
      </w:r>
      <w:r>
        <w:t>pojistné události pojištěné budovy</w:t>
      </w:r>
      <w:r>
        <w:t xml:space="preserve"> </w:t>
      </w:r>
      <w:r>
        <w:t>postižené touto událostí, odklizení nebo vyklizení s</w:t>
      </w:r>
      <w:r>
        <w:t>uti a její odvoz včetně nákladů na její uložení na nejbližší možnou skládku, dále jen „demoliční náklady“</w:t>
      </w:r>
      <w:r>
        <w:t xml:space="preserve">.  </w:t>
      </w:r>
    </w:p>
    <w:p w:rsidR="00FD24EB" w:rsidRDefault="001905E1">
      <w:pPr>
        <w:ind w:left="703" w:right="67"/>
      </w:pPr>
      <w:r>
        <w:t>Demoliční náklady na likvidaci pojištěné budovy zničené v</w:t>
      </w:r>
      <w:r>
        <w:t xml:space="preserve"> </w:t>
      </w:r>
      <w:r>
        <w:t>důsledku pojistné události uhradí poj</w:t>
      </w:r>
      <w:r>
        <w:t xml:space="preserve">istitel pouze v </w:t>
      </w:r>
      <w:r>
        <w:t>případě, že tuto budovu shledal poji</w:t>
      </w:r>
      <w:r>
        <w:t>stitel neopravitelnou nebo její demolici nařídil po pojistné události orgán státní správy z</w:t>
      </w:r>
      <w:r>
        <w:t xml:space="preserve"> </w:t>
      </w:r>
      <w:r>
        <w:t>důvodů bezpečnostních. Pojistitel nehradí náklady na demolici pojištěné budov</w:t>
      </w:r>
      <w:r>
        <w:t xml:space="preserve">y, u </w:t>
      </w:r>
      <w:r>
        <w:t>nichž bylo o nutnosti demolice</w:t>
      </w:r>
      <w:r>
        <w:t xml:space="preserve"> rozhodnuto v </w:t>
      </w:r>
      <w:r>
        <w:t>důsledku následného chátrání zapříčině</w:t>
      </w:r>
      <w:r>
        <w:t xml:space="preserve">ného neprovedením oprav nebo nezbytného zajištění bezprostředně po pojistné události. </w:t>
      </w:r>
      <w:r>
        <w:t xml:space="preserve"> </w:t>
      </w:r>
    </w:p>
    <w:p w:rsidR="00FD24EB" w:rsidRDefault="001905E1">
      <w:pPr>
        <w:ind w:left="703" w:right="67"/>
      </w:pPr>
      <w:r>
        <w:t>Pojištění se sjednává na první riziko dle čl. 11 bod 5 VPP 300</w:t>
      </w:r>
      <w:r>
        <w:t xml:space="preserve">-2.  </w:t>
      </w:r>
    </w:p>
    <w:p w:rsidR="00FD24EB" w:rsidRDefault="001905E1">
      <w:pPr>
        <w:spacing w:after="155"/>
        <w:ind w:left="703" w:right="67"/>
      </w:pPr>
      <w:r>
        <w:t>Pojištění se sjednává s limitem pojistného plnění ze všech pojistných událostí nastalých během jedno</w:t>
      </w:r>
      <w:r>
        <w:t>ho pojistného roku a spoluúčastí uvedenými v</w:t>
      </w:r>
      <w:r>
        <w:t xml:space="preserve"> </w:t>
      </w:r>
      <w:r>
        <w:t>pojistné smlouvě.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ZIV-05-20 - </w:t>
      </w:r>
      <w:r>
        <w:t>Atmosférické srážky</w:t>
      </w:r>
      <w:r>
        <w:t xml:space="preserve"> </w:t>
      </w:r>
    </w:p>
    <w:p w:rsidR="00FD24EB" w:rsidRDefault="001905E1">
      <w:pPr>
        <w:ind w:left="703" w:right="67"/>
      </w:pPr>
      <w:r>
        <w:t>Je-</w:t>
      </w:r>
      <w:r>
        <w:t xml:space="preserve">li sjednáno pojistné nebezpečí „Vichřice nebo krupobití“, pojištění se dále vztahuje i na poškození nebo </w:t>
      </w:r>
      <w:r>
        <w:t>zni</w:t>
      </w:r>
      <w:r>
        <w:t>čení pojištěných věcí v</w:t>
      </w:r>
      <w:r>
        <w:t xml:space="preserve"> </w:t>
      </w:r>
      <w:r>
        <w:t>důsledku atmosférických srážek, tzn. působením srážkové vody, která prosákla nebo vnikla do pojištěného prostoru netěsnostmi stavebních konstrukcí</w:t>
      </w:r>
      <w:r>
        <w:t xml:space="preserve">.  </w:t>
      </w:r>
    </w:p>
    <w:p w:rsidR="00FD24EB" w:rsidRDefault="001905E1">
      <w:pPr>
        <w:ind w:left="703" w:right="67"/>
      </w:pPr>
      <w:r>
        <w:t>Nárok na pojistné plnění však nevzniká, pokud byla pojištěná věc poškozena nebo zničena: nedostatečně uzav</w:t>
      </w:r>
      <w:r>
        <w:t>řenými okny, venkovními dveřmi nebo jinými stavebními otvory; v</w:t>
      </w:r>
      <w:r>
        <w:t xml:space="preserve"> </w:t>
      </w:r>
      <w:r>
        <w:t>důsledku zanedbané údržby pojištěné nemovitosti; během opravy, údržby nebo přestavby stavebních konstrukcí, jimiž k</w:t>
      </w:r>
      <w:r>
        <w:t xml:space="preserve"> </w:t>
      </w:r>
      <w:r>
        <w:t>vniknutí atmosférických srážek došlo;</w:t>
      </w:r>
      <w:r>
        <w:t xml:space="preserve"> nebo houbami a </w:t>
      </w:r>
      <w:r>
        <w:t xml:space="preserve">plísněmi. </w:t>
      </w:r>
      <w:r>
        <w:t xml:space="preserve"> </w:t>
      </w:r>
      <w:r>
        <w:t>Pojištěný je</w:t>
      </w:r>
      <w:r>
        <w:t xml:space="preserve"> povinen po pojistné události neprodleně učinit opatření, aby ke stejné škodě nemohlo dojít při dalším působení srážek.</w:t>
      </w:r>
      <w:r>
        <w:t xml:space="preserve"> </w:t>
      </w:r>
    </w:p>
    <w:p w:rsidR="00FD24EB" w:rsidRDefault="001905E1">
      <w:pPr>
        <w:spacing w:after="157"/>
        <w:ind w:left="703" w:right="67"/>
      </w:pPr>
      <w:r>
        <w:t>Pojištění se sjednává s limitem pojistného plnění ze všech pojistných událostí</w:t>
      </w:r>
      <w:r>
        <w:t xml:space="preserve"> </w:t>
      </w:r>
      <w:r>
        <w:t>nastalých během jednoho pojistného</w:t>
      </w:r>
      <w:r>
        <w:t xml:space="preserve"> </w:t>
      </w:r>
      <w:r>
        <w:t>roku a spoluúčastí uv</w:t>
      </w:r>
      <w:r>
        <w:t>edenými v</w:t>
      </w:r>
      <w:r>
        <w:t xml:space="preserve"> poj</w:t>
      </w:r>
      <w:r>
        <w:t>istné smlouvě.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ZIV-06-20 - </w:t>
      </w:r>
      <w:r>
        <w:t>Nepřímý úder blesku</w:t>
      </w:r>
      <w:r>
        <w:t xml:space="preserve"> </w:t>
      </w:r>
    </w:p>
    <w:p w:rsidR="00FD24EB" w:rsidRDefault="001905E1">
      <w:pPr>
        <w:ind w:left="703" w:right="67"/>
      </w:pPr>
      <w:r>
        <w:t xml:space="preserve">Úderem blesku se pro účely této pojistné smlouvy rozumí také škoda vzniklá úderem blesku bez viditelných destrukčních účinků na věci nebo na budově. </w:t>
      </w:r>
      <w:r>
        <w:t xml:space="preserve"> </w:t>
      </w:r>
    </w:p>
    <w:p w:rsidR="00FD24EB" w:rsidRDefault="001905E1">
      <w:pPr>
        <w:ind w:left="703" w:right="67"/>
      </w:pPr>
      <w:r>
        <w:t>Pojištění se dále vztahuje i na poškození n</w:t>
      </w:r>
      <w:r>
        <w:t>ebo zničení elektrických a</w:t>
      </w:r>
      <w:r>
        <w:t xml:space="preserve"> </w:t>
      </w:r>
      <w:r>
        <w:t>elektronických strojů, přístrojů a zařízení (včetně elektroinstalace na budovách nebo ostatních stavbách) vzniklá přepětím, zkratem nebo indukcí v příčinné souvislosti s</w:t>
      </w:r>
      <w:r>
        <w:t xml:space="preserve"> </w:t>
      </w:r>
      <w:r>
        <w:t>úderem blesku, při bouřkách, při spínání</w:t>
      </w:r>
      <w:r>
        <w:t xml:space="preserve"> v </w:t>
      </w:r>
      <w:r>
        <w:t>napájecích sítíc</w:t>
      </w:r>
      <w:r>
        <w:t>h nebo při výboji statické elektřiny.</w:t>
      </w:r>
      <w:r>
        <w:t xml:space="preserve"> </w:t>
      </w:r>
    </w:p>
    <w:p w:rsidR="00FD24EB" w:rsidRDefault="001905E1">
      <w:pPr>
        <w:spacing w:after="193"/>
        <w:ind w:left="703" w:right="67"/>
      </w:pPr>
      <w:r>
        <w:t>Pojištění se sjednává s limitem pojistného plnění ze všech pojistných událostí nastalých během jednoho pojistného roku a spoluúčastí uvedenými v</w:t>
      </w:r>
      <w:r>
        <w:t xml:space="preserve"> </w:t>
      </w:r>
      <w:r>
        <w:t>pojistné smlouvě.</w:t>
      </w:r>
      <w:r>
        <w:t xml:space="preserve"> </w:t>
      </w:r>
    </w:p>
    <w:p w:rsidR="00FD24EB" w:rsidRDefault="001905E1">
      <w:pPr>
        <w:spacing w:after="13"/>
        <w:ind w:left="703" w:right="55"/>
      </w:pPr>
      <w:r>
        <w:rPr>
          <w:b/>
          <w:sz w:val="21"/>
        </w:rPr>
        <w:lastRenderedPageBreak/>
        <w:t xml:space="preserve"> 2.1.4 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  <w:sz w:val="21"/>
        </w:rPr>
        <w:t xml:space="preserve">Pojistné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1" w:line="247" w:lineRule="auto"/>
        <w:ind w:left="1285" w:right="0"/>
        <w:jc w:val="left"/>
      </w:pPr>
      <w:r>
        <w:rPr>
          <w:sz w:val="21"/>
        </w:rPr>
        <w:t>Roční pojistné za živelní pojiště</w:t>
      </w:r>
      <w:r>
        <w:rPr>
          <w:sz w:val="21"/>
        </w:rPr>
        <w:t>ní</w:t>
      </w:r>
      <w:r>
        <w:rPr>
          <w:sz w:val="21"/>
        </w:rPr>
        <w:t xml:space="preserve"> </w:t>
      </w:r>
      <w:r>
        <w:rPr>
          <w:sz w:val="21"/>
        </w:rPr>
        <w:t>činí</w:t>
      </w:r>
      <w:r>
        <w:rPr>
          <w:sz w:val="21"/>
        </w:rPr>
        <w:t xml:space="preserve"> . ..................................................................  </w:t>
      </w:r>
      <w:r>
        <w:rPr>
          <w:color w:val="BFBFBF"/>
          <w:sz w:val="21"/>
          <w:shd w:val="clear" w:color="auto" w:fill="C0C0C0"/>
        </w:rPr>
        <w:t xml:space="preserve">9 660 </w:t>
      </w:r>
      <w:r>
        <w:rPr>
          <w:color w:val="BFBFBF"/>
          <w:sz w:val="21"/>
          <w:shd w:val="clear" w:color="auto" w:fill="C0C0C0"/>
        </w:rPr>
        <w:t>Kč</w:t>
      </w:r>
      <w:r>
        <w:rPr>
          <w:color w:val="BFBFBF"/>
          <w:sz w:val="21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3"/>
        <w:spacing w:after="13" w:line="248" w:lineRule="auto"/>
        <w:ind w:left="703" w:right="55"/>
        <w:jc w:val="both"/>
      </w:pPr>
      <w:r>
        <w:rPr>
          <w:sz w:val="21"/>
        </w:rPr>
        <w:t xml:space="preserve"> 2.2 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POJIŠTĚNÍ ODCIZENÍ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        </w:t>
      </w:r>
    </w:p>
    <w:p w:rsidR="00FD24EB" w:rsidRDefault="001905E1">
      <w:pPr>
        <w:spacing w:after="14" w:line="247" w:lineRule="auto"/>
        <w:ind w:left="1270" w:right="637"/>
      </w:pPr>
      <w:r>
        <w:rPr>
          <w:sz w:val="21"/>
        </w:rPr>
        <w:t>Pojištění se řídí Zvláštními pojistným podmínkami pro pojištění odcizení ZPP 330</w:t>
      </w:r>
      <w:r>
        <w:rPr>
          <w:sz w:val="21"/>
        </w:rPr>
        <w:t xml:space="preserve">-2. </w:t>
      </w:r>
      <w:r>
        <w:rPr>
          <w:sz w:val="21"/>
        </w:rPr>
        <w:t>Pojištění se sjednává na první riziko.</w:t>
      </w:r>
      <w:r>
        <w:rPr>
          <w:sz w:val="21"/>
        </w:rPr>
        <w:t xml:space="preserve"> </w:t>
      </w:r>
    </w:p>
    <w:p w:rsidR="00FD24EB" w:rsidRDefault="001905E1">
      <w:pPr>
        <w:spacing w:after="4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4"/>
        <w:ind w:left="703" w:right="55"/>
      </w:pPr>
      <w:r>
        <w:t xml:space="preserve"> </w:t>
      </w:r>
      <w:r>
        <w:t xml:space="preserve">2.2.1 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Předmět pojištění, limity plnění</w:t>
      </w:r>
      <w: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9071" w:type="dxa"/>
        <w:tblInd w:w="1277" w:type="dxa"/>
        <w:tblCellMar>
          <w:top w:w="56" w:type="dxa"/>
          <w:left w:w="14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1985"/>
        <w:gridCol w:w="1983"/>
      </w:tblGrid>
      <w:tr w:rsidR="00FD24EB">
        <w:trPr>
          <w:trHeight w:val="6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141" w:firstLine="0"/>
              <w:jc w:val="center"/>
            </w:pPr>
            <w:r>
              <w:rPr>
                <w:b/>
                <w:sz w:val="21"/>
              </w:rPr>
              <w:t xml:space="preserve">Předmět pojištění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141" w:firstLine="0"/>
              <w:jc w:val="center"/>
            </w:pPr>
            <w:r>
              <w:rPr>
                <w:b/>
                <w:sz w:val="21"/>
              </w:rPr>
              <w:t>Popis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359" w:right="439" w:firstLine="0"/>
              <w:jc w:val="center"/>
            </w:pPr>
            <w:r>
              <w:rPr>
                <w:b/>
                <w:sz w:val="21"/>
              </w:rPr>
              <w:t>Limit (Kč)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48" w:right="124" w:firstLine="0"/>
              <w:jc w:val="center"/>
            </w:pPr>
            <w:r>
              <w:rPr>
                <w:b/>
                <w:sz w:val="21"/>
              </w:rPr>
              <w:t xml:space="preserve">Spoluúčast (Kč) </w:t>
            </w:r>
          </w:p>
        </w:tc>
      </w:tr>
      <w:tr w:rsidR="00FD24EB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Věci pojištěné živelním pojištěním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1"/>
              </w:rPr>
              <w:t>V</w:t>
            </w:r>
            <w:r>
              <w:rPr>
                <w:sz w:val="21"/>
              </w:rPr>
              <w:t xml:space="preserve">lastní </w:t>
            </w:r>
            <w:r>
              <w:rPr>
                <w:sz w:val="21"/>
              </w:rPr>
              <w:t>a ciz</w:t>
            </w:r>
            <w:r>
              <w:rPr>
                <w:sz w:val="21"/>
              </w:rPr>
              <w:t>í</w:t>
            </w:r>
            <w:r>
              <w:rPr>
                <w:sz w:val="21"/>
              </w:rPr>
              <w:t xml:space="preserve"> - soubor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21"/>
              </w:rPr>
              <w:t xml:space="preserve">1 850 000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1"/>
              </w:rPr>
              <w:t xml:space="preserve">5 000 </w:t>
            </w:r>
          </w:p>
        </w:tc>
      </w:tr>
    </w:tbl>
    <w:p w:rsidR="00FD24EB" w:rsidRDefault="001905E1">
      <w:pPr>
        <w:spacing w:after="6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pStyle w:val="Nadpis4"/>
        <w:ind w:left="703" w:right="55"/>
      </w:pPr>
      <w:r>
        <w:t xml:space="preserve"> 2.2.2 </w:t>
      </w:r>
      <w:r>
        <w:rPr>
          <w:rFonts w:ascii="Arial" w:eastAsia="Arial" w:hAnsi="Arial" w:cs="Arial"/>
        </w:rPr>
        <w:t xml:space="preserve"> </w:t>
      </w:r>
      <w:r>
        <w:t>Rozsah pojištění, limity plnění a spoluúčasti</w:t>
      </w:r>
      <w:r>
        <w:t xml:space="preserve"> </w:t>
      </w:r>
    </w:p>
    <w:p w:rsidR="00FD24EB" w:rsidRDefault="001905E1">
      <w:pPr>
        <w:spacing w:after="0" w:line="259" w:lineRule="auto"/>
        <w:ind w:left="1234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>Není</w:t>
      </w:r>
      <w:r>
        <w:rPr>
          <w:sz w:val="21"/>
        </w:rPr>
        <w:t>-</w:t>
      </w:r>
      <w:r>
        <w:rPr>
          <w:sz w:val="21"/>
        </w:rPr>
        <w:t>li uvedeno jinak, jsou sjednané limity plnění společné pro všechny předměty pojištění uvedené v</w:t>
      </w:r>
      <w:r>
        <w:rPr>
          <w:sz w:val="21"/>
        </w:rPr>
        <w:t xml:space="preserve"> </w:t>
      </w:r>
      <w:r>
        <w:rPr>
          <w:sz w:val="21"/>
        </w:rPr>
        <w:t>předchozím bodě.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234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071" w:type="dxa"/>
        <w:tblInd w:w="1277" w:type="dxa"/>
        <w:tblCellMar>
          <w:top w:w="52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2549"/>
      </w:tblGrid>
      <w:tr w:rsidR="00FD24EB">
        <w:trPr>
          <w:trHeight w:val="6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1"/>
              </w:rPr>
              <w:t xml:space="preserve">Pojištěné nebezpečí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672" w:right="682" w:firstLine="0"/>
              <w:jc w:val="center"/>
            </w:pPr>
            <w:r>
              <w:rPr>
                <w:b/>
                <w:sz w:val="21"/>
              </w:rPr>
              <w:t>Limit plnění (Kč)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364" w:right="368" w:firstLine="0"/>
              <w:jc w:val="center"/>
            </w:pPr>
            <w:r>
              <w:rPr>
                <w:b/>
                <w:sz w:val="21"/>
              </w:rPr>
              <w:t>Spoluúčast (Kč)</w:t>
            </w:r>
            <w:r>
              <w:rPr>
                <w:sz w:val="21"/>
              </w:rPr>
              <w:t xml:space="preserve"> </w:t>
            </w:r>
          </w:p>
        </w:tc>
      </w:tr>
      <w:tr w:rsidR="00FD24EB">
        <w:trPr>
          <w:trHeight w:val="10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Odcize</w:t>
            </w:r>
            <w:r>
              <w:rPr>
                <w:sz w:val="21"/>
              </w:rPr>
              <w:t xml:space="preserve">ní krádeží vloupáním </w:t>
            </w:r>
            <w:r>
              <w:rPr>
                <w:sz w:val="21"/>
              </w:rPr>
              <w:t xml:space="preserve">a </w:t>
            </w:r>
            <w:r>
              <w:rPr>
                <w:sz w:val="21"/>
              </w:rPr>
              <w:t>loupeží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 xml:space="preserve">Jednotlivé předměty pojištění jsou pojištěny na </w:t>
            </w:r>
            <w:r>
              <w:rPr>
                <w:b/>
                <w:sz w:val="21"/>
              </w:rPr>
              <w:t>limity</w:t>
            </w:r>
            <w:r>
              <w:rPr>
                <w:sz w:val="21"/>
              </w:rPr>
              <w:t xml:space="preserve"> u nich </w:t>
            </w:r>
            <w:r>
              <w:rPr>
                <w:sz w:val="21"/>
              </w:rPr>
              <w:t>uvedené.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1" w:right="5" w:firstLine="0"/>
              <w:jc w:val="center"/>
            </w:pPr>
            <w:r>
              <w:rPr>
                <w:sz w:val="21"/>
              </w:rPr>
              <w:t xml:space="preserve">Jednotlivé předměty pojištění jsou pojištěny </w:t>
            </w:r>
            <w:r>
              <w:rPr>
                <w:sz w:val="21"/>
              </w:rPr>
              <w:t xml:space="preserve">se </w:t>
            </w:r>
            <w:r>
              <w:rPr>
                <w:b/>
                <w:sz w:val="21"/>
              </w:rPr>
              <w:t>spoluúčastí</w:t>
            </w:r>
            <w:r>
              <w:rPr>
                <w:sz w:val="21"/>
              </w:rPr>
              <w:t xml:space="preserve"> u nich uvedenou. </w:t>
            </w:r>
          </w:p>
        </w:tc>
      </w:tr>
      <w:tr w:rsidR="00FD24EB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Vandalismus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21"/>
              </w:rPr>
              <w:t xml:space="preserve">50 000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1 000 </w:t>
            </w:r>
          </w:p>
        </w:tc>
      </w:tr>
      <w:tr w:rsidR="00FD24EB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Spr</w:t>
            </w:r>
            <w:r>
              <w:rPr>
                <w:sz w:val="21"/>
              </w:rPr>
              <w:t>ejerství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21"/>
              </w:rPr>
              <w:t xml:space="preserve">50 000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1 000 </w:t>
            </w:r>
          </w:p>
        </w:tc>
      </w:tr>
    </w:tbl>
    <w:p w:rsidR="00FD24EB" w:rsidRDefault="001905E1">
      <w:pPr>
        <w:spacing w:after="6" w:line="259" w:lineRule="auto"/>
        <w:ind w:left="708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pStyle w:val="Nadpis2"/>
        <w:ind w:left="703"/>
      </w:pPr>
      <w:r>
        <w:t xml:space="preserve"> 2.2.3 </w:t>
      </w:r>
      <w:r>
        <w:rPr>
          <w:rFonts w:ascii="Arial" w:eastAsia="Arial" w:hAnsi="Arial" w:cs="Arial"/>
        </w:rPr>
        <w:t xml:space="preserve"> </w:t>
      </w:r>
      <w:r>
        <w:t>Doložky</w:t>
      </w:r>
      <w: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pStyle w:val="Nadpis3"/>
        <w:ind w:left="703"/>
      </w:pPr>
      <w:r>
        <w:t xml:space="preserve">ODC-01-20 - </w:t>
      </w:r>
      <w:r>
        <w:t>Pojištění souboru věcí</w:t>
      </w:r>
      <w:r>
        <w:t xml:space="preserve"> </w:t>
      </w:r>
    </w:p>
    <w:p w:rsidR="00FD24EB" w:rsidRDefault="001905E1">
      <w:pPr>
        <w:spacing w:after="157"/>
        <w:ind w:left="703" w:right="67"/>
      </w:pPr>
      <w:r>
        <w:t>Bylo-</w:t>
      </w:r>
      <w:r>
        <w:t xml:space="preserve">li sjednáno pojištění souboru věcí (dále jen „soubor“), vztahuje se pojištění na všechny věci, které </w:t>
      </w:r>
      <w:r>
        <w:t xml:space="preserve">k </w:t>
      </w:r>
      <w:r>
        <w:t>souboru náleží při vzniku pojistné události. Ujednání o pojistné</w:t>
      </w:r>
      <w:r>
        <w:t xml:space="preserve"> </w:t>
      </w:r>
      <w:r>
        <w:t>částce nebo limitu pojistného plnění</w:t>
      </w:r>
      <w:r>
        <w:t xml:space="preserve">, </w:t>
      </w:r>
      <w:r>
        <w:t>pojistné hodnotě a po</w:t>
      </w:r>
      <w:r>
        <w:t>dpojištění se vztahují na celý soubor.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ODC-02-20 </w:t>
      </w:r>
      <w:r>
        <w:t>–</w:t>
      </w:r>
      <w:r>
        <w:t xml:space="preserve"> </w:t>
      </w:r>
      <w:r>
        <w:t>Odcizení hasicích zařízení</w:t>
      </w:r>
      <w:r>
        <w:t xml:space="preserve"> </w:t>
      </w:r>
    </w:p>
    <w:p w:rsidR="00FD24EB" w:rsidRDefault="001905E1">
      <w:pPr>
        <w:ind w:left="703" w:right="67"/>
      </w:pPr>
      <w:r>
        <w:t>Pojištění se vztahuje také na odcizení hasicích zařízení umístěných uvnitř budovy (hadice, proudnice, ruční hasicí pří</w:t>
      </w:r>
      <w:r>
        <w:t xml:space="preserve">stroje apod.). </w:t>
      </w:r>
    </w:p>
    <w:p w:rsidR="00FD24EB" w:rsidRDefault="001905E1">
      <w:pPr>
        <w:ind w:left="703" w:right="67"/>
      </w:pPr>
      <w:r>
        <w:t>Pojistitel poskytne plnění pouze z jedné p</w:t>
      </w:r>
      <w:r>
        <w:t xml:space="preserve">ojistné události nastalé v průběhu pojistného roku, a to do výše maximálně </w:t>
      </w:r>
      <w:r>
        <w:rPr>
          <w:b/>
        </w:rPr>
        <w:t>10 000 Kč.</w:t>
      </w:r>
      <w:r>
        <w:t xml:space="preserve"> </w:t>
      </w:r>
    </w:p>
    <w:p w:rsidR="00FD24EB" w:rsidRDefault="001905E1">
      <w:pPr>
        <w:spacing w:after="101"/>
        <w:ind w:left="703" w:right="67"/>
      </w:pPr>
      <w:r>
        <w:t>Pro hydrantové skříně a jejich příslušenství a pro hasicí přístroje umístěné uvnitř budovy se ujednává následující způsob zabezpečení proti odcizení</w:t>
      </w:r>
      <w:r>
        <w:t xml:space="preserve">: </w:t>
      </w:r>
    </w:p>
    <w:p w:rsidR="00FD24EB" w:rsidRDefault="001905E1">
      <w:pPr>
        <w:numPr>
          <w:ilvl w:val="0"/>
          <w:numId w:val="2"/>
        </w:numPr>
        <w:ind w:right="67" w:hanging="360"/>
      </w:pPr>
      <w:r>
        <w:t>vstupní dveře do budovy musí být řádně uzamčeny</w:t>
      </w:r>
      <w:r>
        <w:t xml:space="preserve"> </w:t>
      </w:r>
    </w:p>
    <w:p w:rsidR="00FD24EB" w:rsidRDefault="001905E1">
      <w:pPr>
        <w:numPr>
          <w:ilvl w:val="0"/>
          <w:numId w:val="2"/>
        </w:numPr>
        <w:ind w:right="67" w:hanging="360"/>
      </w:pPr>
      <w:r>
        <w:t>hydrantové skříně musí být uzavřeny a dvířka opatřena plombou</w:t>
      </w:r>
      <w:r>
        <w:t xml:space="preserve"> </w:t>
      </w:r>
    </w:p>
    <w:p w:rsidR="00FD24EB" w:rsidRDefault="001905E1">
      <w:pPr>
        <w:numPr>
          <w:ilvl w:val="0"/>
          <w:numId w:val="2"/>
        </w:numPr>
        <w:spacing w:after="131"/>
        <w:ind w:right="67" w:hanging="360"/>
      </w:pPr>
      <w:r>
        <w:t>hasicí přístroje musí být zavěšeny na zdi nebo uloženy ve skříňce a opatře</w:t>
      </w:r>
      <w:r>
        <w:t xml:space="preserve">ny plombou. </w:t>
      </w:r>
    </w:p>
    <w:p w:rsidR="00FD24EB" w:rsidRDefault="001905E1">
      <w:pPr>
        <w:pStyle w:val="Nadpis3"/>
        <w:ind w:left="703"/>
      </w:pPr>
      <w:r>
        <w:lastRenderedPageBreak/>
        <w:t xml:space="preserve">VND-01-20 - </w:t>
      </w:r>
      <w:r>
        <w:t>Sprejerství</w:t>
      </w:r>
      <w:r>
        <w:t xml:space="preserve"> </w:t>
      </w:r>
    </w:p>
    <w:p w:rsidR="00FD24EB" w:rsidRDefault="001905E1">
      <w:pPr>
        <w:spacing w:after="153"/>
        <w:ind w:left="703" w:right="67"/>
      </w:pPr>
      <w:r>
        <w:t xml:space="preserve">Pro pojištění budov a staveb se </w:t>
      </w:r>
      <w:r>
        <w:t>ujednává, že za škody způsobené úmyslným poškozením vnějšího obvodového pláště budovy nebo stavby pojištěné proti vandalismu malbami, nástřiky nebo polepením poskytne pojistitel pojistné plnění pouze z</w:t>
      </w:r>
      <w:r>
        <w:t xml:space="preserve"> </w:t>
      </w:r>
      <w:r>
        <w:t>jedné pojistné událos</w:t>
      </w:r>
      <w:r>
        <w:t>t</w:t>
      </w:r>
      <w:r>
        <w:t>i nastalé v</w:t>
      </w:r>
      <w:r>
        <w:t xml:space="preserve"> </w:t>
      </w:r>
      <w:r>
        <w:t>jednom místě pojiště</w:t>
      </w:r>
      <w:r>
        <w:t>ní v</w:t>
      </w:r>
      <w:r>
        <w:t xml:space="preserve"> </w:t>
      </w:r>
      <w:r>
        <w:t>průběhu jednoho pojistného roku, a to do výše sublimitu, uvedeného v</w:t>
      </w:r>
      <w:r>
        <w:t xml:space="preserve"> </w:t>
      </w:r>
      <w:r>
        <w:t>pojistné smlouvě,</w:t>
      </w:r>
      <w:r>
        <w:t xml:space="preserve"> v </w:t>
      </w:r>
      <w:r>
        <w:t xml:space="preserve">rámci limitu pojistného plnění sjednaného pro pojištění budovy nebo stavby na místě pojištění </w:t>
      </w:r>
      <w:r>
        <w:t xml:space="preserve">proti vandalismu. </w:t>
      </w:r>
    </w:p>
    <w:p w:rsidR="00FD24EB" w:rsidRDefault="001905E1">
      <w:pPr>
        <w:spacing w:after="139" w:line="259" w:lineRule="auto"/>
        <w:ind w:left="708" w:right="0" w:firstLine="0"/>
        <w:jc w:val="left"/>
      </w:pPr>
      <w: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D24EB" w:rsidRDefault="001905E1">
      <w:pPr>
        <w:pStyle w:val="Nadpis3"/>
        <w:spacing w:after="13" w:line="248" w:lineRule="auto"/>
        <w:ind w:left="703" w:right="55"/>
        <w:jc w:val="both"/>
      </w:pPr>
      <w:r>
        <w:rPr>
          <w:sz w:val="21"/>
        </w:rPr>
        <w:t xml:space="preserve"> 2.3 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POJIŠTĚNÍ </w:t>
      </w:r>
      <w:r>
        <w:rPr>
          <w:sz w:val="21"/>
        </w:rPr>
        <w:t>ODCIZ</w:t>
      </w:r>
      <w:r>
        <w:rPr>
          <w:sz w:val="21"/>
        </w:rPr>
        <w:t>ENÍ PENĚZ A CENNOSTÍ LOU</w:t>
      </w:r>
      <w:r>
        <w:rPr>
          <w:sz w:val="21"/>
        </w:rPr>
        <w:t>PEŽÍ PŘI JEJICH</w:t>
      </w:r>
      <w:r>
        <w:rPr>
          <w:sz w:val="21"/>
        </w:rPr>
        <w:t xml:space="preserve"> </w:t>
      </w:r>
      <w:r>
        <w:rPr>
          <w:sz w:val="21"/>
        </w:rPr>
        <w:t>PŘEPRAVĚ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637"/>
      </w:pPr>
      <w:r>
        <w:rPr>
          <w:sz w:val="21"/>
        </w:rPr>
        <w:t>Pojištění se řídí Zvláštními pojistným podmínkami pro pojištění odcizení ZP</w:t>
      </w:r>
      <w:r>
        <w:rPr>
          <w:sz w:val="21"/>
        </w:rPr>
        <w:t xml:space="preserve">P 330-2. </w:t>
      </w:r>
      <w:r>
        <w:rPr>
          <w:sz w:val="21"/>
        </w:rPr>
        <w:t>Pojištění se sjednává na první riziko.</w:t>
      </w:r>
      <w:r>
        <w:rPr>
          <w:sz w:val="21"/>
        </w:rPr>
        <w:t xml:space="preserve"> </w:t>
      </w:r>
    </w:p>
    <w:p w:rsidR="00FD24EB" w:rsidRDefault="001905E1">
      <w:pPr>
        <w:spacing w:after="4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4"/>
        <w:ind w:left="703" w:right="55"/>
      </w:pPr>
      <w:r>
        <w:t xml:space="preserve"> 2.3.1 </w:t>
      </w:r>
      <w:r>
        <w:rPr>
          <w:rFonts w:ascii="Arial" w:eastAsia="Arial" w:hAnsi="Arial" w:cs="Arial"/>
        </w:rPr>
        <w:t xml:space="preserve"> </w:t>
      </w:r>
      <w:r>
        <w:t>Ro</w:t>
      </w:r>
      <w:r>
        <w:t>zsah pojištění, limity plnění a spoluúčasti</w:t>
      </w:r>
      <w: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9071" w:type="dxa"/>
        <w:tblInd w:w="1277" w:type="dxa"/>
        <w:tblCellMar>
          <w:top w:w="5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2549"/>
      </w:tblGrid>
      <w:tr w:rsidR="00FD24EB">
        <w:trPr>
          <w:trHeight w:val="6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1"/>
              </w:rPr>
              <w:t xml:space="preserve">Pojištěné nebezpečí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672" w:right="682" w:firstLine="0"/>
              <w:jc w:val="center"/>
            </w:pPr>
            <w:r>
              <w:rPr>
                <w:b/>
                <w:sz w:val="21"/>
              </w:rPr>
              <w:t>Limit plnění (Kč)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364" w:right="368" w:firstLine="0"/>
              <w:jc w:val="center"/>
            </w:pPr>
            <w:r>
              <w:rPr>
                <w:b/>
                <w:sz w:val="21"/>
              </w:rPr>
              <w:t>Spoluúčast (Kč)</w:t>
            </w:r>
            <w:r>
              <w:rPr>
                <w:sz w:val="21"/>
              </w:rPr>
              <w:t xml:space="preserve"> </w:t>
            </w:r>
          </w:p>
        </w:tc>
      </w:tr>
      <w:tr w:rsidR="00FD24EB">
        <w:trPr>
          <w:trHeight w:val="5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tabs>
                <w:tab w:val="center" w:pos="1334"/>
                <w:tab w:val="center" w:pos="1944"/>
                <w:tab w:val="right" w:pos="311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Odcizení </w:t>
            </w:r>
            <w:r>
              <w:rPr>
                <w:sz w:val="21"/>
              </w:rPr>
              <w:tab/>
              <w:t xml:space="preserve">peněz </w:t>
            </w:r>
            <w:r>
              <w:rPr>
                <w:sz w:val="21"/>
              </w:rPr>
              <w:tab/>
              <w:t xml:space="preserve">a </w:t>
            </w:r>
            <w:r>
              <w:rPr>
                <w:sz w:val="21"/>
              </w:rPr>
              <w:tab/>
              <w:t xml:space="preserve">cenností </w:t>
            </w:r>
          </w:p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loupeží při jejich přepravě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1"/>
              </w:rPr>
              <w:t xml:space="preserve">200 000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1"/>
              </w:rPr>
              <w:t xml:space="preserve">1 000 </w:t>
            </w:r>
          </w:p>
        </w:tc>
      </w:tr>
    </w:tbl>
    <w:p w:rsidR="00FD24EB" w:rsidRDefault="001905E1">
      <w:pPr>
        <w:spacing w:after="4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spacing w:after="0" w:line="259" w:lineRule="auto"/>
        <w:ind w:left="703" w:right="0"/>
        <w:jc w:val="left"/>
      </w:pPr>
      <w:r>
        <w:rPr>
          <w:b/>
          <w:sz w:val="22"/>
        </w:rPr>
        <w:t xml:space="preserve"> 2.3.2 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Pojistné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spacing w:after="0" w:line="259" w:lineRule="auto"/>
        <w:ind w:left="1270" w:right="0"/>
        <w:jc w:val="left"/>
      </w:pPr>
      <w:r>
        <w:rPr>
          <w:sz w:val="22"/>
        </w:rPr>
        <w:t>Roční pojistné za pojištění</w:t>
      </w:r>
      <w:r>
        <w:rPr>
          <w:sz w:val="22"/>
        </w:rPr>
        <w:t xml:space="preserve"> odcize</w:t>
      </w:r>
      <w:r>
        <w:rPr>
          <w:sz w:val="22"/>
        </w:rPr>
        <w:t xml:space="preserve">ní </w:t>
      </w:r>
      <w:r>
        <w:rPr>
          <w:sz w:val="22"/>
        </w:rPr>
        <w:t xml:space="preserve">a vandalismu </w:t>
      </w:r>
      <w:r>
        <w:rPr>
          <w:sz w:val="22"/>
        </w:rPr>
        <w:t>činí</w:t>
      </w:r>
      <w:r>
        <w:rPr>
          <w:sz w:val="22"/>
        </w:rPr>
        <w:t xml:space="preserve"> .. ....................................  </w:t>
      </w:r>
      <w:r>
        <w:rPr>
          <w:color w:val="BFBFBF"/>
          <w:sz w:val="22"/>
          <w:shd w:val="clear" w:color="auto" w:fill="C0C0C0"/>
        </w:rPr>
        <w:t xml:space="preserve">7 994 </w:t>
      </w:r>
      <w:r>
        <w:rPr>
          <w:color w:val="BFBFBF"/>
          <w:sz w:val="22"/>
          <w:shd w:val="clear" w:color="auto" w:fill="C0C0C0"/>
        </w:rPr>
        <w:t>Kč</w:t>
      </w:r>
      <w:r>
        <w:rPr>
          <w:sz w:val="22"/>
        </w:rPr>
        <w:t xml:space="preserve">.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spacing w:after="5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pStyle w:val="Nadpis2"/>
        <w:ind w:left="703"/>
      </w:pPr>
      <w:r>
        <w:t xml:space="preserve"> 2.4 </w:t>
      </w:r>
      <w:r>
        <w:rPr>
          <w:rFonts w:ascii="Arial" w:eastAsia="Arial" w:hAnsi="Arial" w:cs="Arial"/>
        </w:rPr>
        <w:t xml:space="preserve"> </w:t>
      </w:r>
      <w:r>
        <w:t>POJIŠTĚNÍ STROJŮ A ELEKTRONICKÝCH ZAŘÍZENÍ</w:t>
      </w:r>
      <w: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/>
        <w:ind w:left="1285" w:right="0"/>
        <w:jc w:val="left"/>
      </w:pPr>
      <w:r>
        <w:rPr>
          <w:sz w:val="22"/>
        </w:rPr>
        <w:t>Pojištění se řídí Zvláštními pojistným podmínkami pro pojištění strojů a elektronických zařízení</w:t>
      </w:r>
      <w:r>
        <w:rPr>
          <w:sz w:val="22"/>
        </w:rPr>
        <w:t xml:space="preserve"> ZPP 360-2. </w:t>
      </w:r>
    </w:p>
    <w:p w:rsidR="00FD24EB" w:rsidRDefault="001905E1">
      <w:pPr>
        <w:spacing w:after="7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pStyle w:val="Nadpis3"/>
        <w:spacing w:after="0" w:line="259" w:lineRule="auto"/>
        <w:ind w:left="703"/>
      </w:pPr>
      <w:r>
        <w:rPr>
          <w:sz w:val="22"/>
        </w:rPr>
        <w:t xml:space="preserve"> 2.4.1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Předmět pojištění, limity plnění a spoluúčasti</w:t>
      </w:r>
      <w:r>
        <w:rPr>
          <w:sz w:val="22"/>
        </w:rPr>
        <w:t xml:space="preserve"> 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071" w:type="dxa"/>
        <w:tblInd w:w="1277" w:type="dxa"/>
        <w:tblCellMar>
          <w:top w:w="8" w:type="dxa"/>
          <w:left w:w="12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2930"/>
        <w:gridCol w:w="1938"/>
        <w:gridCol w:w="1935"/>
      </w:tblGrid>
      <w:tr w:rsidR="00FD24EB">
        <w:trPr>
          <w:trHeight w:val="6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sz w:val="22"/>
              </w:rPr>
              <w:t xml:space="preserve">Předmět pojištění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2"/>
              </w:rPr>
              <w:t>Popis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Pojistná čá</w:t>
            </w:r>
            <w:r>
              <w:rPr>
                <w:b/>
                <w:sz w:val="22"/>
              </w:rPr>
              <w:t xml:space="preserve">stka (Kč)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4EB" w:rsidRDefault="001905E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Spoluúčast (Kč) </w:t>
            </w:r>
          </w:p>
        </w:tc>
      </w:tr>
      <w:tr w:rsidR="00FD24EB">
        <w:trPr>
          <w:trHeight w:val="7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Stroje a elektronická zařízení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Soubor – vlastní a cizí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100 000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1 000 </w:t>
            </w:r>
          </w:p>
        </w:tc>
      </w:tr>
      <w:tr w:rsidR="00FD24EB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Elektronické zařízení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0" w:firstLine="14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Soubor stacionární kancelářské výpočetní techniky – vlastní a cizí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200 000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1 000 </w:t>
            </w:r>
          </w:p>
        </w:tc>
      </w:tr>
      <w:tr w:rsidR="00FD24EB">
        <w:trPr>
          <w:trHeight w:val="1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Elektronické zařízení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72" w:lineRule="auto"/>
              <w:ind w:left="6" w:right="15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Mobilní elektronická zařízení; pro poškození </w:t>
            </w:r>
          </w:p>
          <w:p w:rsidR="00FD24EB" w:rsidRDefault="001905E1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mobilních telefonů se </w:t>
            </w:r>
          </w:p>
          <w:p w:rsidR="00FD24EB" w:rsidRDefault="001905E1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sjednává sublimit plnění ve výši 10 000 Kč za škodu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50 000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1 000 </w:t>
            </w:r>
          </w:p>
        </w:tc>
      </w:tr>
    </w:tbl>
    <w:p w:rsidR="00FD24EB" w:rsidRDefault="001905E1">
      <w:pPr>
        <w:spacing w:after="4" w:line="259" w:lineRule="auto"/>
        <w:ind w:left="708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pStyle w:val="Nadpis3"/>
        <w:spacing w:after="0" w:line="259" w:lineRule="auto"/>
        <w:ind w:left="703"/>
      </w:pPr>
      <w:r>
        <w:rPr>
          <w:sz w:val="22"/>
        </w:rPr>
        <w:t xml:space="preserve"> 2.4.2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Do</w:t>
      </w:r>
      <w:r>
        <w:rPr>
          <w:sz w:val="22"/>
        </w:rPr>
        <w:t>ložky</w:t>
      </w: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pStyle w:val="Nadpis4"/>
        <w:spacing w:after="69" w:line="250" w:lineRule="auto"/>
        <w:ind w:left="703"/>
        <w:jc w:val="left"/>
      </w:pPr>
      <w:r>
        <w:rPr>
          <w:sz w:val="20"/>
        </w:rPr>
        <w:lastRenderedPageBreak/>
        <w:t xml:space="preserve">SEL-01-2020 - </w:t>
      </w:r>
      <w:r>
        <w:rPr>
          <w:sz w:val="20"/>
        </w:rPr>
        <w:t>Pojištění souboru věcí</w:t>
      </w:r>
      <w:r>
        <w:rPr>
          <w:sz w:val="20"/>
        </w:rPr>
        <w:t xml:space="preserve"> </w:t>
      </w:r>
    </w:p>
    <w:p w:rsidR="00FD24EB" w:rsidRDefault="001905E1">
      <w:pPr>
        <w:ind w:left="703" w:right="67"/>
      </w:pPr>
      <w:r>
        <w:t>Bylo-</w:t>
      </w:r>
      <w:r>
        <w:t xml:space="preserve">li sjednáno pojištění souboru věcí (dále jen „soubor“), vztahuje se pojištění na všechny věci, které </w:t>
      </w:r>
      <w:r>
        <w:t xml:space="preserve">k souboru </w:t>
      </w:r>
      <w:r>
        <w:t xml:space="preserve">náleží při vzniku pojistné události. Ujednání o pojistné částce nebo limitu pojistného plnění, </w:t>
      </w:r>
      <w:r>
        <w:t>p</w:t>
      </w:r>
      <w:r>
        <w:t>ojistné hodnotě a podpojištění se vztahují na cel</w:t>
      </w:r>
      <w:r>
        <w:t>ý soubor.</w:t>
      </w:r>
      <w:r>
        <w:t xml:space="preserve"> </w:t>
      </w:r>
    </w:p>
    <w:p w:rsidR="00FD24EB" w:rsidRDefault="001905E1">
      <w:pPr>
        <w:spacing w:after="181"/>
        <w:ind w:left="703" w:right="67"/>
      </w:pPr>
      <w:r>
        <w:t xml:space="preserve">V </w:t>
      </w:r>
      <w:r>
        <w:t>případě pojištění souboru se pojištění vztahuje pouze na stroje a elektronická zařízení, jejichž stáří nepřesáhlo v</w:t>
      </w:r>
      <w:r>
        <w:t xml:space="preserve"> </w:t>
      </w:r>
      <w:r>
        <w:t>době vzniku škody 12 let, s výjimkou výtahů v bytových domech a kancelářských budovách, které jsou pojištěny do stáří 25 let.</w:t>
      </w:r>
      <w:r>
        <w:t xml:space="preserve"> </w:t>
      </w:r>
      <w:r>
        <w:rPr>
          <w:sz w:val="21"/>
        </w:rPr>
        <w:t xml:space="preserve"> </w:t>
      </w:r>
    </w:p>
    <w:p w:rsidR="00FD24EB" w:rsidRDefault="001905E1">
      <w:pPr>
        <w:spacing w:after="13"/>
        <w:ind w:left="703" w:right="55"/>
      </w:pPr>
      <w:r>
        <w:rPr>
          <w:b/>
          <w:sz w:val="21"/>
        </w:rPr>
        <w:t xml:space="preserve"> 2.4.3 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  <w:sz w:val="21"/>
        </w:rPr>
        <w:t xml:space="preserve">Pojistné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 xml:space="preserve">Roční pojistné za </w:t>
      </w:r>
      <w:r>
        <w:rPr>
          <w:sz w:val="21"/>
        </w:rPr>
        <w:t>poj</w:t>
      </w:r>
      <w:r>
        <w:rPr>
          <w:sz w:val="21"/>
        </w:rPr>
        <w:t>ištění strojů a elektronických zařízení</w:t>
      </w:r>
      <w:r>
        <w:rPr>
          <w:sz w:val="21"/>
        </w:rPr>
        <w:t xml:space="preserve"> </w:t>
      </w:r>
      <w:r>
        <w:rPr>
          <w:sz w:val="21"/>
        </w:rPr>
        <w:t>činí</w:t>
      </w:r>
      <w:r>
        <w:rPr>
          <w:sz w:val="21"/>
        </w:rPr>
        <w:t xml:space="preserve">  ...............................  </w:t>
      </w:r>
      <w:r>
        <w:rPr>
          <w:color w:val="BFBFBF"/>
          <w:sz w:val="21"/>
          <w:shd w:val="clear" w:color="auto" w:fill="C0C0C0"/>
        </w:rPr>
        <w:t xml:space="preserve">3 924 </w:t>
      </w:r>
      <w:r>
        <w:rPr>
          <w:color w:val="BFBFBF"/>
          <w:sz w:val="21"/>
          <w:shd w:val="clear" w:color="auto" w:fill="C0C0C0"/>
        </w:rPr>
        <w:t>Kč</w:t>
      </w:r>
      <w:r>
        <w:rPr>
          <w:color w:val="BFBFBF"/>
          <w:sz w:val="21"/>
          <w:shd w:val="clear" w:color="auto" w:fill="C0C0C0"/>
        </w:rPr>
        <w:t>.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pStyle w:val="Nadpis4"/>
        <w:ind w:left="703" w:right="55"/>
      </w:pPr>
      <w:r>
        <w:t>3.</w:t>
      </w:r>
      <w:r>
        <w:rPr>
          <w:rFonts w:ascii="Arial" w:eastAsia="Arial" w:hAnsi="Arial" w:cs="Arial"/>
        </w:rPr>
        <w:t xml:space="preserve"> </w:t>
      </w:r>
      <w:r>
        <w:t>POJIŠTĚNÍ ODPOVĚDNOSTI</w:t>
      </w:r>
      <w:r>
        <w:t xml:space="preserve"> </w:t>
      </w:r>
    </w:p>
    <w:p w:rsidR="00FD24EB" w:rsidRDefault="001905E1">
      <w:pPr>
        <w:spacing w:after="34" w:line="259" w:lineRule="auto"/>
        <w:ind w:left="1275" w:right="0" w:firstLine="0"/>
        <w:jc w:val="left"/>
      </w:pPr>
      <w:r>
        <w:rPr>
          <w:sz w:val="16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>Pojištění se řídí Zvláštními pojistným podmínka</w:t>
      </w:r>
      <w:r>
        <w:rPr>
          <w:sz w:val="21"/>
        </w:rPr>
        <w:t>mi pro poj</w:t>
      </w:r>
      <w:r>
        <w:rPr>
          <w:sz w:val="21"/>
        </w:rPr>
        <w:t>ištění odpovědnosti</w:t>
      </w:r>
      <w:r>
        <w:rPr>
          <w:sz w:val="21"/>
        </w:rPr>
        <w:t xml:space="preserve"> ZPP 650-2.</w:t>
      </w:r>
      <w:r>
        <w:rPr>
          <w:sz w:val="21"/>
        </w:rPr>
        <w:t xml:space="preserve"> </w:t>
      </w:r>
    </w:p>
    <w:p w:rsidR="00FD24EB" w:rsidRDefault="001905E1">
      <w:pPr>
        <w:spacing w:after="33" w:line="259" w:lineRule="auto"/>
        <w:ind w:left="1275" w:right="0" w:firstLine="0"/>
        <w:jc w:val="left"/>
      </w:pPr>
      <w:r>
        <w:rPr>
          <w:sz w:val="16"/>
        </w:rPr>
        <w:t xml:space="preserve"> </w:t>
      </w:r>
    </w:p>
    <w:p w:rsidR="00FD24EB" w:rsidRDefault="001905E1">
      <w:pPr>
        <w:spacing w:after="111" w:line="247" w:lineRule="auto"/>
        <w:ind w:left="1270" w:right="55"/>
      </w:pPr>
      <w:r>
        <w:rPr>
          <w:sz w:val="21"/>
        </w:rPr>
        <w:t>Poj</w:t>
      </w:r>
      <w:r>
        <w:rPr>
          <w:sz w:val="21"/>
        </w:rPr>
        <w:t>ištění se vztahuje na povinnost nahradit újmu způsobenou v</w:t>
      </w:r>
      <w:r>
        <w:rPr>
          <w:sz w:val="21"/>
        </w:rPr>
        <w:t xml:space="preserve"> souvislosti s </w:t>
      </w:r>
      <w:r>
        <w:rPr>
          <w:sz w:val="21"/>
        </w:rPr>
        <w:t>předmětem činnosti pojištěného vymezeného v čl. 1</w:t>
      </w:r>
      <w:r>
        <w:rPr>
          <w:sz w:val="21"/>
        </w:rPr>
        <w:t xml:space="preserve">. bod 1.2.  </w:t>
      </w:r>
    </w:p>
    <w:p w:rsidR="00FD24EB" w:rsidRDefault="001905E1">
      <w:pPr>
        <w:spacing w:after="98" w:line="247" w:lineRule="auto"/>
        <w:ind w:left="1270" w:right="55"/>
      </w:pPr>
      <w:r>
        <w:rPr>
          <w:sz w:val="21"/>
        </w:rPr>
        <w:t>Pojištění se</w:t>
      </w:r>
      <w:r>
        <w:rPr>
          <w:b/>
          <w:sz w:val="21"/>
        </w:rPr>
        <w:t xml:space="preserve"> </w:t>
      </w:r>
      <w:r>
        <w:rPr>
          <w:sz w:val="21"/>
        </w:rPr>
        <w:t xml:space="preserve">vztahuje </w:t>
      </w:r>
      <w:r>
        <w:rPr>
          <w:sz w:val="21"/>
        </w:rPr>
        <w:t>na povinnost nahradit újmu způsobenou při</w:t>
      </w:r>
      <w:r>
        <w:rPr>
          <w:sz w:val="21"/>
        </w:rPr>
        <w:t xml:space="preserve"> </w:t>
      </w:r>
      <w:r>
        <w:rPr>
          <w:sz w:val="21"/>
        </w:rPr>
        <w:t xml:space="preserve">provozování a správě </w:t>
      </w:r>
      <w:r>
        <w:rPr>
          <w:sz w:val="21"/>
        </w:rPr>
        <w:t>sp</w:t>
      </w:r>
      <w:r>
        <w:rPr>
          <w:sz w:val="21"/>
        </w:rPr>
        <w:t>ortovních zařízení města Př</w:t>
      </w:r>
      <w:r>
        <w:rPr>
          <w:sz w:val="21"/>
        </w:rPr>
        <w:t>íbram.</w:t>
      </w:r>
      <w:r>
        <w:rPr>
          <w:sz w:val="22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>P</w:t>
      </w:r>
      <w:r>
        <w:rPr>
          <w:sz w:val="21"/>
        </w:rPr>
        <w:t>okud činnost (některá z</w:t>
      </w:r>
      <w:r>
        <w:rPr>
          <w:sz w:val="21"/>
        </w:rPr>
        <w:t xml:space="preserve"> </w:t>
      </w:r>
      <w:r>
        <w:rPr>
          <w:sz w:val="21"/>
        </w:rPr>
        <w:t>činností), na niž se vztahuje pojištění sjednané touto smlouvou, zahrnuje více oborů či podskupin (dále jen „obory“) –</w:t>
      </w:r>
      <w:r>
        <w:rPr>
          <w:sz w:val="21"/>
        </w:rPr>
        <w:t xml:space="preserve"> </w:t>
      </w:r>
      <w:r>
        <w:rPr>
          <w:sz w:val="21"/>
        </w:rPr>
        <w:t>jako např. o</w:t>
      </w:r>
      <w:r>
        <w:rPr>
          <w:sz w:val="21"/>
        </w:rPr>
        <w:t xml:space="preserve">bory </w:t>
      </w:r>
      <w:r>
        <w:rPr>
          <w:sz w:val="21"/>
        </w:rPr>
        <w:t xml:space="preserve">činnosti živnosti volné, vztahuje se pojištění pouze na ty obory, které jsou výslovně uvedeny </w:t>
      </w:r>
      <w:r>
        <w:rPr>
          <w:sz w:val="21"/>
        </w:rPr>
        <w:t xml:space="preserve">v </w:t>
      </w:r>
      <w:r>
        <w:rPr>
          <w:sz w:val="21"/>
        </w:rPr>
        <w:t>dokladu vymezujícím předmět činnosti pojištěného tvořícím přílohu této pojistné smlouvy (např. výpis z</w:t>
      </w:r>
      <w:r>
        <w:rPr>
          <w:sz w:val="21"/>
        </w:rPr>
        <w:t xml:space="preserve"> </w:t>
      </w:r>
      <w:r>
        <w:rPr>
          <w:sz w:val="21"/>
        </w:rPr>
        <w:t>živnostenského či jiného veřejného rejstříku). Není</w:t>
      </w:r>
      <w:r>
        <w:rPr>
          <w:sz w:val="21"/>
        </w:rPr>
        <w:t>-li ta</w:t>
      </w:r>
      <w:r>
        <w:rPr>
          <w:sz w:val="21"/>
        </w:rPr>
        <w:t>kový doklad k</w:t>
      </w:r>
      <w:r>
        <w:rPr>
          <w:sz w:val="21"/>
        </w:rPr>
        <w:t xml:space="preserve"> </w:t>
      </w:r>
      <w:r>
        <w:rPr>
          <w:sz w:val="21"/>
        </w:rPr>
        <w:t>pojistné smlouvě připojen, v</w:t>
      </w:r>
      <w:r>
        <w:rPr>
          <w:sz w:val="21"/>
        </w:rPr>
        <w:t xml:space="preserve">ztahuje se </w:t>
      </w:r>
      <w:r>
        <w:rPr>
          <w:sz w:val="21"/>
        </w:rPr>
        <w:t>pojištění na ty obory, které má pojištěný</w:t>
      </w:r>
      <w:r>
        <w:rPr>
          <w:sz w:val="21"/>
        </w:rPr>
        <w:t xml:space="preserve"> uvedeny v </w:t>
      </w:r>
      <w:r>
        <w:rPr>
          <w:sz w:val="21"/>
        </w:rPr>
        <w:t>příslušném rejstříku, registru nebo jiné veřejné evidenci ke dni sjednání pojištění.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96" w:line="247" w:lineRule="auto"/>
        <w:ind w:left="1270" w:right="55"/>
      </w:pPr>
      <w:r>
        <w:rPr>
          <w:sz w:val="21"/>
        </w:rPr>
        <w:t>Př</w:t>
      </w:r>
      <w:r>
        <w:rPr>
          <w:sz w:val="21"/>
        </w:rPr>
        <w:t>edpok</w:t>
      </w:r>
      <w:r>
        <w:rPr>
          <w:sz w:val="21"/>
        </w:rPr>
        <w:t>ladem plnění pojistitele je současné splnění následujících podmínek: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3"/>
        </w:numPr>
        <w:spacing w:after="100" w:line="247" w:lineRule="auto"/>
        <w:ind w:left="1546" w:right="55" w:hanging="286"/>
      </w:pPr>
      <w:r>
        <w:rPr>
          <w:sz w:val="21"/>
        </w:rPr>
        <w:t>újma byla způsobena v</w:t>
      </w:r>
      <w:r>
        <w:rPr>
          <w:sz w:val="21"/>
        </w:rPr>
        <w:t xml:space="preserve"> souvislosti s </w:t>
      </w:r>
      <w:r>
        <w:rPr>
          <w:sz w:val="21"/>
        </w:rPr>
        <w:t>činností, která spadá do předmětu činnosti pojištěného vymezeného v čl. 1. bod 1.2,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3"/>
        </w:numPr>
        <w:spacing w:after="100" w:line="247" w:lineRule="auto"/>
        <w:ind w:left="1546" w:right="55" w:hanging="286"/>
      </w:pPr>
      <w:r>
        <w:rPr>
          <w:sz w:val="21"/>
        </w:rPr>
        <w:t>pojištěný je v</w:t>
      </w:r>
      <w:r>
        <w:rPr>
          <w:sz w:val="21"/>
        </w:rPr>
        <w:t xml:space="preserve"> </w:t>
      </w:r>
      <w:r>
        <w:rPr>
          <w:sz w:val="21"/>
        </w:rPr>
        <w:t>době vzniku škodné události oprávněn k</w:t>
      </w:r>
      <w:r>
        <w:rPr>
          <w:sz w:val="21"/>
        </w:rPr>
        <w:t xml:space="preserve"> provozov</w:t>
      </w:r>
      <w:r>
        <w:rPr>
          <w:sz w:val="21"/>
        </w:rPr>
        <w:t>ání</w:t>
      </w:r>
      <w:r>
        <w:rPr>
          <w:sz w:val="21"/>
        </w:rPr>
        <w:t xml:space="preserve"> příslušné činnosti </w:t>
      </w:r>
      <w:r>
        <w:rPr>
          <w:sz w:val="21"/>
        </w:rPr>
        <w:t xml:space="preserve"> </w:t>
      </w:r>
      <w:r>
        <w:rPr>
          <w:sz w:val="21"/>
        </w:rPr>
        <w:t>na základě obecně závazných právních předpisů,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3"/>
        </w:numPr>
        <w:spacing w:after="71" w:line="247" w:lineRule="auto"/>
        <w:ind w:left="1546" w:right="55" w:hanging="286"/>
      </w:pPr>
      <w:r>
        <w:rPr>
          <w:sz w:val="21"/>
        </w:rPr>
        <w:t>odpovědnost za újmu způsobenou v</w:t>
      </w:r>
      <w:r>
        <w:rPr>
          <w:sz w:val="21"/>
        </w:rPr>
        <w:t xml:space="preserve"> souvislosti s </w:t>
      </w:r>
      <w:r>
        <w:rPr>
          <w:sz w:val="21"/>
        </w:rPr>
        <w:t>příslušnou činností není z</w:t>
      </w:r>
      <w:r>
        <w:rPr>
          <w:sz w:val="21"/>
        </w:rPr>
        <w:t xml:space="preserve"> </w:t>
      </w:r>
      <w:r>
        <w:rPr>
          <w:sz w:val="21"/>
        </w:rPr>
        <w:t xml:space="preserve">pojištění vyloučena </w:t>
      </w:r>
      <w:r>
        <w:rPr>
          <w:sz w:val="21"/>
        </w:rPr>
        <w:t>touto poj</w:t>
      </w:r>
      <w:r>
        <w:rPr>
          <w:sz w:val="21"/>
        </w:rPr>
        <w:t xml:space="preserve">istnou smlouvou, pojistnými podmínkami nebo zvláštními ujednáními vztahujícími se </w:t>
      </w:r>
      <w:r>
        <w:rPr>
          <w:sz w:val="21"/>
        </w:rPr>
        <w:t xml:space="preserve">k </w:t>
      </w:r>
      <w:r>
        <w:rPr>
          <w:sz w:val="21"/>
        </w:rPr>
        <w:t>poj</w:t>
      </w:r>
      <w:r>
        <w:rPr>
          <w:sz w:val="21"/>
        </w:rPr>
        <w:t>ištění.</w:t>
      </w: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>Roční úhr</w:t>
      </w:r>
      <w:r>
        <w:rPr>
          <w:sz w:val="21"/>
        </w:rPr>
        <w:t xml:space="preserve">n </w:t>
      </w:r>
      <w:r>
        <w:rPr>
          <w:sz w:val="21"/>
        </w:rPr>
        <w:t>čistého obratu poj</w:t>
      </w:r>
      <w:r>
        <w:rPr>
          <w:sz w:val="21"/>
        </w:rPr>
        <w:t>i</w:t>
      </w:r>
      <w:r>
        <w:rPr>
          <w:sz w:val="21"/>
        </w:rPr>
        <w:t xml:space="preserve">štěného činí: </w:t>
      </w:r>
      <w:r>
        <w:rPr>
          <w:sz w:val="21"/>
        </w:rPr>
        <w:t xml:space="preserve"> 44 000 000 </w:t>
      </w:r>
      <w:r>
        <w:rPr>
          <w:sz w:val="21"/>
        </w:rPr>
        <w:t xml:space="preserve">Kč </w:t>
      </w:r>
      <w:r>
        <w:rPr>
          <w:sz w:val="21"/>
        </w:rPr>
        <w:t xml:space="preserve"> </w:t>
      </w:r>
    </w:p>
    <w:p w:rsidR="00FD24EB" w:rsidRDefault="001905E1">
      <w:pPr>
        <w:spacing w:after="11" w:line="259" w:lineRule="auto"/>
        <w:ind w:left="1275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FD24EB" w:rsidRDefault="001905E1">
      <w:pPr>
        <w:numPr>
          <w:ilvl w:val="1"/>
          <w:numId w:val="4"/>
        </w:numPr>
        <w:spacing w:after="0" w:line="259" w:lineRule="auto"/>
        <w:ind w:right="0" w:hanging="519"/>
        <w:jc w:val="left"/>
      </w:pPr>
      <w:r>
        <w:rPr>
          <w:rFonts w:ascii="Arial" w:eastAsia="Arial" w:hAnsi="Arial" w:cs="Arial"/>
          <w:b/>
          <w:sz w:val="21"/>
        </w:rPr>
        <w:t xml:space="preserve">Rozsah pojištění, limity plnění a spoluúčasti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tbl>
      <w:tblPr>
        <w:tblStyle w:val="TableGrid"/>
        <w:tblW w:w="9071" w:type="dxa"/>
        <w:tblInd w:w="1277" w:type="dxa"/>
        <w:tblCellMar>
          <w:top w:w="10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2549"/>
      </w:tblGrid>
      <w:tr w:rsidR="00FD24EB">
        <w:trPr>
          <w:trHeight w:val="6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Pojištěné nebezpečí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Limit plnění (Kč)  </w:t>
            </w:r>
          </w:p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EB" w:rsidRDefault="001905E1">
            <w:pPr>
              <w:spacing w:after="0" w:line="259" w:lineRule="auto"/>
              <w:ind w:left="396" w:right="444" w:firstLine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Spoluúčast (Kč)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FD24EB">
        <w:trPr>
          <w:trHeight w:val="2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lastRenderedPageBreak/>
              <w:t xml:space="preserve">Újma způsobená jiné osobě  </w:t>
            </w:r>
          </w:p>
          <w:p w:rsidR="00FD24EB" w:rsidRDefault="001905E1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ve smyslu bodu 1. čl. 2, ZPP </w:t>
            </w:r>
          </w:p>
          <w:p w:rsidR="00FD24EB" w:rsidRDefault="001905E1">
            <w:pPr>
              <w:tabs>
                <w:tab w:val="center" w:pos="48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650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-2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11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30 </w:t>
            </w:r>
            <w:r>
              <w:rPr>
                <w:rFonts w:ascii="Arial" w:eastAsia="Arial" w:hAnsi="Arial" w:cs="Arial"/>
                <w:sz w:val="21"/>
              </w:rPr>
              <w:t xml:space="preserve">000 000  </w:t>
            </w:r>
          </w:p>
          <w:p w:rsidR="00FD24EB" w:rsidRDefault="001905E1">
            <w:pPr>
              <w:spacing w:after="2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FD24EB" w:rsidRDefault="001905E1">
            <w:pPr>
              <w:spacing w:after="0" w:line="259" w:lineRule="auto"/>
              <w:ind w:left="0" w:right="110" w:firstLine="0"/>
            </w:pPr>
            <w:r>
              <w:rPr>
                <w:rFonts w:ascii="Arial" w:eastAsia="Arial" w:hAnsi="Arial" w:cs="Arial"/>
              </w:rPr>
              <w:t xml:space="preserve">Pro újmu dle článku 5, odstavce 1. bodu x) ZPP 650-2 se v rámci uvedeného limitu sjednává sublimit pro jednu a všechny pojistné události v pojistném roce ve výši 10% uvedeného limitu plnění. 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5 000  </w:t>
            </w:r>
          </w:p>
        </w:tc>
      </w:tr>
      <w:tr w:rsidR="00FD24EB">
        <w:trPr>
          <w:trHeight w:val="1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Újma vzniklá v </w:t>
            </w:r>
            <w:r>
              <w:rPr>
                <w:rFonts w:ascii="Arial" w:eastAsia="Arial" w:hAnsi="Arial" w:cs="Arial"/>
                <w:sz w:val="21"/>
              </w:rPr>
              <w:t xml:space="preserve">souvislosti s vlastnictvím, držbou nebo jiným oprávněným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užíváním nemovitosti sloužící k výkonu činnosti uvedené v této pojistné smlouvě)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11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15 000 000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3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5 000 </w:t>
            </w:r>
          </w:p>
        </w:tc>
      </w:tr>
      <w:tr w:rsidR="00FD24EB">
        <w:trPr>
          <w:trHeight w:val="2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3" w:line="259" w:lineRule="auto"/>
              <w:ind w:left="35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>Újma způsobená vadou vý-</w:t>
            </w:r>
          </w:p>
          <w:p w:rsidR="00FD24EB" w:rsidRDefault="001905E1">
            <w:pPr>
              <w:spacing w:after="0" w:line="259" w:lineRule="auto"/>
              <w:ind w:left="35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robku a vadou práce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FD24EB" w:rsidRDefault="001905E1">
            <w:pPr>
              <w:spacing w:after="0" w:line="259" w:lineRule="auto"/>
              <w:ind w:left="0" w:right="111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Sublimit: 30 000 000  </w:t>
            </w:r>
          </w:p>
          <w:p w:rsidR="00FD24EB" w:rsidRDefault="001905E1">
            <w:pPr>
              <w:spacing w:after="52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D24EB" w:rsidRDefault="001905E1">
            <w:pPr>
              <w:spacing w:after="0" w:line="259" w:lineRule="auto"/>
              <w:ind w:left="0" w:right="101" w:firstLine="0"/>
              <w:jc w:val="left"/>
            </w:pPr>
            <w:r>
              <w:rPr>
                <w:rFonts w:ascii="Arial" w:eastAsia="Arial" w:hAnsi="Arial" w:cs="Arial"/>
              </w:rPr>
              <w:t xml:space="preserve">Pro </w:t>
            </w:r>
            <w:r>
              <w:rPr>
                <w:rFonts w:ascii="Arial" w:eastAsia="Arial" w:hAnsi="Arial" w:cs="Arial"/>
              </w:rPr>
              <w:t xml:space="preserve">újmu dle článku 5, odstavce 1. bodu j) ZPP 650-2 se v rámci uvedeného sublimitu sjednává sublimit pro jednu a všechny pojistné události v pojistném roce ve výši 10% uvedeného limitu plnění.  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3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5 000 </w:t>
            </w:r>
          </w:p>
        </w:tc>
      </w:tr>
      <w:tr w:rsidR="00FD24EB">
        <w:trPr>
          <w:trHeight w:val="14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8" w:line="264" w:lineRule="auto"/>
              <w:ind w:left="0" w:right="102" w:firstLine="0"/>
            </w:pPr>
            <w:r>
              <w:rPr>
                <w:rFonts w:ascii="Arial" w:eastAsia="Arial" w:hAnsi="Arial" w:cs="Arial"/>
                <w:sz w:val="21"/>
              </w:rPr>
              <w:t>Náhrada nákladů vynaložených zdravotní pojišťovnou na z</w:t>
            </w:r>
            <w:r>
              <w:rPr>
                <w:rFonts w:ascii="Arial" w:eastAsia="Arial" w:hAnsi="Arial" w:cs="Arial"/>
                <w:sz w:val="21"/>
              </w:rPr>
              <w:t>dravotní péči a regresní náhrada dávek nemocenského pojištění vyplacených orgánem nemo-</w:t>
            </w:r>
          </w:p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cenského pojištění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Sublimit: 3 000 000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5 000 </w:t>
            </w:r>
          </w:p>
        </w:tc>
      </w:tr>
      <w:tr w:rsidR="00FD24EB">
        <w:trPr>
          <w:trHeight w:val="7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4" w:right="103" w:firstLine="0"/>
            </w:pPr>
            <w:r>
              <w:rPr>
                <w:rFonts w:ascii="Arial" w:eastAsia="Arial" w:hAnsi="Arial" w:cs="Arial"/>
                <w:sz w:val="21"/>
              </w:rPr>
              <w:t xml:space="preserve">Újma na věcech převzatých  a na věcech užívaných, viz níže bod </w:t>
            </w:r>
            <w:r>
              <w:rPr>
                <w:rFonts w:ascii="Arial" w:eastAsia="Arial" w:hAnsi="Arial" w:cs="Arial"/>
                <w:b/>
                <w:sz w:val="21"/>
              </w:rPr>
              <w:t>Doložky</w:t>
            </w:r>
            <w:r>
              <w:rPr>
                <w:rFonts w:ascii="Arial" w:eastAsia="Arial" w:hAnsi="Arial" w:cs="Arial"/>
                <w:sz w:val="21"/>
              </w:rPr>
              <w:t xml:space="preserve"> tohoto odstavce.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Sublimit: 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5 000 </w:t>
            </w:r>
          </w:p>
        </w:tc>
      </w:tr>
      <w:tr w:rsidR="00FD24EB">
        <w:trPr>
          <w:trHeight w:val="7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4" w:right="103" w:firstLine="0"/>
            </w:pPr>
            <w:r>
              <w:rPr>
                <w:rFonts w:ascii="Arial" w:eastAsia="Arial" w:hAnsi="Arial" w:cs="Arial"/>
                <w:sz w:val="21"/>
              </w:rPr>
              <w:t xml:space="preserve">Věci odložené a vnesené viz níže bod </w:t>
            </w:r>
            <w:r>
              <w:rPr>
                <w:rFonts w:ascii="Arial" w:eastAsia="Arial" w:hAnsi="Arial" w:cs="Arial"/>
                <w:b/>
                <w:sz w:val="21"/>
              </w:rPr>
              <w:t>Doložky</w:t>
            </w:r>
            <w:r>
              <w:rPr>
                <w:rFonts w:ascii="Arial" w:eastAsia="Arial" w:hAnsi="Arial" w:cs="Arial"/>
                <w:sz w:val="21"/>
              </w:rPr>
              <w:t xml:space="preserve"> tohoto odstavce.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Sublimit: 200 000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3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1 000 </w:t>
            </w:r>
          </w:p>
        </w:tc>
      </w:tr>
      <w:tr w:rsidR="00FD24EB">
        <w:trPr>
          <w:trHeight w:val="4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4" w:right="0" w:firstLine="0"/>
            </w:pPr>
            <w:r>
              <w:rPr>
                <w:rFonts w:ascii="Arial" w:eastAsia="Arial" w:hAnsi="Arial" w:cs="Arial"/>
                <w:sz w:val="21"/>
              </w:rPr>
              <w:t xml:space="preserve">Čistá finanční škoda, viz níže bod </w:t>
            </w:r>
            <w:r>
              <w:rPr>
                <w:rFonts w:ascii="Arial" w:eastAsia="Arial" w:hAnsi="Arial" w:cs="Arial"/>
                <w:b/>
                <w:sz w:val="21"/>
              </w:rPr>
              <w:t>Doložky</w:t>
            </w:r>
            <w:r>
              <w:rPr>
                <w:rFonts w:ascii="Arial" w:eastAsia="Arial" w:hAnsi="Arial" w:cs="Arial"/>
                <w:sz w:val="21"/>
              </w:rPr>
              <w:t xml:space="preserve"> tohoto odstavce.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Sublimit: 3 000 000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5 000 </w:t>
            </w:r>
          </w:p>
        </w:tc>
      </w:tr>
      <w:tr w:rsidR="00FD24EB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spacing w:after="0" w:line="259" w:lineRule="auto"/>
              <w:ind w:left="34" w:right="0" w:firstLine="0"/>
            </w:pPr>
            <w:r>
              <w:rPr>
                <w:rFonts w:ascii="Arial" w:eastAsia="Arial" w:hAnsi="Arial" w:cs="Arial"/>
                <w:sz w:val="21"/>
              </w:rPr>
              <w:t xml:space="preserve">Náhrada nemajetkové újmy – duševní útrapy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Sublimit: 200 000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3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1 000 </w:t>
            </w:r>
          </w:p>
        </w:tc>
      </w:tr>
      <w:tr w:rsidR="00FD24EB">
        <w:trPr>
          <w:trHeight w:val="4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tabs>
                <w:tab w:val="center" w:pos="1325"/>
                <w:tab w:val="right" w:pos="315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Újma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způsobená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provozem </w:t>
            </w:r>
          </w:p>
          <w:p w:rsidR="00FD24EB" w:rsidRDefault="001905E1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pracovních strojů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Sublimit: 500 000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5 000 </w:t>
            </w:r>
          </w:p>
        </w:tc>
      </w:tr>
      <w:tr w:rsidR="00FD24EB">
        <w:trPr>
          <w:trHeight w:val="4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B" w:rsidRDefault="001905E1">
            <w:pPr>
              <w:tabs>
                <w:tab w:val="center" w:pos="1832"/>
                <w:tab w:val="right" w:pos="315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Odpovědnost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při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výkonu </w:t>
            </w:r>
          </w:p>
          <w:p w:rsidR="00FD24EB" w:rsidRDefault="001905E1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Arial" w:eastAsia="Arial" w:hAnsi="Arial" w:cs="Arial"/>
                <w:sz w:val="21"/>
              </w:rPr>
              <w:t xml:space="preserve">veřejné služby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Sublimit: 1 000 000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EB" w:rsidRDefault="001905E1">
            <w:pPr>
              <w:spacing w:after="0" w:line="259" w:lineRule="auto"/>
              <w:ind w:left="0" w:right="104" w:firstLine="0"/>
              <w:jc w:val="right"/>
            </w:pPr>
            <w:r>
              <w:rPr>
                <w:rFonts w:ascii="Arial" w:eastAsia="Arial" w:hAnsi="Arial" w:cs="Arial"/>
                <w:sz w:val="21"/>
              </w:rPr>
              <w:t xml:space="preserve">5 000 </w:t>
            </w:r>
          </w:p>
        </w:tc>
      </w:tr>
    </w:tbl>
    <w:p w:rsidR="00FD24EB" w:rsidRDefault="001905E1">
      <w:pPr>
        <w:spacing w:after="14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numPr>
          <w:ilvl w:val="1"/>
          <w:numId w:val="4"/>
        </w:numPr>
        <w:spacing w:after="0" w:line="259" w:lineRule="auto"/>
        <w:ind w:right="0" w:hanging="519"/>
        <w:jc w:val="left"/>
      </w:pPr>
      <w:r>
        <w:rPr>
          <w:b/>
          <w:sz w:val="22"/>
        </w:rPr>
        <w:t xml:space="preserve">Územní rozsah </w:t>
      </w:r>
    </w:p>
    <w:p w:rsidR="00FD24EB" w:rsidRDefault="001905E1">
      <w:pPr>
        <w:spacing w:after="53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D24EB" w:rsidRDefault="001905E1">
      <w:pPr>
        <w:spacing w:after="0"/>
        <w:ind w:left="1285" w:right="0"/>
        <w:jc w:val="left"/>
      </w:pPr>
      <w:r>
        <w:rPr>
          <w:sz w:val="22"/>
        </w:rPr>
        <w:t>U</w:t>
      </w:r>
      <w:r>
        <w:rPr>
          <w:sz w:val="22"/>
        </w:rPr>
        <w:t xml:space="preserve">jednává </w:t>
      </w:r>
      <w:r>
        <w:rPr>
          <w:sz w:val="22"/>
        </w:rPr>
        <w:t xml:space="preserve">se </w:t>
      </w:r>
      <w:r>
        <w:rPr>
          <w:sz w:val="22"/>
        </w:rPr>
        <w:t>platnost pojištění na území</w:t>
      </w:r>
      <w:r>
        <w:rPr>
          <w:sz w:val="22"/>
        </w:rPr>
        <w:t xml:space="preserve"> </w:t>
      </w:r>
      <w:r>
        <w:rPr>
          <w:sz w:val="22"/>
        </w:rPr>
        <w:t>Česká repub</w:t>
      </w:r>
      <w:r>
        <w:rPr>
          <w:sz w:val="22"/>
        </w:rPr>
        <w:t xml:space="preserve">lika.  </w:t>
      </w:r>
    </w:p>
    <w:p w:rsidR="00FD24EB" w:rsidRDefault="001905E1">
      <w:pPr>
        <w:spacing w:after="6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pStyle w:val="Nadpis2"/>
        <w:ind w:left="703"/>
      </w:pPr>
      <w:r>
        <w:t xml:space="preserve"> 3.3 </w:t>
      </w:r>
      <w:r>
        <w:rPr>
          <w:rFonts w:ascii="Arial" w:eastAsia="Arial" w:hAnsi="Arial" w:cs="Arial"/>
        </w:rPr>
        <w:t xml:space="preserve"> </w:t>
      </w:r>
      <w:r>
        <w:t>Doložky</w:t>
      </w:r>
      <w:r>
        <w:t xml:space="preserve"> </w:t>
      </w:r>
    </w:p>
    <w:p w:rsidR="00FD24EB" w:rsidRDefault="001905E1">
      <w:pPr>
        <w:spacing w:after="34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D24EB" w:rsidRDefault="001905E1">
      <w:pPr>
        <w:pStyle w:val="Nadpis3"/>
        <w:ind w:left="703"/>
      </w:pPr>
      <w:r>
        <w:lastRenderedPageBreak/>
        <w:t xml:space="preserve">ODP-02-20 - </w:t>
      </w:r>
      <w:r>
        <w:t>Újma na věcech zaměstnanců</w:t>
      </w:r>
      <w:r>
        <w:t xml:space="preserve"> </w:t>
      </w:r>
    </w:p>
    <w:p w:rsidR="00FD24EB" w:rsidRDefault="001905E1">
      <w:pPr>
        <w:ind w:left="703" w:right="67"/>
      </w:pPr>
      <w:r>
        <w:t>Pojištění obecné odpovědnosti za újmu se vztahuje i na povinnost pojištěného, jako zaměstnavatele, dle zákoníku práce nahradit zaměstnanci škodu na věcech, které si zaměstnanec odložil při plnění pracovních úkolů nebo</w:t>
      </w:r>
      <w:r>
        <w:t xml:space="preserve"> v </w:t>
      </w:r>
      <w:r>
        <w:t>přímé so</w:t>
      </w:r>
      <w:r>
        <w:t>uvislosti s ním na místě k</w:t>
      </w:r>
      <w:r>
        <w:t xml:space="preserve"> </w:t>
      </w:r>
      <w:r>
        <w:t>tomu určeném nebo obvyklém.</w:t>
      </w:r>
      <w:r>
        <w:t xml:space="preserve"> </w:t>
      </w:r>
    </w:p>
    <w:p w:rsidR="00FD24EB" w:rsidRDefault="001905E1">
      <w:pPr>
        <w:ind w:left="703" w:right="67"/>
      </w:pPr>
      <w:r>
        <w:t>Toto pojištění se sjednává v</w:t>
      </w:r>
      <w:r>
        <w:t xml:space="preserve"> </w:t>
      </w:r>
      <w:r>
        <w:t xml:space="preserve">rámci dojednaného limitu pojistného plnění pojištění odpovědnosti dle bodu 1 čl. </w:t>
      </w:r>
      <w:r>
        <w:t>2 ZPP 650-</w:t>
      </w:r>
      <w:r>
        <w:t>2 se sublimitem pro jednu a všechny újmy ze škodných událostí</w:t>
      </w:r>
      <w:r>
        <w:t xml:space="preserve"> </w:t>
      </w:r>
      <w:r>
        <w:t>nastalýc</w:t>
      </w:r>
      <w:r>
        <w:t xml:space="preserve">h v </w:t>
      </w:r>
      <w:r>
        <w:t>průběh</w:t>
      </w:r>
      <w:r>
        <w:t>u jednoho pojistného roku uvedeným u tohoto pojistného nebezpečí</w:t>
      </w:r>
      <w:r>
        <w:t xml:space="preserve">. </w:t>
      </w:r>
    </w:p>
    <w:p w:rsidR="00FD24EB" w:rsidRDefault="001905E1">
      <w:pPr>
        <w:spacing w:after="151"/>
        <w:ind w:left="703" w:right="67"/>
      </w:pPr>
      <w:r>
        <w:t>Pojištění se sjednává se spoluúčastí uvedenou u tohoto pojistného nebezpečí</w:t>
      </w:r>
      <w:r>
        <w:t xml:space="preserve">. </w:t>
      </w:r>
    </w:p>
    <w:p w:rsidR="00FD24EB" w:rsidRDefault="001905E1">
      <w:pPr>
        <w:pStyle w:val="Nadpis3"/>
        <w:ind w:left="703"/>
      </w:pPr>
      <w:r>
        <w:t xml:space="preserve">ODP-03-20 - </w:t>
      </w:r>
      <w:r>
        <w:t>Újma na věcech převzatých a věcech užívaných</w:t>
      </w:r>
      <w:r>
        <w:t xml:space="preserve"> </w:t>
      </w:r>
    </w:p>
    <w:p w:rsidR="00FD24EB" w:rsidRDefault="001905E1">
      <w:pPr>
        <w:ind w:left="703" w:right="67"/>
      </w:pPr>
      <w:r>
        <w:t>Odchylně od čl. 5 odst. 1 písm. m) ZP</w:t>
      </w:r>
      <w:r>
        <w:t>P 650-2 s</w:t>
      </w:r>
      <w:r>
        <w:t>e ujedn</w:t>
      </w:r>
      <w:r>
        <w:t xml:space="preserve">ává, že pojištění se vztahuje i na povinnost nahradit újmu vzniklou na movité věci nebo zvířeti, které pojištěný převzal za účelem provedení objednané činnosti. </w:t>
      </w:r>
      <w:r>
        <w:t xml:space="preserve"> </w:t>
      </w:r>
    </w:p>
    <w:p w:rsidR="00FD24EB" w:rsidRDefault="001905E1">
      <w:pPr>
        <w:spacing w:after="98"/>
        <w:ind w:left="703" w:right="67"/>
      </w:pPr>
      <w:r>
        <w:t>Pojištění v</w:t>
      </w:r>
      <w:r>
        <w:t xml:space="preserve"> </w:t>
      </w:r>
      <w:r>
        <w:t>rozsahu této doložky se nevztahuje na povinnost nahradit újmu:</w:t>
      </w:r>
      <w:r>
        <w:t xml:space="preserve"> </w:t>
      </w:r>
    </w:p>
    <w:p w:rsidR="00FD24EB" w:rsidRDefault="001905E1">
      <w:pPr>
        <w:numPr>
          <w:ilvl w:val="0"/>
          <w:numId w:val="5"/>
        </w:numPr>
        <w:spacing w:after="98"/>
        <w:ind w:right="67" w:hanging="358"/>
      </w:pPr>
      <w:r>
        <w:t xml:space="preserve">vzniklou ze </w:t>
      </w:r>
      <w:r>
        <w:t>smluv</w:t>
      </w:r>
      <w:r>
        <w:t xml:space="preserve"> o přepravě a ze zasílatelských smluv,</w:t>
      </w:r>
      <w:r>
        <w:t xml:space="preserve"> </w:t>
      </w:r>
    </w:p>
    <w:p w:rsidR="00FD24EB" w:rsidRDefault="001905E1">
      <w:pPr>
        <w:numPr>
          <w:ilvl w:val="0"/>
          <w:numId w:val="5"/>
        </w:numPr>
        <w:spacing w:after="97"/>
        <w:ind w:right="67" w:hanging="358"/>
      </w:pPr>
      <w:r>
        <w:t>vzniklou na motorových vozidlech,</w:t>
      </w:r>
      <w:r>
        <w:t xml:space="preserve"> </w:t>
      </w:r>
    </w:p>
    <w:p w:rsidR="00FD24EB" w:rsidRDefault="001905E1">
      <w:pPr>
        <w:numPr>
          <w:ilvl w:val="0"/>
          <w:numId w:val="5"/>
        </w:numPr>
        <w:spacing w:after="88" w:line="259" w:lineRule="auto"/>
        <w:ind w:right="67" w:hanging="358"/>
      </w:pPr>
      <w:r>
        <w:t xml:space="preserve">vzniklou na letadlech a plavidlech, </w:t>
      </w:r>
    </w:p>
    <w:p w:rsidR="00FD24EB" w:rsidRDefault="001905E1">
      <w:pPr>
        <w:numPr>
          <w:ilvl w:val="0"/>
          <w:numId w:val="5"/>
        </w:numPr>
        <w:ind w:right="67" w:hanging="358"/>
      </w:pPr>
      <w:r>
        <w:t>vzniklou pohřešováním převzaté věci nebo zvířete.</w:t>
      </w:r>
      <w:r>
        <w:t xml:space="preserve"> </w:t>
      </w:r>
    </w:p>
    <w:p w:rsidR="00FD24EB" w:rsidRDefault="001905E1">
      <w:pPr>
        <w:ind w:left="703" w:right="67"/>
      </w:pPr>
      <w:r>
        <w:t>Odchylně od čl. 5 odst. 1 písm. n) ZPP 650</w:t>
      </w:r>
      <w:r>
        <w:t>-2 s</w:t>
      </w:r>
      <w:r>
        <w:t xml:space="preserve">e ujednává, že pojištění se vztahuje </w:t>
      </w:r>
      <w:r>
        <w:t xml:space="preserve">i na povinnost nahradit </w:t>
      </w:r>
      <w:r>
        <w:t>újmu vzniklou na movité věci nebo zvířeti, které pojištěný užívá k</w:t>
      </w:r>
      <w:r>
        <w:t xml:space="preserve"> </w:t>
      </w:r>
      <w:r>
        <w:t>výkonu činnosti uvedené v pojistné smlouvě.</w:t>
      </w:r>
      <w:r>
        <w:t xml:space="preserve"> </w:t>
      </w:r>
    </w:p>
    <w:p w:rsidR="00FD24EB" w:rsidRDefault="001905E1">
      <w:pPr>
        <w:spacing w:after="97"/>
        <w:ind w:left="703" w:right="67"/>
      </w:pPr>
      <w:r>
        <w:t>Pojištění v</w:t>
      </w:r>
      <w:r>
        <w:t xml:space="preserve"> </w:t>
      </w:r>
      <w:r>
        <w:t>rozsahu této doložky se nevztahuje na povinnost nahradit újmu:</w:t>
      </w:r>
      <w:r>
        <w:t xml:space="preserve"> </w:t>
      </w:r>
    </w:p>
    <w:p w:rsidR="00FD24EB" w:rsidRDefault="001905E1">
      <w:pPr>
        <w:numPr>
          <w:ilvl w:val="0"/>
          <w:numId w:val="6"/>
        </w:numPr>
        <w:spacing w:after="98"/>
        <w:ind w:right="67" w:hanging="360"/>
      </w:pPr>
      <w:r>
        <w:t xml:space="preserve">vzniklou </w:t>
      </w:r>
      <w:r>
        <w:t>na věci, kterou pojištěný užívá neoprávněně,</w:t>
      </w:r>
      <w:r>
        <w:t xml:space="preserve"> </w:t>
      </w:r>
    </w:p>
    <w:p w:rsidR="00FD24EB" w:rsidRDefault="001905E1">
      <w:pPr>
        <w:numPr>
          <w:ilvl w:val="0"/>
          <w:numId w:val="6"/>
        </w:numPr>
        <w:spacing w:after="98"/>
        <w:ind w:right="67" w:hanging="360"/>
      </w:pPr>
      <w:r>
        <w:t>v</w:t>
      </w:r>
      <w:r>
        <w:t xml:space="preserve">zniklou opotřebením, nadměrným provozním či jiným zatížením, nevhodným užíváním nebo chybnou </w:t>
      </w:r>
      <w:r>
        <w:t xml:space="preserve">obsluhou, </w:t>
      </w:r>
    </w:p>
    <w:p w:rsidR="00FD24EB" w:rsidRDefault="001905E1">
      <w:pPr>
        <w:numPr>
          <w:ilvl w:val="0"/>
          <w:numId w:val="6"/>
        </w:numPr>
        <w:spacing w:after="97"/>
        <w:ind w:right="67" w:hanging="360"/>
      </w:pPr>
      <w:r>
        <w:t>vzniklou na motorových vozidlech,</w:t>
      </w:r>
      <w:r>
        <w:t xml:space="preserve"> </w:t>
      </w:r>
    </w:p>
    <w:p w:rsidR="00FD24EB" w:rsidRDefault="001905E1">
      <w:pPr>
        <w:numPr>
          <w:ilvl w:val="0"/>
          <w:numId w:val="6"/>
        </w:numPr>
        <w:spacing w:after="88" w:line="259" w:lineRule="auto"/>
        <w:ind w:right="67" w:hanging="360"/>
      </w:pPr>
      <w:r>
        <w:t xml:space="preserve">vzniklou na letadlech a plavidlech, </w:t>
      </w:r>
    </w:p>
    <w:p w:rsidR="00FD24EB" w:rsidRDefault="001905E1">
      <w:pPr>
        <w:numPr>
          <w:ilvl w:val="0"/>
          <w:numId w:val="6"/>
        </w:numPr>
        <w:ind w:right="67" w:hanging="360"/>
      </w:pPr>
      <w:r>
        <w:t>vzniklou pohřešováním užívané věc</w:t>
      </w:r>
      <w:r>
        <w:t>i nebo zvířete.</w:t>
      </w:r>
      <w:r>
        <w:t xml:space="preserve"> </w:t>
      </w:r>
    </w:p>
    <w:p w:rsidR="00FD24EB" w:rsidRDefault="001905E1">
      <w:pPr>
        <w:ind w:left="703" w:right="67"/>
      </w:pPr>
      <w:r>
        <w:t>Ujednává se, že pojištěné</w:t>
      </w:r>
      <w:r>
        <w:t xml:space="preserve"> </w:t>
      </w:r>
      <w:r>
        <w:t xml:space="preserve">cizí věci, které pojištěný užívá na základě leasingových, nájemních či jiných smluv, jsou v případě převodu do vlastnictví pojištěného automaticky pojištěny v rozsahu sjednané pojistné </w:t>
      </w:r>
      <w:r>
        <w:t xml:space="preserve">smlouvy. </w:t>
      </w:r>
    </w:p>
    <w:p w:rsidR="00FD24EB" w:rsidRDefault="001905E1">
      <w:pPr>
        <w:ind w:left="703" w:right="67"/>
      </w:pPr>
      <w:r>
        <w:t>Toto pojištění</w:t>
      </w:r>
      <w:r>
        <w:t xml:space="preserve"> se </w:t>
      </w:r>
      <w:r>
        <w:t>sjednává v</w:t>
      </w:r>
      <w:r>
        <w:t xml:space="preserve"> </w:t>
      </w:r>
      <w:r>
        <w:t xml:space="preserve">rámci dojednaného limitu pojistného plnění pojištění odpovědnosti dle bodu 1 čl. </w:t>
      </w:r>
      <w:r>
        <w:t>2 ZPP 650-</w:t>
      </w:r>
      <w:r>
        <w:t>2 se sublimitem pro jednu a všechny újmy ze škodných událostí nastalých v</w:t>
      </w:r>
      <w:r>
        <w:t xml:space="preserve"> </w:t>
      </w:r>
      <w:r>
        <w:t>průběhu jednoho pojistného roku uvedeným u tohoto pojistného nebezpečí</w:t>
      </w:r>
      <w:r>
        <w:t xml:space="preserve">. </w:t>
      </w:r>
    </w:p>
    <w:p w:rsidR="00FD24EB" w:rsidRDefault="001905E1">
      <w:pPr>
        <w:spacing w:after="151"/>
        <w:ind w:left="703" w:right="67"/>
      </w:pPr>
      <w:r>
        <w:t>Pojiště</w:t>
      </w:r>
      <w:r>
        <w:t>ní se sjednává se spoluúčastí uvedenou u toh</w:t>
      </w:r>
      <w:r>
        <w:t>oto pojis</w:t>
      </w:r>
      <w:r>
        <w:t>tného nebezpečí.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ODP-04 -20 - </w:t>
      </w:r>
      <w:r>
        <w:t>Újma na věcech odložených a vnesených</w:t>
      </w:r>
      <w:r>
        <w:t xml:space="preserve"> </w:t>
      </w:r>
    </w:p>
    <w:p w:rsidR="00FD24EB" w:rsidRDefault="001905E1">
      <w:pPr>
        <w:ind w:left="703" w:right="67"/>
      </w:pPr>
      <w:r>
        <w:t>Pojištění obecné odpovědnosti za újmu se vztahuje i na povinnost pojištěného nahradit škodu způsobenou na vnesených nebo odložených v</w:t>
      </w:r>
      <w:r>
        <w:t>ěcech ve smyslu občanského zákoníku.</w:t>
      </w:r>
      <w:r>
        <w:t xml:space="preserve"> </w:t>
      </w:r>
    </w:p>
    <w:p w:rsidR="00FD24EB" w:rsidRDefault="001905E1">
      <w:pPr>
        <w:ind w:left="703" w:right="67"/>
      </w:pPr>
      <w:r>
        <w:t>Toto poji</w:t>
      </w:r>
      <w:r>
        <w:t>štění se sjednává v</w:t>
      </w:r>
      <w:r>
        <w:t xml:space="preserve"> </w:t>
      </w:r>
      <w:r>
        <w:t xml:space="preserve">rámci dojednaného limitu pojistného plnění pojištění odpovědnosti dle bodu 1 čl. </w:t>
      </w:r>
      <w:r>
        <w:t>2 ZPP 650-</w:t>
      </w:r>
      <w:r>
        <w:t>2 se sublimitem pro jednu a všechny újmy ze škodných událostí nastalých v</w:t>
      </w:r>
      <w:r>
        <w:t xml:space="preserve"> </w:t>
      </w:r>
      <w:r>
        <w:t>průběhu jedno</w:t>
      </w:r>
      <w:r>
        <w:t xml:space="preserve">ho </w:t>
      </w:r>
      <w:r>
        <w:t>pojistné</w:t>
      </w:r>
      <w:r>
        <w:t>ho roku.</w:t>
      </w:r>
      <w:r>
        <w:t xml:space="preserve"> </w:t>
      </w:r>
    </w:p>
    <w:p w:rsidR="00FD24EB" w:rsidRDefault="001905E1">
      <w:pPr>
        <w:spacing w:after="153"/>
        <w:ind w:left="703" w:right="67"/>
      </w:pPr>
      <w:r>
        <w:t>Pojištění se sjednává se spoluúčastí u</w:t>
      </w:r>
      <w:r>
        <w:t xml:space="preserve">vedenou v tabulce </w:t>
      </w:r>
      <w:r>
        <w:t>pojištěných nebezpečí Pojištění odpovědnosti</w:t>
      </w:r>
      <w:r>
        <w:rPr>
          <w:b/>
        </w:rPr>
        <w:t>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ODP-07-20 - </w:t>
      </w:r>
      <w:r>
        <w:t>Čistá finanční škoda</w:t>
      </w:r>
      <w:r>
        <w:t xml:space="preserve"> </w:t>
      </w:r>
    </w:p>
    <w:p w:rsidR="00FD24EB" w:rsidRDefault="001905E1">
      <w:pPr>
        <w:ind w:left="703" w:right="67"/>
      </w:pPr>
      <w:r>
        <w:t>Odchylně od čl. 5 odst. 1 písm. o) ZPP 650</w:t>
      </w:r>
      <w:r>
        <w:t>-</w:t>
      </w:r>
      <w:r>
        <w:t>2 se ujednává, že pojištění se vztahuje i na povinnost nah</w:t>
      </w:r>
      <w:r>
        <w:t xml:space="preserve">radit </w:t>
      </w:r>
      <w:r>
        <w:t>új</w:t>
      </w:r>
      <w:r>
        <w:t>mu vzniklou jinak než ublížením na zdraví, usmrcením, poškozením, zničením nebo pohřešováním věci, zraněním, usmrcením nebo pohřešováním zvířete.</w:t>
      </w:r>
      <w:r>
        <w:t xml:space="preserve"> </w:t>
      </w:r>
    </w:p>
    <w:p w:rsidR="00FD24EB" w:rsidRDefault="001905E1">
      <w:pPr>
        <w:spacing w:after="97"/>
        <w:ind w:left="703" w:right="67"/>
      </w:pPr>
      <w:r>
        <w:t>Pojištění v</w:t>
      </w:r>
      <w:r>
        <w:t xml:space="preserve"> </w:t>
      </w:r>
      <w:r>
        <w:t>rozsahu této doložky se nevztahuje na povinnost nahradit újmu: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98"/>
        <w:ind w:right="67" w:hanging="360"/>
      </w:pPr>
      <w:r>
        <w:t>vzniklou schodkem na finančních hodnotách, jejichž úschovu nebo správu pojištěný vykonává,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95"/>
        <w:ind w:right="67" w:hanging="360"/>
      </w:pPr>
      <w:r>
        <w:t>vzn</w:t>
      </w:r>
      <w:r>
        <w:t>iklou v souvislosti s jakoukoli finanční či platební transakcí,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98"/>
        <w:ind w:right="67" w:hanging="360"/>
      </w:pPr>
      <w:r>
        <w:t>způsobenou pojištěným jako členem statutárního nebo kontrolního orgánu právnické osoby,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98"/>
        <w:ind w:right="67" w:hanging="360"/>
      </w:pPr>
      <w:r>
        <w:lastRenderedPageBreak/>
        <w:t>nenáhlý</w:t>
      </w:r>
      <w:r>
        <w:t xml:space="preserve">m, pozvolným, postupným nebo průběžným působením nebezpečných/odpadních látek, teploty, </w:t>
      </w:r>
      <w:r>
        <w:t xml:space="preserve">vlhkosti, </w:t>
      </w:r>
      <w:r>
        <w:t>hluku, pachu, dýmu, záření, otřesů nebo podobných imisí/emisí/vlivů na okolí,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100"/>
        <w:ind w:right="67" w:hanging="360"/>
      </w:pPr>
      <w:r>
        <w:t>vzniklou v souvislosti s poskytováním (včetně neposkytnutí) rad, doporučení, po</w:t>
      </w:r>
      <w:r>
        <w:t xml:space="preserve">kynů, odhadů, </w:t>
      </w:r>
      <w:r>
        <w:t>p</w:t>
      </w:r>
      <w:r>
        <w:t>ředpovědí,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98"/>
        <w:ind w:right="67" w:hanging="360"/>
      </w:pPr>
      <w:r>
        <w:t>způsobenou porušením práv duševního vlastnictví,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98"/>
        <w:ind w:right="67" w:hanging="360"/>
      </w:pPr>
      <w:r>
        <w:t>nedodržením smluvně stanovených nákladů nebo rozpočtů,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98"/>
        <w:ind w:right="67" w:hanging="360"/>
      </w:pPr>
      <w:r>
        <w:t>jakoukoli činností související se zpracováním a poskytováním dat a informací, službami databank, správou sítí, racionalizac</w:t>
      </w:r>
      <w:r>
        <w:t>í nebo automatizací, poskytováním softwaru nebo hardwaru,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101"/>
        <w:ind w:right="67" w:hanging="360"/>
      </w:pPr>
      <w:r>
        <w:t xml:space="preserve">vzniklou v souvislosti s </w:t>
      </w:r>
      <w:r>
        <w:t>čerpáním či přípravou čerpání jakýchkoli dotací a grantů nebo v</w:t>
      </w:r>
      <w:r>
        <w:t xml:space="preserve"> souvislosti s </w:t>
      </w:r>
      <w:r>
        <w:t>organizací veřejných zakázek, zpracováním podkladů pro účast při výběrovém řízení nebo veřejný</w:t>
      </w:r>
      <w:r>
        <w:t>ch zakázkách.</w:t>
      </w:r>
      <w:r>
        <w:t xml:space="preserve"> </w:t>
      </w:r>
    </w:p>
    <w:p w:rsidR="00FD24EB" w:rsidRDefault="001905E1">
      <w:pPr>
        <w:numPr>
          <w:ilvl w:val="0"/>
          <w:numId w:val="7"/>
        </w:numPr>
        <w:spacing w:after="100"/>
        <w:ind w:right="67" w:hanging="360"/>
      </w:pPr>
      <w:r>
        <w:t>Pojištění obecné odpovědnosti za újmu se vztahuje i na povinnost pojištěného nahradit šk</w:t>
      </w:r>
      <w:r>
        <w:t xml:space="preserve">odu </w:t>
      </w:r>
      <w:r>
        <w:t>způsobenou na vnesených nebo odložených věcech ve smyslu občanského zákoníku.</w:t>
      </w:r>
      <w:r>
        <w:t xml:space="preserve"> </w:t>
      </w:r>
    </w:p>
    <w:p w:rsidR="00FD24EB" w:rsidRDefault="001905E1">
      <w:pPr>
        <w:ind w:left="703" w:right="67"/>
      </w:pPr>
      <w:r>
        <w:t>Toto pojištění se sjednává v</w:t>
      </w:r>
      <w:r>
        <w:t xml:space="preserve"> </w:t>
      </w:r>
      <w:r>
        <w:t>rámci dojednaného limitu pojistného plněn</w:t>
      </w:r>
      <w:r>
        <w:t xml:space="preserve">í pojištění odpovědnosti dle bodu 1 čl. </w:t>
      </w:r>
      <w:r>
        <w:t>2 ZPP 650-</w:t>
      </w:r>
      <w:r>
        <w:t>2 se sublimitem pro jednu a všechny újmy ze škodných událostí nastalých v</w:t>
      </w:r>
      <w:r>
        <w:t xml:space="preserve"> </w:t>
      </w:r>
      <w:r>
        <w:t>průběhu jednoho pojistného roku uvedeným u tohoto pojistného nebezpečí</w:t>
      </w:r>
      <w:r>
        <w:t xml:space="preserve">. </w:t>
      </w:r>
    </w:p>
    <w:p w:rsidR="00FD24EB" w:rsidRDefault="001905E1">
      <w:pPr>
        <w:spacing w:after="151"/>
        <w:ind w:left="703" w:right="67"/>
      </w:pPr>
      <w:r>
        <w:t>Pojištění se sjednává se spoluúčastí uvedenou u tohoto poji</w:t>
      </w:r>
      <w:r>
        <w:t>stného nebezpečí.</w:t>
      </w:r>
      <w:r>
        <w:t xml:space="preserve"> </w:t>
      </w:r>
    </w:p>
    <w:p w:rsidR="00FD24EB" w:rsidRDefault="001905E1">
      <w:pPr>
        <w:pStyle w:val="Nadpis3"/>
        <w:ind w:left="703"/>
      </w:pPr>
      <w:r>
        <w:t>ODP-09-</w:t>
      </w:r>
      <w:r>
        <w:t>20 Odškodnění duševních útrap</w:t>
      </w:r>
      <w:r>
        <w:t xml:space="preserve"> </w:t>
      </w:r>
    </w:p>
    <w:p w:rsidR="00FD24EB" w:rsidRDefault="001905E1">
      <w:pPr>
        <w:ind w:left="703" w:right="67"/>
      </w:pPr>
      <w:r>
        <w:t>Odchylně od čl. 5 bodu 1. písm. l) ZPP 65</w:t>
      </w:r>
      <w:r>
        <w:t>0-2 se po</w:t>
      </w:r>
      <w:r>
        <w:t>jištění vztahuje i na povinnost pojištěného</w:t>
      </w:r>
      <w:r>
        <w:t xml:space="preserve"> poskytnout </w:t>
      </w:r>
      <w:r>
        <w:t>peněžitou náhradu nemajetkové újmy, pokud byla přiznána pravomocným rozhodnutím soud</w:t>
      </w:r>
      <w:r>
        <w:t xml:space="preserve">u jako </w:t>
      </w:r>
      <w:r>
        <w:t>odš</w:t>
      </w:r>
      <w:r>
        <w:t xml:space="preserve">kodnění duševních útrap </w:t>
      </w:r>
      <w:r>
        <w:rPr>
          <w:color w:val="222222"/>
        </w:rPr>
        <w:t>za zvlášť závažné ublížení na zdraví rodinného příslušníka nebo jiné osoby</w:t>
      </w:r>
      <w:r>
        <w:rPr>
          <w:color w:val="222222"/>
        </w:rPr>
        <w:t xml:space="preserve"> </w:t>
      </w:r>
      <w:r>
        <w:rPr>
          <w:color w:val="222222"/>
        </w:rPr>
        <w:t>blízké</w:t>
      </w:r>
      <w:r>
        <w:t xml:space="preserve">, k </w:t>
      </w:r>
      <w:r>
        <w:t>němuž došlo v</w:t>
      </w:r>
      <w:r>
        <w:t xml:space="preserve"> souvislosti s </w:t>
      </w:r>
      <w:r>
        <w:t xml:space="preserve">činností nebo vztahem pojištěného, na nějž se vztahuje pojištění sjednané touto pojistnou smlouvou. </w:t>
      </w:r>
      <w:r>
        <w:rPr>
          <w:b/>
          <w:sz w:val="21"/>
        </w:rPr>
        <w:t xml:space="preserve"> </w:t>
      </w:r>
    </w:p>
    <w:p w:rsidR="00FD24EB" w:rsidRDefault="001905E1">
      <w:pPr>
        <w:spacing w:after="98"/>
        <w:ind w:left="703" w:right="67"/>
      </w:pPr>
      <w:r>
        <w:t>Pojistit</w:t>
      </w:r>
      <w:r>
        <w:t>el je pov</w:t>
      </w:r>
      <w:r>
        <w:t>inen poskytnout pojistné plnění pouze za předpokladu, že jsou současně splněny následující podmínky</w:t>
      </w:r>
      <w:r>
        <w:t xml:space="preserve">: </w:t>
      </w:r>
    </w:p>
    <w:p w:rsidR="00FD24EB" w:rsidRDefault="001905E1">
      <w:pPr>
        <w:numPr>
          <w:ilvl w:val="0"/>
          <w:numId w:val="8"/>
        </w:numPr>
        <w:spacing w:after="0" w:line="241" w:lineRule="auto"/>
        <w:ind w:right="67" w:hanging="360"/>
      </w:pPr>
      <w:r>
        <w:t xml:space="preserve">k </w:t>
      </w:r>
      <w:r>
        <w:rPr>
          <w:color w:val="222222"/>
        </w:rPr>
        <w:t>zvlášť závažnému ublížení na zdraví rodinného příslušníka nebo jiné osoby blízké</w:t>
      </w:r>
      <w:r>
        <w:t xml:space="preserve"> </w:t>
      </w:r>
      <w:r>
        <w:t>došlo po dni počátku tohoto připojištění,</w:t>
      </w:r>
      <w:r>
        <w:t xml:space="preserve"> </w:t>
      </w:r>
    </w:p>
    <w:p w:rsidR="00FD24EB" w:rsidRDefault="001905E1">
      <w:pPr>
        <w:numPr>
          <w:ilvl w:val="0"/>
          <w:numId w:val="8"/>
        </w:numPr>
        <w:spacing w:after="101"/>
        <w:ind w:right="67" w:hanging="360"/>
      </w:pPr>
      <w:r>
        <w:t>nárok na peněžitou náhradu nemajetkové újmy byl proti pojištěnému poprvé uplatněn v době trvání tohoto připojištění,</w:t>
      </w:r>
      <w:r>
        <w:t xml:space="preserve"> </w:t>
      </w:r>
    </w:p>
    <w:p w:rsidR="00FD24EB" w:rsidRDefault="001905E1">
      <w:pPr>
        <w:numPr>
          <w:ilvl w:val="0"/>
          <w:numId w:val="8"/>
        </w:numPr>
        <w:ind w:right="67" w:hanging="360"/>
      </w:pPr>
      <w:r>
        <w:t>pojištěný uplatnil nárok na plnění proti pojistiteli do 60 dní po zániku tohoto připojištění</w:t>
      </w:r>
      <w:r>
        <w:rPr>
          <w:color w:val="FF0000"/>
        </w:rPr>
        <w:t>.</w:t>
      </w:r>
      <w:r>
        <w:t xml:space="preserve"> </w:t>
      </w:r>
    </w:p>
    <w:p w:rsidR="00FD24EB" w:rsidRDefault="001905E1">
      <w:pPr>
        <w:ind w:left="703" w:right="67"/>
      </w:pPr>
      <w:r>
        <w:t>Pojistitel poskytne pojistné plnění z</w:t>
      </w:r>
      <w:r>
        <w:t xml:space="preserve"> </w:t>
      </w:r>
      <w:r>
        <w:t xml:space="preserve">pojištění dle této doložky také z pojistné události ve smyslu této doložky, ke které došlo v době trvání tohoto připojištění sjednaného </w:t>
      </w:r>
      <w:r>
        <w:t>u pojisti</w:t>
      </w:r>
      <w:r>
        <w:t>tele uvedeného v této pojistné smlouvě pojistnou smlouvou (případně více na sebe navazujícími pojistnými smlouv</w:t>
      </w:r>
      <w:r>
        <w:t xml:space="preserve">ami), bezprostředně předcházející(mi) této pojistné smlouvě (podmínkou je nepřetržité trvání připojištění). </w:t>
      </w:r>
      <w:r>
        <w:t xml:space="preserve"> </w:t>
      </w:r>
    </w:p>
    <w:p w:rsidR="00FD24EB" w:rsidRDefault="001905E1">
      <w:pPr>
        <w:ind w:left="703" w:right="67"/>
      </w:pPr>
      <w:r>
        <w:t>Z pojistných událostí z</w:t>
      </w:r>
      <w:r>
        <w:t xml:space="preserve"> poj</w:t>
      </w:r>
      <w:r>
        <w:t xml:space="preserve">ištění dle této doložky, ke kterým došlo přede dnem počátku pojištění dle této </w:t>
      </w:r>
      <w:r>
        <w:t>poj</w:t>
      </w:r>
      <w:r>
        <w:t>istné smlouvy, však pojistitel neposk</w:t>
      </w:r>
      <w:r>
        <w:t>ytne pojistné plnění v rozsahu větším, než jaký odpovídá rozsahu připojištění sjednanému pojistnou smlouvou platnou a účinnou v době, kdy</w:t>
      </w:r>
      <w:r>
        <w:t xml:space="preserve"> </w:t>
      </w:r>
      <w:r>
        <w:t>došlo k</w:t>
      </w:r>
      <w:r>
        <w:t xml:space="preserve"> </w:t>
      </w:r>
      <w:r>
        <w:t>pojistné události.</w:t>
      </w:r>
      <w:r>
        <w:t xml:space="preserve"> </w:t>
      </w:r>
    </w:p>
    <w:p w:rsidR="00FD24EB" w:rsidRDefault="001905E1">
      <w:pPr>
        <w:ind w:left="703" w:right="67"/>
      </w:pPr>
      <w:r>
        <w:t>Toto pojištění se sjednává v</w:t>
      </w:r>
      <w:r>
        <w:t xml:space="preserve"> </w:t>
      </w:r>
      <w:r>
        <w:t>rámci limitu pojistného plnění pojištění odpovědnosti dle bod</w:t>
      </w:r>
      <w:r>
        <w:t>u 1 čl. 2 ZPP 650</w:t>
      </w:r>
      <w:r>
        <w:t xml:space="preserve">-2 </w:t>
      </w:r>
      <w:r>
        <w:t>se sublimitem pro jednu a všechny újmy ze škodných událostí nastalých v</w:t>
      </w:r>
      <w:r>
        <w:t xml:space="preserve"> </w:t>
      </w:r>
      <w:r>
        <w:t>průběhu jednoho pojistného roku</w:t>
      </w:r>
      <w:r>
        <w:t xml:space="preserve"> </w:t>
      </w:r>
      <w:r>
        <w:t>uvedeným u toh</w:t>
      </w:r>
      <w:r>
        <w:t>oto pojis</w:t>
      </w:r>
      <w:r>
        <w:t>tného nebezpečí</w:t>
      </w:r>
      <w:r>
        <w:t xml:space="preserve">. </w:t>
      </w:r>
    </w:p>
    <w:p w:rsidR="00FD24EB" w:rsidRDefault="001905E1">
      <w:pPr>
        <w:spacing w:after="151"/>
        <w:ind w:left="703" w:right="67"/>
      </w:pPr>
      <w:r>
        <w:t>Po</w:t>
      </w:r>
      <w:r>
        <w:t>jištění se sjednává se spoluúčastí uvedenou u tohoto pojistného nebezpečí.</w:t>
      </w:r>
      <w:r>
        <w:t xml:space="preserve"> </w:t>
      </w:r>
    </w:p>
    <w:p w:rsidR="00FD24EB" w:rsidRDefault="001905E1">
      <w:pPr>
        <w:pStyle w:val="Nadpis3"/>
        <w:ind w:left="703"/>
      </w:pPr>
      <w:r>
        <w:t xml:space="preserve">ODP-10-20 - </w:t>
      </w:r>
      <w:r>
        <w:t>P</w:t>
      </w:r>
      <w:r>
        <w:t>rovoz pracovních strojů</w:t>
      </w:r>
      <w:r>
        <w:t xml:space="preserve"> </w:t>
      </w:r>
    </w:p>
    <w:p w:rsidR="00FD24EB" w:rsidRDefault="001905E1">
      <w:pPr>
        <w:ind w:left="703" w:right="67"/>
      </w:pPr>
      <w:r>
        <w:t>Pojištění se vztahuje i na povinnost pojištěného nahradit újmu způsobenou v</w:t>
      </w:r>
      <w:r>
        <w:t xml:space="preserve"> </w:t>
      </w:r>
      <w:r>
        <w:t xml:space="preserve">souvislosti s vlastnictvím nebo </w:t>
      </w:r>
      <w:r>
        <w:t xml:space="preserve">provozem </w:t>
      </w:r>
      <w:r>
        <w:t>motorového vozidla sloužícího jako pracovní stroj, včetně újmy způsobené výkonem činnosti pracovního stroje.</w:t>
      </w:r>
      <w:r>
        <w:t xml:space="preserve"> </w:t>
      </w:r>
    </w:p>
    <w:p w:rsidR="00FD24EB" w:rsidRDefault="001905E1">
      <w:pPr>
        <w:spacing w:after="97"/>
        <w:ind w:left="703" w:right="67"/>
      </w:pPr>
      <w:r>
        <w:t>Poji</w:t>
      </w:r>
      <w:r>
        <w:t>štění se však nevztahuje na povinnost pojištěného nahradit újmu, pokud:</w:t>
      </w:r>
      <w:r>
        <w:t xml:space="preserve"> </w:t>
      </w:r>
    </w:p>
    <w:p w:rsidR="00FD24EB" w:rsidRDefault="001905E1">
      <w:pPr>
        <w:numPr>
          <w:ilvl w:val="0"/>
          <w:numId w:val="9"/>
        </w:numPr>
        <w:spacing w:after="101"/>
        <w:ind w:right="67" w:hanging="360"/>
      </w:pPr>
      <w:r>
        <w:t>v souvislosti se škodnou událostí bylo nebo mohlo být uplatněno právo na plnění</w:t>
      </w:r>
      <w:r>
        <w:t xml:space="preserve"> </w:t>
      </w:r>
      <w:r>
        <w:t>z pojištění odpovědnosti za újmu (škodu) sjednaného ve prospěch pojištěného jinou pojistnou smlouvou (z</w:t>
      </w:r>
      <w:r>
        <w:t>ejména z povinného pojištění odpovědnosti za újmu způsobenou provozem vozidla),</w:t>
      </w:r>
      <w:r>
        <w:t xml:space="preserve"> </w:t>
      </w:r>
    </w:p>
    <w:p w:rsidR="00FD24EB" w:rsidRDefault="001905E1">
      <w:pPr>
        <w:numPr>
          <w:ilvl w:val="0"/>
          <w:numId w:val="9"/>
        </w:numPr>
        <w:ind w:right="67" w:hanging="360"/>
      </w:pPr>
      <w:r>
        <w:lastRenderedPageBreak/>
        <w:t>jde o újmu, jejíž náhrada je předmětem povinného pojištění odpovědnosti za újmu způsobenou provozem vozidla, ale právo na plnění z takového pojištění nemohlo být uplatněno z d</w:t>
      </w:r>
      <w:r>
        <w:t>ůvodu, že:</w:t>
      </w:r>
      <w:r>
        <w:t xml:space="preserve"> </w:t>
      </w:r>
    </w:p>
    <w:p w:rsidR="00FD24EB" w:rsidRDefault="001905E1">
      <w:pPr>
        <w:ind w:left="872" w:right="67"/>
      </w:pPr>
      <w:r>
        <w:t xml:space="preserve">i) </w:t>
      </w:r>
      <w:r>
        <w:t xml:space="preserve">byla porušena povinnost takové pojištění uzavřít, </w:t>
      </w:r>
      <w:r>
        <w:t xml:space="preserve"> ii) </w:t>
      </w:r>
      <w:r>
        <w:t>jde o vozidlo, pro které právní předpis stanoví výjimku z povinného pojištění odpovědnosti za újmu způs</w:t>
      </w:r>
      <w:r>
        <w:t xml:space="preserve">obenou provozem vozidla, nebo </w:t>
      </w:r>
    </w:p>
    <w:p w:rsidR="00FD24EB" w:rsidRDefault="001905E1">
      <w:pPr>
        <w:spacing w:after="98"/>
        <w:ind w:left="1136" w:right="67" w:hanging="274"/>
      </w:pPr>
      <w:r>
        <w:t xml:space="preserve">iii) </w:t>
      </w:r>
      <w:r>
        <w:t>k újmě došlo při provozu vozidla na pozemní komunikaci, na které bylo toto vozidlo provozováno v rozporu s právními předpisy,</w:t>
      </w:r>
      <w:r>
        <w:t xml:space="preserve"> </w:t>
      </w:r>
    </w:p>
    <w:p w:rsidR="00FD24EB" w:rsidRDefault="001905E1">
      <w:pPr>
        <w:numPr>
          <w:ilvl w:val="0"/>
          <w:numId w:val="10"/>
        </w:numPr>
        <w:spacing w:after="100"/>
        <w:ind w:right="67" w:hanging="360"/>
      </w:pPr>
      <w:r>
        <w:t xml:space="preserve">jde o újmu, jejíž náhrada je právním předpisem vyloučena z povinného pojištění odpovědnosti za újmu způsobenou provozem vozidla, </w:t>
      </w:r>
      <w:r>
        <w:t>nebo</w:t>
      </w:r>
      <w:r>
        <w:t xml:space="preserve"> </w:t>
      </w:r>
    </w:p>
    <w:p w:rsidR="00FD24EB" w:rsidRDefault="001905E1">
      <w:pPr>
        <w:numPr>
          <w:ilvl w:val="0"/>
          <w:numId w:val="10"/>
        </w:numPr>
        <w:ind w:right="67" w:hanging="360"/>
      </w:pPr>
      <w:r>
        <w:t>ke vzniku újmy došlo při účasti na motoristickém závodě nebo soutěži nebo v průběhu přípravy na ně.</w:t>
      </w:r>
      <w:r>
        <w:t xml:space="preserve"> </w:t>
      </w:r>
    </w:p>
    <w:p w:rsidR="00FD24EB" w:rsidRDefault="001905E1">
      <w:pPr>
        <w:spacing w:after="95"/>
        <w:ind w:left="703" w:right="67"/>
      </w:pPr>
      <w:r>
        <w:t>Toto pojištění se pro případ újmy způsobené:</w:t>
      </w:r>
      <w:r>
        <w:t xml:space="preserve"> </w:t>
      </w:r>
    </w:p>
    <w:p w:rsidR="00FD24EB" w:rsidRDefault="001905E1">
      <w:pPr>
        <w:numPr>
          <w:ilvl w:val="0"/>
          <w:numId w:val="11"/>
        </w:numPr>
        <w:ind w:right="67" w:hanging="296"/>
      </w:pPr>
      <w:r>
        <w:t>výkonem činnosti pracovního stroje, přičemž újma nemá</w:t>
      </w:r>
      <w:r>
        <w:t xml:space="preserve"> </w:t>
      </w:r>
      <w:r>
        <w:t>původ v</w:t>
      </w:r>
      <w:r>
        <w:t xml:space="preserve"> </w:t>
      </w:r>
      <w:r>
        <w:t>jeho jízdě, sjednává se sublimitem ve výš</w:t>
      </w:r>
      <w:r>
        <w:t>i rovnající se limitu pojistného plnění pro pojištění odpovědnosti za újmu</w:t>
      </w:r>
      <w:r>
        <w:t xml:space="preserve"> </w:t>
      </w:r>
      <w:r>
        <w:t>dle bodu 1 čl. 2 ZPP 650</w:t>
      </w:r>
      <w:r>
        <w:t xml:space="preserve">-2, </w:t>
      </w:r>
    </w:p>
    <w:p w:rsidR="00FD24EB" w:rsidRDefault="001905E1">
      <w:pPr>
        <w:numPr>
          <w:ilvl w:val="0"/>
          <w:numId w:val="11"/>
        </w:numPr>
        <w:ind w:right="67" w:hanging="296"/>
      </w:pPr>
      <w:r>
        <w:t>jinak než v</w:t>
      </w:r>
      <w:r>
        <w:t xml:space="preserve"> </w:t>
      </w:r>
      <w:r>
        <w:t>případě uvedeném pod písm. a) sjednává</w:t>
      </w:r>
      <w:r>
        <w:t xml:space="preserve"> v </w:t>
      </w:r>
      <w:r>
        <w:t>rámci limitu pojistného plnění pojištění odpovědnosti dle bodu 1 č</w:t>
      </w:r>
      <w:r>
        <w:t>l. 2 ZPP 650-</w:t>
      </w:r>
      <w:r>
        <w:t>2 se sublimitem pro jednu a všechny újmy ze škodných událostí nastalých v</w:t>
      </w:r>
      <w:r>
        <w:t xml:space="preserve"> </w:t>
      </w:r>
      <w:r>
        <w:t>průběhu jednoho pojistného roku uvedeným u tohoto pojistného nebezpečí</w:t>
      </w:r>
      <w:r>
        <w:t xml:space="preserve">. </w:t>
      </w:r>
    </w:p>
    <w:p w:rsidR="00FD24EB" w:rsidRDefault="001905E1">
      <w:pPr>
        <w:spacing w:after="175"/>
        <w:ind w:left="703" w:right="67"/>
      </w:pPr>
      <w:r>
        <w:t>Pojištění se sjednává se spoluúčastí uvedenou u tohoto pojistného nebezpečí.</w:t>
      </w:r>
      <w:r>
        <w:t xml:space="preserve"> </w:t>
      </w:r>
    </w:p>
    <w:p w:rsidR="00FD24EB" w:rsidRDefault="001905E1">
      <w:pPr>
        <w:spacing w:after="1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24EB" w:rsidRDefault="001905E1">
      <w:pPr>
        <w:pStyle w:val="Nadpis2"/>
        <w:ind w:left="703"/>
      </w:pPr>
      <w:r>
        <w:t xml:space="preserve"> 3.4 </w:t>
      </w:r>
      <w:r>
        <w:rPr>
          <w:rFonts w:ascii="Arial" w:eastAsia="Arial" w:hAnsi="Arial" w:cs="Arial"/>
        </w:rPr>
        <w:t xml:space="preserve"> </w:t>
      </w:r>
      <w:r>
        <w:t>Pojistné</w:t>
      </w:r>
      <w: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spacing w:after="0" w:line="259" w:lineRule="auto"/>
        <w:ind w:left="1270" w:right="0"/>
        <w:jc w:val="left"/>
      </w:pPr>
      <w:r>
        <w:rPr>
          <w:sz w:val="22"/>
        </w:rPr>
        <w:t>Roční pojis</w:t>
      </w:r>
      <w:r>
        <w:rPr>
          <w:sz w:val="22"/>
        </w:rPr>
        <w:t>tné</w:t>
      </w:r>
      <w:r>
        <w:rPr>
          <w:sz w:val="22"/>
        </w:rPr>
        <w:t xml:space="preserve"> </w:t>
      </w:r>
      <w:r>
        <w:rPr>
          <w:sz w:val="22"/>
        </w:rPr>
        <w:t>za pojištění odpovědnosti</w:t>
      </w:r>
      <w:r>
        <w:rPr>
          <w:sz w:val="22"/>
        </w:rPr>
        <w:t xml:space="preserve"> </w:t>
      </w:r>
      <w:r>
        <w:rPr>
          <w:sz w:val="22"/>
        </w:rPr>
        <w:t>činí</w:t>
      </w:r>
      <w:r>
        <w:rPr>
          <w:sz w:val="22"/>
        </w:rPr>
        <w:t xml:space="preserve"> .................................................. </w:t>
      </w:r>
      <w:r>
        <w:rPr>
          <w:color w:val="BFBFBF"/>
          <w:sz w:val="22"/>
          <w:shd w:val="clear" w:color="auto" w:fill="C0C0C0"/>
        </w:rPr>
        <w:t xml:space="preserve">60 888 </w:t>
      </w:r>
      <w:r>
        <w:rPr>
          <w:color w:val="BFBFBF"/>
          <w:sz w:val="22"/>
          <w:shd w:val="clear" w:color="auto" w:fill="C0C0C0"/>
        </w:rPr>
        <w:t>Kč</w:t>
      </w:r>
      <w:r>
        <w:rPr>
          <w:sz w:val="22"/>
        </w:rPr>
        <w:t xml:space="preserve">.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FD24EB" w:rsidRDefault="001905E1">
      <w:pPr>
        <w:pStyle w:val="Nadpis3"/>
        <w:spacing w:after="13" w:line="248" w:lineRule="auto"/>
        <w:ind w:left="703" w:right="55"/>
        <w:jc w:val="both"/>
      </w:pPr>
      <w:r>
        <w:rPr>
          <w:sz w:val="21"/>
        </w:rPr>
        <w:t>4.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POJIŠTĚNÍ ASISTENČNÍCH SLUŽEB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 xml:space="preserve">Pojištění se řídí </w:t>
      </w:r>
      <w:r>
        <w:rPr>
          <w:sz w:val="21"/>
        </w:rPr>
        <w:t>Dop</w:t>
      </w:r>
      <w:r>
        <w:rPr>
          <w:sz w:val="21"/>
        </w:rPr>
        <w:t>lňkovými</w:t>
      </w:r>
      <w:r>
        <w:rPr>
          <w:sz w:val="21"/>
        </w:rPr>
        <w:t xml:space="preserve"> </w:t>
      </w:r>
      <w:r>
        <w:rPr>
          <w:sz w:val="21"/>
        </w:rPr>
        <w:t xml:space="preserve">pojistným podmínkami </w:t>
      </w:r>
      <w:r>
        <w:rPr>
          <w:sz w:val="21"/>
        </w:rPr>
        <w:t xml:space="preserve">k </w:t>
      </w:r>
      <w:r>
        <w:rPr>
          <w:sz w:val="21"/>
        </w:rPr>
        <w:t>asistenčním službám DPP 375</w:t>
      </w:r>
      <w:r>
        <w:rPr>
          <w:sz w:val="21"/>
        </w:rPr>
        <w:t xml:space="preserve">-2. </w:t>
      </w:r>
    </w:p>
    <w:p w:rsidR="00FD24EB" w:rsidRDefault="001905E1">
      <w:pPr>
        <w:spacing w:after="6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3"/>
        <w:ind w:left="703" w:right="55"/>
      </w:pPr>
      <w:r>
        <w:rPr>
          <w:b/>
          <w:sz w:val="21"/>
        </w:rPr>
        <w:t xml:space="preserve"> 4.1 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  <w:sz w:val="21"/>
        </w:rPr>
        <w:t xml:space="preserve">Předmět a rozsah pojištění, limity plnění, spoluúčasti a územní rozsah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left="1270" w:right="55"/>
      </w:pPr>
      <w:r>
        <w:rPr>
          <w:sz w:val="21"/>
        </w:rPr>
        <w:t>Předmět a ro</w:t>
      </w:r>
      <w:r>
        <w:rPr>
          <w:sz w:val="21"/>
        </w:rPr>
        <w:t>z</w:t>
      </w:r>
      <w:r>
        <w:rPr>
          <w:sz w:val="21"/>
        </w:rPr>
        <w:t>sah pojištění, limity plnění</w:t>
      </w:r>
      <w:r>
        <w:rPr>
          <w:sz w:val="21"/>
        </w:rPr>
        <w:t xml:space="preserve">, </w:t>
      </w:r>
      <w:r>
        <w:rPr>
          <w:sz w:val="21"/>
        </w:rPr>
        <w:t>spoluúčasti</w:t>
      </w:r>
      <w:r>
        <w:rPr>
          <w:sz w:val="21"/>
        </w:rPr>
        <w:t xml:space="preserve"> </w:t>
      </w:r>
      <w:r>
        <w:rPr>
          <w:sz w:val="21"/>
        </w:rPr>
        <w:t>a územní rozsah</w:t>
      </w:r>
      <w:r>
        <w:rPr>
          <w:sz w:val="21"/>
        </w:rPr>
        <w:t xml:space="preserve"> jsou uvedeny v DPP 375-2. </w:t>
      </w:r>
    </w:p>
    <w:p w:rsidR="00FD24EB" w:rsidRDefault="001905E1">
      <w:pPr>
        <w:spacing w:after="3" w:line="259" w:lineRule="auto"/>
        <w:ind w:left="1275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3"/>
        <w:ind w:left="703" w:right="55"/>
      </w:pPr>
      <w:r>
        <w:rPr>
          <w:b/>
          <w:sz w:val="21"/>
        </w:rPr>
        <w:t xml:space="preserve"> 4.2 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  <w:sz w:val="21"/>
        </w:rPr>
        <w:t xml:space="preserve">Pojistné </w:t>
      </w:r>
    </w:p>
    <w:p w:rsidR="00FD24EB" w:rsidRDefault="001905E1">
      <w:pPr>
        <w:spacing w:after="0" w:line="259" w:lineRule="auto"/>
        <w:ind w:left="1275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1" w:line="247" w:lineRule="auto"/>
        <w:ind w:left="1285" w:right="0"/>
        <w:jc w:val="left"/>
      </w:pPr>
      <w:r>
        <w:rPr>
          <w:sz w:val="21"/>
        </w:rPr>
        <w:t>Roční pojistné za pojištění asistenčních služeb</w:t>
      </w:r>
      <w:r>
        <w:rPr>
          <w:sz w:val="21"/>
        </w:rPr>
        <w:t xml:space="preserve"> </w:t>
      </w:r>
      <w:r>
        <w:rPr>
          <w:sz w:val="21"/>
        </w:rPr>
        <w:t>činí</w:t>
      </w:r>
      <w:r>
        <w:rPr>
          <w:sz w:val="21"/>
        </w:rPr>
        <w:t xml:space="preserve"> </w:t>
      </w:r>
      <w:r>
        <w:rPr>
          <w:sz w:val="21"/>
        </w:rPr>
        <w:t>.....................................................</w:t>
      </w:r>
      <w:r>
        <w:rPr>
          <w:sz w:val="21"/>
          <w:shd w:val="clear" w:color="auto" w:fill="C0C0C0"/>
        </w:rPr>
        <w:t xml:space="preserve"> </w:t>
      </w:r>
      <w:r>
        <w:rPr>
          <w:color w:val="BFBFBF"/>
          <w:sz w:val="21"/>
          <w:shd w:val="clear" w:color="auto" w:fill="C0C0C0"/>
        </w:rPr>
        <w:t xml:space="preserve">220 </w:t>
      </w:r>
      <w:r>
        <w:rPr>
          <w:color w:val="BFBFBF"/>
          <w:sz w:val="21"/>
          <w:shd w:val="clear" w:color="auto" w:fill="C0C0C0"/>
        </w:rPr>
        <w:t>Kč</w:t>
      </w:r>
      <w:r>
        <w:rPr>
          <w:sz w:val="21"/>
        </w:rPr>
        <w:t xml:space="preserve">.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3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3"/>
        <w:spacing w:after="13" w:line="248" w:lineRule="auto"/>
        <w:ind w:left="703" w:right="55"/>
        <w:jc w:val="both"/>
      </w:pPr>
      <w:r>
        <w:rPr>
          <w:sz w:val="21"/>
        </w:rPr>
        <w:t>5.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ZVLÁŠTNÍ UJEDNÁNÍ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693" w:right="0" w:firstLine="0"/>
        <w:jc w:val="left"/>
      </w:pPr>
      <w:r>
        <w:rPr>
          <w:b/>
          <w:sz w:val="22"/>
        </w:rPr>
        <w:t xml:space="preserve"> </w:t>
      </w:r>
    </w:p>
    <w:p w:rsidR="00FD24EB" w:rsidRDefault="001905E1">
      <w:pPr>
        <w:pStyle w:val="Nadpis4"/>
        <w:ind w:left="703" w:right="55"/>
      </w:pPr>
      <w:r>
        <w:t xml:space="preserve"> 5.1 </w:t>
      </w:r>
      <w:r>
        <w:rPr>
          <w:rFonts w:ascii="Arial" w:eastAsia="Arial" w:hAnsi="Arial" w:cs="Arial"/>
        </w:rPr>
        <w:t xml:space="preserve"> </w:t>
      </w:r>
      <w:r>
        <w:t>VÝLUKA PŘENOSNÝC</w:t>
      </w:r>
      <w:r>
        <w:t xml:space="preserve">H CHOROB  </w:t>
      </w:r>
    </w:p>
    <w:p w:rsidR="00FD24EB" w:rsidRDefault="001905E1">
      <w:pPr>
        <w:numPr>
          <w:ilvl w:val="0"/>
          <w:numId w:val="12"/>
        </w:numPr>
        <w:spacing w:after="138" w:line="247" w:lineRule="auto"/>
        <w:ind w:left="1417" w:right="55" w:hanging="281"/>
      </w:pPr>
      <w:r>
        <w:rPr>
          <w:sz w:val="21"/>
        </w:rPr>
        <w:t>Ujednává se, že pojištění majet</w:t>
      </w:r>
      <w:r>
        <w:rPr>
          <w:sz w:val="21"/>
        </w:rPr>
        <w:t xml:space="preserve">ku </w:t>
      </w:r>
      <w:r>
        <w:rPr>
          <w:color w:val="FF0000"/>
          <w:sz w:val="21"/>
        </w:rPr>
        <w:t>a přerušení provozu</w:t>
      </w:r>
      <w:r>
        <w:rPr>
          <w:sz w:val="21"/>
        </w:rPr>
        <w:t xml:space="preserve">, sjednaná touto pojistnou smlouvou se nevztahují na jakoukoli ztrátu, škodu, nárok, náklady nebo výdaje jakékoli povahy přímo či nepřímo vzniklé anebo způsobené jakoukoliv přenosnou chorobou. Pojištění se také nevztahuje </w:t>
      </w:r>
      <w:r>
        <w:rPr>
          <w:sz w:val="21"/>
        </w:rPr>
        <w:t xml:space="preserve">na </w:t>
      </w:r>
      <w:r>
        <w:rPr>
          <w:sz w:val="21"/>
        </w:rPr>
        <w:t>důsledky jakýchkoliv preventivn</w:t>
      </w:r>
      <w:r>
        <w:rPr>
          <w:sz w:val="21"/>
        </w:rPr>
        <w:t xml:space="preserve">ích </w:t>
      </w:r>
      <w:r>
        <w:rPr>
          <w:color w:val="FF0000"/>
          <w:sz w:val="21"/>
        </w:rPr>
        <w:t>nebo sanačních</w:t>
      </w:r>
      <w:r>
        <w:rPr>
          <w:sz w:val="21"/>
        </w:rPr>
        <w:t xml:space="preserve"> </w:t>
      </w:r>
      <w:r>
        <w:rPr>
          <w:sz w:val="21"/>
        </w:rPr>
        <w:t xml:space="preserve">opatření, </w:t>
      </w:r>
      <w:r>
        <w:rPr>
          <w:color w:val="FF0000"/>
          <w:sz w:val="21"/>
        </w:rPr>
        <w:t>včetně rozhodnutí, opatření nebo jiného zásahu orgánu státní moci nebo veřejné správy</w:t>
      </w:r>
      <w:r>
        <w:rPr>
          <w:sz w:val="21"/>
        </w:rPr>
        <w:t>,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sz w:val="21"/>
        </w:rPr>
        <w:t>přijatých v souvislosti se</w:t>
      </w:r>
      <w:r>
        <w:rPr>
          <w:sz w:val="21"/>
        </w:rPr>
        <w:t xml:space="preserve"> </w:t>
      </w:r>
      <w:r>
        <w:rPr>
          <w:sz w:val="21"/>
        </w:rPr>
        <w:t>skutečnou nebo tak vnímanou obavou nebo hrozbou (z)</w:t>
      </w:r>
      <w:r>
        <w:rPr>
          <w:sz w:val="21"/>
        </w:rPr>
        <w:t xml:space="preserve"> </w:t>
      </w:r>
      <w:r>
        <w:rPr>
          <w:sz w:val="21"/>
        </w:rPr>
        <w:t>šíření přenosné choroby.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12"/>
        </w:numPr>
        <w:spacing w:after="109" w:line="247" w:lineRule="auto"/>
        <w:ind w:left="1417" w:right="55" w:hanging="281"/>
      </w:pPr>
      <w:r>
        <w:rPr>
          <w:sz w:val="21"/>
        </w:rPr>
        <w:lastRenderedPageBreak/>
        <w:t xml:space="preserve">Tato </w:t>
      </w:r>
      <w:r>
        <w:rPr>
          <w:sz w:val="21"/>
        </w:rPr>
        <w:t>výluka se</w:t>
      </w:r>
      <w:r>
        <w:rPr>
          <w:sz w:val="21"/>
        </w:rPr>
        <w:t xml:space="preserve"> </w:t>
      </w:r>
      <w:r>
        <w:rPr>
          <w:sz w:val="21"/>
        </w:rPr>
        <w:t>však neuplatní v</w:t>
      </w:r>
      <w:r>
        <w:rPr>
          <w:sz w:val="21"/>
        </w:rPr>
        <w:t xml:space="preserve"> </w:t>
      </w:r>
      <w:r>
        <w:rPr>
          <w:sz w:val="21"/>
        </w:rPr>
        <w:t>pří</w:t>
      </w:r>
      <w:r>
        <w:rPr>
          <w:sz w:val="21"/>
        </w:rPr>
        <w:t>padě, kdy škoda spočívá</w:t>
      </w:r>
      <w:r>
        <w:rPr>
          <w:sz w:val="21"/>
        </w:rPr>
        <w:t xml:space="preserve"> </w:t>
      </w:r>
      <w:r>
        <w:rPr>
          <w:sz w:val="21"/>
        </w:rPr>
        <w:t>ve fyzickém poškození pojištěného</w:t>
      </w:r>
      <w:r>
        <w:rPr>
          <w:sz w:val="21"/>
        </w:rPr>
        <w:t xml:space="preserve"> </w:t>
      </w:r>
      <w:r>
        <w:rPr>
          <w:sz w:val="21"/>
        </w:rPr>
        <w:t>majetku v důsledku působení pojistného</w:t>
      </w:r>
      <w:r>
        <w:rPr>
          <w:sz w:val="21"/>
        </w:rPr>
        <w:t xml:space="preserve"> </w:t>
      </w:r>
      <w:r>
        <w:rPr>
          <w:sz w:val="21"/>
        </w:rPr>
        <w:t>nebezpečí sjednaného v</w:t>
      </w:r>
      <w:r>
        <w:rPr>
          <w:sz w:val="21"/>
        </w:rPr>
        <w:t xml:space="preserve"> pojis</w:t>
      </w:r>
      <w:r>
        <w:rPr>
          <w:sz w:val="21"/>
        </w:rPr>
        <w:t>tné smlouvě nebo jde o pojištěnou časově závislou ztrátu vzniklou jako přímý důsledek tohoto fyzického poškození pojištěného majetk</w:t>
      </w:r>
      <w:r>
        <w:rPr>
          <w:sz w:val="21"/>
        </w:rPr>
        <w:t>u (např. přerušení prov</w:t>
      </w:r>
      <w:r>
        <w:rPr>
          <w:sz w:val="21"/>
        </w:rPr>
        <w:t xml:space="preserve">ozu).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3"/>
        <w:spacing w:after="13" w:line="248" w:lineRule="auto"/>
        <w:ind w:left="703" w:right="55"/>
        <w:jc w:val="both"/>
      </w:pPr>
      <w:r>
        <w:rPr>
          <w:sz w:val="21"/>
        </w:rPr>
        <w:t>6.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REKAPITULACE POJISTNÉHO</w:t>
      </w:r>
      <w:r>
        <w:rPr>
          <w:sz w:val="21"/>
        </w:rPr>
        <w:t xml:space="preserve"> </w:t>
      </w:r>
    </w:p>
    <w:p w:rsidR="00FD24EB" w:rsidRDefault="001905E1">
      <w:pPr>
        <w:spacing w:after="35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47" w:line="247" w:lineRule="auto"/>
        <w:ind w:left="703" w:right="0"/>
        <w:jc w:val="left"/>
      </w:pPr>
      <w:r>
        <w:rPr>
          <w:sz w:val="21"/>
        </w:rPr>
        <w:t>Roční p</w:t>
      </w:r>
      <w:r>
        <w:rPr>
          <w:sz w:val="21"/>
        </w:rPr>
        <w:t>ojis</w:t>
      </w:r>
      <w:r>
        <w:rPr>
          <w:sz w:val="21"/>
        </w:rPr>
        <w:t>tné za živelní pojištění</w:t>
      </w:r>
      <w:r>
        <w:rPr>
          <w:sz w:val="21"/>
        </w:rPr>
        <w:t xml:space="preserve"> </w:t>
      </w:r>
      <w:r>
        <w:rPr>
          <w:sz w:val="21"/>
        </w:rPr>
        <w:t>……………….………………</w:t>
      </w:r>
      <w:r>
        <w:rPr>
          <w:sz w:val="21"/>
        </w:rPr>
        <w:t xml:space="preserve"> ................................................       </w:t>
      </w:r>
      <w:r>
        <w:rPr>
          <w:color w:val="BFBFBF"/>
          <w:sz w:val="21"/>
          <w:shd w:val="clear" w:color="auto" w:fill="C0C0C0"/>
        </w:rPr>
        <w:t xml:space="preserve">9 660 </w:t>
      </w:r>
      <w:r>
        <w:rPr>
          <w:color w:val="BFBFBF"/>
          <w:sz w:val="21"/>
          <w:shd w:val="clear" w:color="auto" w:fill="C0C0C0"/>
        </w:rPr>
        <w:t>Kč</w:t>
      </w:r>
      <w:r>
        <w:rPr>
          <w:sz w:val="21"/>
        </w:rPr>
        <w:t xml:space="preserve">  </w:t>
      </w:r>
    </w:p>
    <w:p w:rsidR="00FD24EB" w:rsidRDefault="001905E1">
      <w:pPr>
        <w:spacing w:after="47" w:line="247" w:lineRule="auto"/>
        <w:ind w:right="55"/>
      </w:pPr>
      <w:r>
        <w:rPr>
          <w:sz w:val="21"/>
        </w:rPr>
        <w:t>Roční pojistné za pojištění</w:t>
      </w:r>
      <w:r>
        <w:rPr>
          <w:sz w:val="21"/>
        </w:rPr>
        <w:t xml:space="preserve"> </w:t>
      </w:r>
      <w:r>
        <w:rPr>
          <w:sz w:val="21"/>
        </w:rPr>
        <w:t xml:space="preserve">odcizení </w:t>
      </w:r>
      <w:r>
        <w:rPr>
          <w:sz w:val="21"/>
        </w:rPr>
        <w:t xml:space="preserve">a vandalismus </w:t>
      </w:r>
      <w:r>
        <w:rPr>
          <w:sz w:val="21"/>
        </w:rPr>
        <w:t>……………….………………</w:t>
      </w:r>
      <w:r>
        <w:rPr>
          <w:sz w:val="21"/>
        </w:rPr>
        <w:t xml:space="preserve"> </w:t>
      </w:r>
      <w:r>
        <w:rPr>
          <w:sz w:val="21"/>
        </w:rPr>
        <w:t xml:space="preserve">........................       </w:t>
      </w:r>
      <w:r>
        <w:rPr>
          <w:color w:val="BFBFBF"/>
          <w:sz w:val="21"/>
          <w:shd w:val="clear" w:color="auto" w:fill="C0C0C0"/>
        </w:rPr>
        <w:t xml:space="preserve">7 994 </w:t>
      </w:r>
      <w:r>
        <w:rPr>
          <w:color w:val="BFBFBF"/>
          <w:sz w:val="21"/>
          <w:shd w:val="clear" w:color="auto" w:fill="C0C0C0"/>
        </w:rPr>
        <w:t>Kč</w:t>
      </w:r>
      <w:r>
        <w:rPr>
          <w:sz w:val="21"/>
        </w:rPr>
        <w:t xml:space="preserve"> </w:t>
      </w:r>
    </w:p>
    <w:p w:rsidR="00FD24EB" w:rsidRDefault="001905E1">
      <w:pPr>
        <w:spacing w:after="45" w:line="247" w:lineRule="auto"/>
        <w:ind w:right="55"/>
      </w:pPr>
      <w:r>
        <w:rPr>
          <w:sz w:val="21"/>
        </w:rPr>
        <w:t>Roční pojistné za pojištění</w:t>
      </w:r>
      <w:r>
        <w:rPr>
          <w:sz w:val="21"/>
        </w:rPr>
        <w:t xml:space="preserve"> </w:t>
      </w:r>
      <w:r>
        <w:rPr>
          <w:sz w:val="21"/>
        </w:rPr>
        <w:t>strojů</w:t>
      </w:r>
      <w:r>
        <w:rPr>
          <w:sz w:val="21"/>
        </w:rPr>
        <w:t xml:space="preserve"> </w:t>
      </w:r>
      <w:r>
        <w:rPr>
          <w:sz w:val="21"/>
        </w:rPr>
        <w:t>a elektronických zařízení ……………….………………</w:t>
      </w:r>
      <w:r>
        <w:rPr>
          <w:sz w:val="21"/>
        </w:rPr>
        <w:t xml:space="preserve"> ..............      </w:t>
      </w:r>
      <w:r>
        <w:rPr>
          <w:color w:val="BFBFBF"/>
          <w:sz w:val="21"/>
          <w:shd w:val="clear" w:color="auto" w:fill="C0C0C0"/>
        </w:rPr>
        <w:t xml:space="preserve">3 924 </w:t>
      </w:r>
      <w:r>
        <w:rPr>
          <w:color w:val="BFBFBF"/>
          <w:sz w:val="21"/>
          <w:shd w:val="clear" w:color="auto" w:fill="C0C0C0"/>
        </w:rPr>
        <w:t>Kč</w:t>
      </w:r>
      <w:r>
        <w:rPr>
          <w:sz w:val="21"/>
        </w:rPr>
        <w:t xml:space="preserve">  </w:t>
      </w:r>
    </w:p>
    <w:p w:rsidR="00FD24EB" w:rsidRDefault="001905E1">
      <w:pPr>
        <w:spacing w:after="47" w:line="247" w:lineRule="auto"/>
        <w:ind w:right="55"/>
      </w:pPr>
      <w:r>
        <w:rPr>
          <w:sz w:val="21"/>
        </w:rPr>
        <w:t>Roční pojistné za pojištění</w:t>
      </w:r>
      <w:r>
        <w:rPr>
          <w:sz w:val="21"/>
        </w:rPr>
        <w:t xml:space="preserve"> o</w:t>
      </w:r>
      <w:r>
        <w:rPr>
          <w:sz w:val="21"/>
        </w:rPr>
        <w:t>dpovědnosti</w:t>
      </w:r>
      <w:r>
        <w:rPr>
          <w:sz w:val="21"/>
        </w:rPr>
        <w:t xml:space="preserve"> </w:t>
      </w:r>
      <w:r>
        <w:rPr>
          <w:sz w:val="21"/>
        </w:rPr>
        <w:t>……………….………………</w:t>
      </w:r>
      <w:r>
        <w:rPr>
          <w:sz w:val="21"/>
        </w:rPr>
        <w:t xml:space="preserve"> ....................................       </w:t>
      </w:r>
      <w:r>
        <w:rPr>
          <w:color w:val="BFBFBF"/>
          <w:sz w:val="21"/>
          <w:shd w:val="clear" w:color="auto" w:fill="C0C0C0"/>
        </w:rPr>
        <w:t xml:space="preserve">60 888 </w:t>
      </w:r>
      <w:r>
        <w:rPr>
          <w:color w:val="BFBFBF"/>
          <w:sz w:val="21"/>
          <w:shd w:val="clear" w:color="auto" w:fill="C0C0C0"/>
        </w:rPr>
        <w:t>Kč</w:t>
      </w:r>
      <w:r>
        <w:rPr>
          <w:sz w:val="21"/>
        </w:rPr>
        <w:t xml:space="preserve"> 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Roční pojist</w:t>
      </w:r>
      <w:r>
        <w:rPr>
          <w:sz w:val="21"/>
        </w:rPr>
        <w:t>n</w:t>
      </w:r>
      <w:r>
        <w:rPr>
          <w:sz w:val="21"/>
        </w:rPr>
        <w:t>é za pojištění asistenčních služeb</w:t>
      </w:r>
      <w:r>
        <w:rPr>
          <w:sz w:val="21"/>
        </w:rPr>
        <w:t xml:space="preserve"> </w:t>
      </w:r>
      <w:r>
        <w:rPr>
          <w:sz w:val="21"/>
        </w:rPr>
        <w:t>……………….………………</w:t>
      </w:r>
      <w:r>
        <w:rPr>
          <w:sz w:val="21"/>
        </w:rPr>
        <w:t xml:space="preserve"> .................................       </w:t>
      </w:r>
      <w:r>
        <w:rPr>
          <w:color w:val="BFBFBF"/>
          <w:sz w:val="21"/>
          <w:shd w:val="clear" w:color="auto" w:fill="C0C0C0"/>
        </w:rPr>
        <w:t xml:space="preserve">220 </w:t>
      </w:r>
      <w:r>
        <w:rPr>
          <w:color w:val="BFBFBF"/>
          <w:sz w:val="21"/>
          <w:shd w:val="clear" w:color="auto" w:fill="C0C0C0"/>
        </w:rPr>
        <w:t>Kč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3"/>
        <w:spacing w:after="0" w:line="259" w:lineRule="auto"/>
        <w:ind w:left="703"/>
      </w:pPr>
      <w:r>
        <w:rPr>
          <w:sz w:val="21"/>
        </w:rPr>
        <w:t>Celkové roční pojistné před úpravou</w:t>
      </w:r>
      <w:r>
        <w:rPr>
          <w:sz w:val="21"/>
        </w:rPr>
        <w:t xml:space="preserve">  ..................................................................    </w:t>
      </w:r>
      <w:r>
        <w:rPr>
          <w:color w:val="BFBFBF"/>
          <w:sz w:val="21"/>
          <w:shd w:val="clear" w:color="auto" w:fill="C0C0C0"/>
        </w:rPr>
        <w:t>82 636 K</w:t>
      </w:r>
      <w:r>
        <w:rPr>
          <w:color w:val="BFBFBF"/>
          <w:sz w:val="21"/>
          <w:shd w:val="clear" w:color="auto" w:fill="C0C0C0"/>
        </w:rPr>
        <w:t>č</w:t>
      </w:r>
      <w:r>
        <w:rPr>
          <w:b w:val="0"/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3"/>
        <w:ind w:left="703" w:right="55"/>
      </w:pPr>
      <w:r>
        <w:rPr>
          <w:b/>
          <w:sz w:val="21"/>
        </w:rPr>
        <w:t>S</w:t>
      </w:r>
      <w:r>
        <w:rPr>
          <w:b/>
          <w:sz w:val="21"/>
        </w:rPr>
        <w:t xml:space="preserve">jednává se běžné pojistné s pojistným obdobím 12 měsíců. 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1" w:line="247" w:lineRule="auto"/>
        <w:ind w:left="703" w:right="0"/>
        <w:jc w:val="left"/>
      </w:pPr>
      <w:r>
        <w:rPr>
          <w:b/>
          <w:sz w:val="21"/>
        </w:rPr>
        <w:t xml:space="preserve">Obchodní sleva </w:t>
      </w:r>
      <w:r>
        <w:rPr>
          <w:sz w:val="21"/>
        </w:rPr>
        <w:t xml:space="preserve"> ........................................................................................... ...................... </w:t>
      </w:r>
      <w:r>
        <w:rPr>
          <w:color w:val="BFBFBF"/>
          <w:sz w:val="21"/>
          <w:shd w:val="clear" w:color="auto" w:fill="C0C0C0"/>
        </w:rPr>
        <w:t>30 %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3"/>
        <w:spacing w:after="0" w:line="259" w:lineRule="auto"/>
        <w:ind w:left="703"/>
      </w:pPr>
      <w:r>
        <w:rPr>
          <w:sz w:val="21"/>
        </w:rPr>
        <w:t>Ce</w:t>
      </w:r>
      <w:r>
        <w:rPr>
          <w:sz w:val="21"/>
        </w:rPr>
        <w:t xml:space="preserve">lkové roční pojistné po úpravě </w:t>
      </w:r>
      <w:r>
        <w:rPr>
          <w:sz w:val="21"/>
        </w:rPr>
        <w:t xml:space="preserve"> ......................</w:t>
      </w:r>
      <w:r>
        <w:rPr>
          <w:sz w:val="21"/>
        </w:rPr>
        <w:t xml:space="preserve">...................................................  57 845 </w:t>
      </w:r>
      <w:r>
        <w:rPr>
          <w:sz w:val="21"/>
        </w:rPr>
        <w:t>Kč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P</w:t>
      </w:r>
      <w:r>
        <w:rPr>
          <w:sz w:val="21"/>
        </w:rPr>
        <w:t>ojistné za pojistné období je splatné vždy</w:t>
      </w:r>
      <w:r>
        <w:rPr>
          <w:sz w:val="21"/>
        </w:rPr>
        <w:t xml:space="preserve"> </w:t>
      </w:r>
      <w:r>
        <w:rPr>
          <w:sz w:val="21"/>
        </w:rPr>
        <w:t xml:space="preserve">25. 2. na níže uvedený účet </w:t>
      </w:r>
      <w:r>
        <w:rPr>
          <w:sz w:val="21"/>
        </w:rPr>
        <w:t>Pojistitele:</w:t>
      </w:r>
      <w:r>
        <w:rPr>
          <w:b/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Peněžní úst</w:t>
      </w:r>
      <w:r>
        <w:rPr>
          <w:sz w:val="21"/>
        </w:rPr>
        <w:t xml:space="preserve">av:  </w:t>
      </w:r>
      <w:r>
        <w:rPr>
          <w:sz w:val="21"/>
        </w:rPr>
        <w:t>Československá obchodní bank</w:t>
      </w:r>
      <w:r>
        <w:rPr>
          <w:sz w:val="21"/>
        </w:rPr>
        <w:t xml:space="preserve">a, a.s.  </w:t>
      </w:r>
    </w:p>
    <w:p w:rsidR="00FD24EB" w:rsidRDefault="001905E1">
      <w:pPr>
        <w:tabs>
          <w:tab w:val="center" w:pos="1744"/>
          <w:tab w:val="center" w:pos="3401"/>
        </w:tabs>
        <w:spacing w:after="14" w:line="24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 xml:space="preserve">Číslo účtu: </w:t>
      </w:r>
      <w:r>
        <w:rPr>
          <w:sz w:val="21"/>
        </w:rPr>
        <w:t xml:space="preserve">135227624 </w:t>
      </w:r>
      <w:r>
        <w:rPr>
          <w:sz w:val="21"/>
        </w:rPr>
        <w:tab/>
        <w:t xml:space="preserve"> </w:t>
      </w:r>
    </w:p>
    <w:tbl>
      <w:tblPr>
        <w:tblStyle w:val="TableGrid"/>
        <w:tblW w:w="6397" w:type="dxa"/>
        <w:tblInd w:w="7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704"/>
      </w:tblGrid>
      <w:tr w:rsidR="00FD24EB">
        <w:trPr>
          <w:trHeight w:val="2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Kód banky</w:t>
            </w:r>
            <w:r>
              <w:rPr>
                <w:sz w:val="21"/>
              </w:rPr>
              <w:t xml:space="preserve">: 0300 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D24EB">
        <w:trPr>
          <w:trHeight w:val="25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Konstantní sy</w:t>
            </w:r>
            <w:r>
              <w:rPr>
                <w:sz w:val="21"/>
              </w:rPr>
              <w:t xml:space="preserve">mbol: 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D24EB">
        <w:trPr>
          <w:trHeight w:val="2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24EB" w:rsidRDefault="001905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V</w:t>
            </w:r>
            <w:r>
              <w:rPr>
                <w:sz w:val="21"/>
              </w:rPr>
              <w:t xml:space="preserve">ariabilní symbol: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FD24EB" w:rsidRDefault="001905E1">
            <w:pPr>
              <w:spacing w:after="0" w:line="259" w:lineRule="auto"/>
              <w:ind w:left="0" w:right="0" w:firstLine="0"/>
            </w:pPr>
            <w:r>
              <w:rPr>
                <w:b/>
                <w:color w:val="BFBFBF"/>
                <w:sz w:val="21"/>
                <w:shd w:val="clear" w:color="auto" w:fill="C0C0C0"/>
              </w:rPr>
              <w:t>3002200038</w:t>
            </w:r>
            <w:r>
              <w:rPr>
                <w:sz w:val="21"/>
              </w:rPr>
              <w:t xml:space="preserve"> (</w:t>
            </w:r>
            <w:r>
              <w:rPr>
                <w:sz w:val="22"/>
              </w:rPr>
              <w:t>číslo pojistné smlouvy)</w:t>
            </w:r>
            <w:r>
              <w:rPr>
                <w:sz w:val="22"/>
              </w:rPr>
              <w:t xml:space="preserve"> </w:t>
            </w:r>
          </w:p>
        </w:tc>
      </w:tr>
    </w:tbl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  <w:r>
        <w:br w:type="page"/>
      </w:r>
    </w:p>
    <w:p w:rsidR="00FD24EB" w:rsidRDefault="001905E1">
      <w:pPr>
        <w:pStyle w:val="Nadpis3"/>
        <w:spacing w:after="108" w:line="248" w:lineRule="auto"/>
        <w:ind w:left="703" w:right="55"/>
        <w:jc w:val="both"/>
      </w:pPr>
      <w:r>
        <w:rPr>
          <w:sz w:val="21"/>
        </w:rPr>
        <w:lastRenderedPageBreak/>
        <w:t>7.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HLÁŠENÍ ŠKODNÝCH UDÁLOSTÍ</w:t>
      </w:r>
      <w:r>
        <w:rPr>
          <w:sz w:val="21"/>
        </w:rPr>
        <w:t xml:space="preserve"> </w:t>
      </w:r>
    </w:p>
    <w:p w:rsidR="00FD24EB" w:rsidRDefault="001905E1">
      <w:pPr>
        <w:spacing w:after="107" w:line="247" w:lineRule="auto"/>
        <w:ind w:right="55"/>
      </w:pPr>
      <w:r>
        <w:rPr>
          <w:sz w:val="21"/>
        </w:rPr>
        <w:t>Vznik škodné události hlásí pojistník bez zbytečného odkladu na níže uvedené k</w:t>
      </w:r>
      <w:r>
        <w:rPr>
          <w:sz w:val="21"/>
        </w:rPr>
        <w:t>o</w:t>
      </w:r>
      <w:r>
        <w:rPr>
          <w:sz w:val="21"/>
        </w:rPr>
        <w:t>ntaktní údaje:</w:t>
      </w:r>
      <w:r>
        <w:rPr>
          <w:sz w:val="21"/>
        </w:rPr>
        <w:t xml:space="preserve"> </w:t>
      </w:r>
    </w:p>
    <w:p w:rsidR="00FD24EB" w:rsidRDefault="001905E1">
      <w:pPr>
        <w:spacing w:after="66"/>
        <w:ind w:left="703" w:right="55"/>
      </w:pPr>
      <w:r>
        <w:rPr>
          <w:b/>
          <w:sz w:val="21"/>
        </w:rPr>
        <w:t xml:space="preserve">MAXIMA pojišťovna, a.s. </w:t>
      </w:r>
    </w:p>
    <w:p w:rsidR="00FD24EB" w:rsidRDefault="001905E1">
      <w:pPr>
        <w:spacing w:after="45" w:line="247" w:lineRule="auto"/>
        <w:ind w:right="55"/>
      </w:pPr>
      <w:r>
        <w:rPr>
          <w:sz w:val="21"/>
        </w:rPr>
        <w:t>Odbor likvidace pojistných událostí</w:t>
      </w:r>
      <w:r>
        <w:rPr>
          <w:sz w:val="21"/>
        </w:rPr>
        <w:t xml:space="preserve"> </w:t>
      </w:r>
    </w:p>
    <w:p w:rsidR="00FD24EB" w:rsidRDefault="001905E1">
      <w:pPr>
        <w:spacing w:after="47" w:line="247" w:lineRule="auto"/>
        <w:ind w:right="55"/>
      </w:pPr>
      <w:r>
        <w:rPr>
          <w:sz w:val="21"/>
        </w:rPr>
        <w:t>Italská 1583/2</w:t>
      </w:r>
      <w:r>
        <w:rPr>
          <w:sz w:val="21"/>
        </w:rPr>
        <w:t xml:space="preserve">4  </w:t>
      </w:r>
    </w:p>
    <w:p w:rsidR="00FD24EB" w:rsidRDefault="001905E1">
      <w:pPr>
        <w:spacing w:after="47" w:line="247" w:lineRule="auto"/>
        <w:ind w:left="703" w:right="0"/>
        <w:jc w:val="left"/>
      </w:pPr>
      <w:r>
        <w:rPr>
          <w:sz w:val="21"/>
        </w:rPr>
        <w:t xml:space="preserve">120 00 Praha 2  </w:t>
      </w:r>
    </w:p>
    <w:p w:rsidR="00FD24EB" w:rsidRDefault="001905E1">
      <w:pPr>
        <w:spacing w:after="45" w:line="247" w:lineRule="auto"/>
        <w:ind w:right="55"/>
      </w:pPr>
      <w:r>
        <w:rPr>
          <w:sz w:val="21"/>
        </w:rPr>
        <w:t>Česká republika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3" w:right="0"/>
        <w:jc w:val="left"/>
      </w:pPr>
      <w:r>
        <w:rPr>
          <w:sz w:val="21"/>
        </w:rPr>
        <w:t xml:space="preserve">nebo na e-mail: </w:t>
      </w:r>
      <w:r>
        <w:rPr>
          <w:b/>
          <w:sz w:val="21"/>
        </w:rPr>
        <w:t xml:space="preserve">lpu@maxima-as.cz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4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pStyle w:val="Nadpis3"/>
        <w:spacing w:after="108" w:line="248" w:lineRule="auto"/>
        <w:ind w:left="703" w:right="55"/>
        <w:jc w:val="both"/>
      </w:pPr>
      <w:r>
        <w:rPr>
          <w:sz w:val="21"/>
        </w:rPr>
        <w:t>8.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ZÁVĚREČNÁ</w:t>
      </w:r>
      <w:r>
        <w:rPr>
          <w:sz w:val="21"/>
        </w:rPr>
        <w:t xml:space="preserve"> </w:t>
      </w:r>
      <w:r>
        <w:rPr>
          <w:sz w:val="21"/>
        </w:rPr>
        <w:t>USTANOVENÍ</w:t>
      </w: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Pojistník prohlašuje, že před sjednáním pojistné smlouvy b</w:t>
      </w:r>
      <w:r>
        <w:rPr>
          <w:sz w:val="21"/>
        </w:rPr>
        <w:t>yl sezn</w:t>
      </w:r>
      <w:r>
        <w:rPr>
          <w:sz w:val="21"/>
        </w:rPr>
        <w:t xml:space="preserve">ámen </w:t>
      </w:r>
      <w:r>
        <w:rPr>
          <w:sz w:val="21"/>
        </w:rPr>
        <w:t>se z</w:t>
      </w:r>
      <w:r>
        <w:rPr>
          <w:sz w:val="21"/>
        </w:rPr>
        <w:t>něním Všeobecných pojistných podmínek</w:t>
      </w:r>
      <w:r>
        <w:rPr>
          <w:sz w:val="21"/>
        </w:rPr>
        <w:t xml:space="preserve"> pro po</w:t>
      </w:r>
      <w:r>
        <w:rPr>
          <w:sz w:val="21"/>
        </w:rPr>
        <w:t xml:space="preserve">jištění podnikatelů </w:t>
      </w:r>
      <w:r>
        <w:rPr>
          <w:sz w:val="21"/>
        </w:rPr>
        <w:t>VPP 300-2 a d</w:t>
      </w:r>
      <w:r>
        <w:rPr>
          <w:sz w:val="21"/>
        </w:rPr>
        <w:t xml:space="preserve">alších pojistných podmínek, vztahujících se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 xml:space="preserve">k </w:t>
      </w:r>
      <w:r>
        <w:rPr>
          <w:sz w:val="21"/>
        </w:rPr>
        <w:t xml:space="preserve">pojištění dle této </w:t>
      </w:r>
      <w:r>
        <w:rPr>
          <w:sz w:val="21"/>
        </w:rPr>
        <w:t xml:space="preserve">smlouvy </w:t>
      </w:r>
      <w:r>
        <w:rPr>
          <w:sz w:val="21"/>
        </w:rPr>
        <w:t>a že tyto podmínky od pojistitele převzal sp</w:t>
      </w:r>
      <w:r>
        <w:rPr>
          <w:sz w:val="21"/>
        </w:rPr>
        <w:t>olu  s pojist</w:t>
      </w:r>
      <w:r>
        <w:rPr>
          <w:sz w:val="21"/>
        </w:rPr>
        <w:t>nou smlouvou. Pojistník dále prohlašuje,</w:t>
      </w:r>
      <w:r>
        <w:rPr>
          <w:sz w:val="21"/>
        </w:rPr>
        <w:t xml:space="preserve"> </w:t>
      </w:r>
      <w:r>
        <w:rPr>
          <w:sz w:val="21"/>
        </w:rPr>
        <w:t>že mu b</w:t>
      </w:r>
      <w:r>
        <w:rPr>
          <w:sz w:val="21"/>
        </w:rPr>
        <w:t>yly oznámeny informace v</w:t>
      </w:r>
      <w:r>
        <w:rPr>
          <w:sz w:val="21"/>
        </w:rPr>
        <w:t xml:space="preserve"> souladu s ustano</w:t>
      </w:r>
      <w:r>
        <w:rPr>
          <w:sz w:val="21"/>
        </w:rPr>
        <w:t>vením § 2760 zák. č. 89/2012 Sb. občanského zákoníku.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b/>
          <w:sz w:val="21"/>
        </w:rPr>
        <w:t xml:space="preserve"> </w:t>
      </w:r>
    </w:p>
    <w:p w:rsidR="00FD24EB" w:rsidRDefault="001905E1">
      <w:pPr>
        <w:spacing w:after="111"/>
        <w:ind w:left="703" w:right="55"/>
      </w:pPr>
      <w:r>
        <w:rPr>
          <w:b/>
          <w:sz w:val="21"/>
        </w:rPr>
        <w:t>Pojistník prohlašuje: pojistitel mi vysvětlil obsah pojištění a práva a povinnosti z něj plynoucí. Prohlašuji, že neexistuje rozpor mezi mými požadavky na poj</w:t>
      </w:r>
      <w:r>
        <w:rPr>
          <w:b/>
          <w:sz w:val="21"/>
        </w:rPr>
        <w:t xml:space="preserve">ištění a tímto nabízeným pojištěním. Pojištění obsahuje krytí pojistných nebezpečí, které chci chránit; výluky z pojistného krytí jsem přečetl/a, porozuměl/a jejich obsahu a beru je na vědomí.  </w:t>
      </w:r>
    </w:p>
    <w:p w:rsidR="00FD24EB" w:rsidRDefault="001905E1">
      <w:pPr>
        <w:spacing w:after="112" w:line="247" w:lineRule="auto"/>
        <w:ind w:right="55"/>
      </w:pPr>
      <w:r>
        <w:rPr>
          <w:sz w:val="21"/>
        </w:rPr>
        <w:t>Poj</w:t>
      </w:r>
      <w:r>
        <w:rPr>
          <w:sz w:val="21"/>
        </w:rPr>
        <w:t>istník prohlašuje, že odpověděl na všechny dot</w:t>
      </w:r>
      <w:r>
        <w:rPr>
          <w:sz w:val="21"/>
        </w:rPr>
        <w:t>azy pojistit</w:t>
      </w:r>
      <w:r>
        <w:rPr>
          <w:sz w:val="21"/>
        </w:rPr>
        <w:t xml:space="preserve">ele </w:t>
      </w:r>
      <w:r>
        <w:rPr>
          <w:sz w:val="21"/>
        </w:rPr>
        <w:t xml:space="preserve">úplně a pravdivě a je si vědom následků </w:t>
      </w:r>
      <w:r>
        <w:rPr>
          <w:sz w:val="21"/>
        </w:rPr>
        <w:t>nepr</w:t>
      </w:r>
      <w:r>
        <w:rPr>
          <w:sz w:val="21"/>
        </w:rPr>
        <w:t>avdivých či neúplných informací. Pojistník prohlašuje, že mu byl</w:t>
      </w:r>
      <w:r>
        <w:rPr>
          <w:sz w:val="21"/>
        </w:rPr>
        <w:t xml:space="preserve">y poskytnuty </w:t>
      </w:r>
      <w:r>
        <w:rPr>
          <w:sz w:val="21"/>
        </w:rPr>
        <w:t xml:space="preserve">veškeré </w:t>
      </w:r>
      <w:r>
        <w:rPr>
          <w:sz w:val="21"/>
        </w:rPr>
        <w:t>informace, kt</w:t>
      </w:r>
      <w:r>
        <w:rPr>
          <w:sz w:val="21"/>
        </w:rPr>
        <w:t xml:space="preserve">eré žádal před sjednáním pojistné smlouvy. </w:t>
      </w: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Pokud ta</w:t>
      </w:r>
      <w:r>
        <w:rPr>
          <w:sz w:val="21"/>
        </w:rPr>
        <w:t>to pojistná s</w:t>
      </w:r>
      <w:r>
        <w:rPr>
          <w:sz w:val="21"/>
        </w:rPr>
        <w:t xml:space="preserve">mlouva, resp. dodatek k </w:t>
      </w:r>
      <w:r>
        <w:rPr>
          <w:sz w:val="21"/>
        </w:rPr>
        <w:t>pojistné smlouvě</w:t>
      </w:r>
      <w:r>
        <w:rPr>
          <w:sz w:val="21"/>
        </w:rPr>
        <w:t xml:space="preserve"> </w:t>
      </w:r>
      <w:r>
        <w:rPr>
          <w:sz w:val="21"/>
        </w:rPr>
        <w:t>(dá</w:t>
      </w:r>
      <w:r>
        <w:rPr>
          <w:sz w:val="21"/>
        </w:rPr>
        <w:t>le jen „smlouva“) podléhá povinnosti uveřejnění v</w:t>
      </w:r>
      <w:r>
        <w:rPr>
          <w:sz w:val="21"/>
        </w:rPr>
        <w:t xml:space="preserve"> registru smluv </w:t>
      </w:r>
      <w:r>
        <w:rPr>
          <w:sz w:val="21"/>
        </w:rPr>
        <w:t>(dále jen „registr“) ve smyslu zákona č. 340/201</w:t>
      </w:r>
      <w:r>
        <w:rPr>
          <w:sz w:val="21"/>
        </w:rPr>
        <w:t>5 Sb., zavazu</w:t>
      </w:r>
      <w:r>
        <w:rPr>
          <w:sz w:val="21"/>
        </w:rPr>
        <w:t xml:space="preserve">je se pojistník </w:t>
      </w:r>
      <w:r>
        <w:rPr>
          <w:sz w:val="21"/>
        </w:rPr>
        <w:t>k jej</w:t>
      </w:r>
      <w:r>
        <w:rPr>
          <w:sz w:val="21"/>
        </w:rPr>
        <w:t xml:space="preserve">ímu uveřejnění v rozsahu, způsobem a ve lhůtách stanovených citovaným zákonem. To nezbavuje </w:t>
      </w:r>
      <w:r>
        <w:rPr>
          <w:sz w:val="21"/>
        </w:rPr>
        <w:t>pojistitele p</w:t>
      </w:r>
      <w:r>
        <w:rPr>
          <w:sz w:val="21"/>
        </w:rPr>
        <w:t>ráva</w:t>
      </w:r>
      <w:r>
        <w:rPr>
          <w:sz w:val="21"/>
        </w:rPr>
        <w:t>, aby</w:t>
      </w:r>
      <w:r>
        <w:rPr>
          <w:sz w:val="21"/>
        </w:rPr>
        <w:t xml:space="preserve"> </w:t>
      </w:r>
      <w:r>
        <w:rPr>
          <w:sz w:val="21"/>
        </w:rPr>
        <w:t xml:space="preserve">smlouvu uveřejnil v registru sám, s čímž pojistník souhlasí. Pokud je pojistník </w:t>
      </w:r>
    </w:p>
    <w:p w:rsidR="00FD24EB" w:rsidRDefault="001905E1">
      <w:pPr>
        <w:tabs>
          <w:tab w:val="center" w:pos="1029"/>
          <w:tab w:val="center" w:pos="1931"/>
          <w:tab w:val="center" w:pos="3079"/>
          <w:tab w:val="center" w:pos="4498"/>
          <w:tab w:val="center" w:pos="5541"/>
          <w:tab w:val="center" w:pos="6661"/>
          <w:tab w:val="center" w:pos="7692"/>
          <w:tab w:val="center" w:pos="8675"/>
          <w:tab w:val="right" w:pos="10419"/>
        </w:tabs>
        <w:spacing w:after="14" w:line="24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 xml:space="preserve">odlišný </w:t>
      </w:r>
      <w:r>
        <w:rPr>
          <w:sz w:val="21"/>
        </w:rPr>
        <w:tab/>
        <w:t xml:space="preserve">od </w:t>
      </w:r>
      <w:r>
        <w:rPr>
          <w:sz w:val="21"/>
        </w:rPr>
        <w:tab/>
        <w:t xml:space="preserve">pojištěného, </w:t>
      </w:r>
      <w:r>
        <w:rPr>
          <w:sz w:val="21"/>
        </w:rPr>
        <w:tab/>
        <w:t xml:space="preserve">pojistník </w:t>
      </w:r>
      <w:r>
        <w:rPr>
          <w:sz w:val="21"/>
        </w:rPr>
        <w:tab/>
        <w:t xml:space="preserve">dále </w:t>
      </w:r>
      <w:r>
        <w:rPr>
          <w:sz w:val="21"/>
        </w:rPr>
        <w:tab/>
        <w:t xml:space="preserve">potvrzuje, </w:t>
      </w:r>
      <w:r>
        <w:rPr>
          <w:sz w:val="21"/>
        </w:rPr>
        <w:tab/>
        <w:t xml:space="preserve">že </w:t>
      </w:r>
      <w:r>
        <w:rPr>
          <w:sz w:val="21"/>
        </w:rPr>
        <w:tab/>
        <w:t xml:space="preserve">pojištěný </w:t>
      </w:r>
      <w:r>
        <w:rPr>
          <w:sz w:val="21"/>
        </w:rPr>
        <w:tab/>
        <w:t>souhla</w:t>
      </w:r>
      <w:r>
        <w:rPr>
          <w:sz w:val="21"/>
        </w:rPr>
        <w:t xml:space="preserve">sil 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s uveřejněním smlouvy. Při vyplnění formuláře pro uveřejnění smlouvy v registru je po</w:t>
      </w:r>
      <w:r>
        <w:rPr>
          <w:sz w:val="21"/>
        </w:rPr>
        <w:t>jistník</w:t>
      </w:r>
      <w:r>
        <w:rPr>
          <w:sz w:val="21"/>
        </w:rPr>
        <w:t xml:space="preserve"> povinen </w:t>
      </w:r>
      <w:r>
        <w:rPr>
          <w:sz w:val="21"/>
        </w:rPr>
        <w:t xml:space="preserve">vyplnit údaje o pojistiteli (jako smluvní straně), do pole „Datová schránka“ uvést: </w:t>
      </w:r>
      <w:r>
        <w:rPr>
          <w:sz w:val="21"/>
        </w:rPr>
        <w:t xml:space="preserve">q23e43v a do pole </w:t>
      </w:r>
      <w:r>
        <w:rPr>
          <w:sz w:val="21"/>
        </w:rPr>
        <w:t>„Číslo</w:t>
      </w:r>
      <w:r>
        <w:rPr>
          <w:sz w:val="21"/>
        </w:rPr>
        <w:t xml:space="preserve"> </w:t>
      </w:r>
      <w:r>
        <w:rPr>
          <w:sz w:val="21"/>
        </w:rPr>
        <w:t>smlouvy“ uvé</w:t>
      </w:r>
      <w:r>
        <w:rPr>
          <w:sz w:val="21"/>
        </w:rPr>
        <w:t xml:space="preserve">st </w:t>
      </w:r>
      <w:r>
        <w:rPr>
          <w:sz w:val="21"/>
        </w:rPr>
        <w:t>číslo této pojistné smlouv</w:t>
      </w:r>
      <w:r>
        <w:rPr>
          <w:sz w:val="21"/>
        </w:rPr>
        <w:t xml:space="preserve">y.    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 xml:space="preserve">Pojistník se dále zavazuje, že před zasláním smlouvy k uveřejnění zajistí znečitelnění neuveřejnitelných informací (např. osobních údajů o </w:t>
      </w:r>
      <w:r>
        <w:rPr>
          <w:sz w:val="21"/>
        </w:rPr>
        <w:t>fyzi</w:t>
      </w:r>
      <w:r>
        <w:rPr>
          <w:sz w:val="21"/>
        </w:rPr>
        <w:t>ckých osobách).</w:t>
      </w:r>
      <w:r>
        <w:rPr>
          <w:sz w:val="21"/>
        </w:rPr>
        <w:t xml:space="preserve"> 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Smluvní strany se dohodly, že ode dne nabytí úč</w:t>
      </w:r>
      <w:r>
        <w:rPr>
          <w:sz w:val="21"/>
        </w:rPr>
        <w:t>innosti smlou</w:t>
      </w:r>
      <w:r>
        <w:rPr>
          <w:sz w:val="21"/>
        </w:rPr>
        <w:t xml:space="preserve">vy jejím zveřejněním </w:t>
      </w:r>
      <w:r>
        <w:rPr>
          <w:sz w:val="21"/>
        </w:rPr>
        <w:t>v regist</w:t>
      </w:r>
      <w:r>
        <w:rPr>
          <w:sz w:val="21"/>
        </w:rPr>
        <w:t xml:space="preserve">ru se </w:t>
      </w:r>
      <w:r>
        <w:rPr>
          <w:sz w:val="21"/>
        </w:rPr>
        <w:t>účinky pojištění, včetně práv a povinností z něj vyplývajících, vztahují i na období</w:t>
      </w:r>
      <w:r>
        <w:rPr>
          <w:sz w:val="21"/>
        </w:rPr>
        <w:t xml:space="preserve"> od dat</w:t>
      </w:r>
      <w:r>
        <w:rPr>
          <w:sz w:val="21"/>
        </w:rPr>
        <w:t>a uvedené</w:t>
      </w:r>
      <w:r>
        <w:rPr>
          <w:sz w:val="21"/>
        </w:rPr>
        <w:t xml:space="preserve">ho jako </w:t>
      </w:r>
      <w:r>
        <w:rPr>
          <w:sz w:val="21"/>
        </w:rPr>
        <w:t>počátek pojištění (resp. od data</w:t>
      </w:r>
      <w:r>
        <w:rPr>
          <w:sz w:val="21"/>
        </w:rPr>
        <w:t xml:space="preserve"> uve</w:t>
      </w:r>
      <w:r>
        <w:rPr>
          <w:sz w:val="21"/>
        </w:rPr>
        <w:t>deného jako počátek změn provedených dodatkem, jde</w:t>
      </w:r>
      <w:r>
        <w:rPr>
          <w:sz w:val="21"/>
        </w:rPr>
        <w:t>-</w:t>
      </w:r>
      <w:r>
        <w:rPr>
          <w:sz w:val="21"/>
        </w:rPr>
        <w:t xml:space="preserve">li o účinky </w:t>
      </w:r>
      <w:r>
        <w:rPr>
          <w:sz w:val="21"/>
        </w:rPr>
        <w:t xml:space="preserve">dodatku) do budoucna.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Pojistník bere na vědomí</w:t>
      </w:r>
      <w:r>
        <w:rPr>
          <w:sz w:val="21"/>
        </w:rPr>
        <w:t>, že jeho osobní</w:t>
      </w:r>
      <w:r>
        <w:rPr>
          <w:sz w:val="21"/>
        </w:rPr>
        <w:t xml:space="preserve"> </w:t>
      </w:r>
      <w:r>
        <w:rPr>
          <w:sz w:val="21"/>
        </w:rPr>
        <w:t>údaje jsou zpracovány p</w:t>
      </w:r>
      <w:r>
        <w:rPr>
          <w:sz w:val="21"/>
        </w:rPr>
        <w:t xml:space="preserve">ojistitelem i </w:t>
      </w:r>
      <w:r>
        <w:rPr>
          <w:sz w:val="21"/>
        </w:rPr>
        <w:t xml:space="preserve">jeho smluvními </w:t>
      </w:r>
      <w:r>
        <w:rPr>
          <w:sz w:val="21"/>
        </w:rPr>
        <w:t xml:space="preserve">zpracovateli. Pojistitel </w:t>
      </w:r>
      <w:r>
        <w:rPr>
          <w:sz w:val="21"/>
        </w:rPr>
        <w:t>má postavení správce osobních údajů. Pojistitel i jím pověření zpracovatelé mohou osobní údaje zpracovávat v</w:t>
      </w:r>
      <w:r>
        <w:rPr>
          <w:sz w:val="21"/>
        </w:rPr>
        <w:t xml:space="preserve"> rozsahu </w:t>
      </w:r>
      <w:r>
        <w:rPr>
          <w:sz w:val="21"/>
        </w:rPr>
        <w:t>nezbytném k</w:t>
      </w:r>
      <w:r>
        <w:rPr>
          <w:sz w:val="21"/>
        </w:rPr>
        <w:t xml:space="preserve"> </w:t>
      </w:r>
      <w:r>
        <w:rPr>
          <w:sz w:val="21"/>
        </w:rPr>
        <w:t>řádnému plnění povinností poj</w:t>
      </w:r>
      <w:r>
        <w:rPr>
          <w:sz w:val="21"/>
        </w:rPr>
        <w:t>isti</w:t>
      </w:r>
      <w:r>
        <w:rPr>
          <w:sz w:val="21"/>
        </w:rPr>
        <w:t xml:space="preserve">tele </w:t>
      </w:r>
      <w:r>
        <w:rPr>
          <w:sz w:val="21"/>
        </w:rPr>
        <w:t>stanovených</w:t>
      </w:r>
      <w:r>
        <w:rPr>
          <w:sz w:val="21"/>
        </w:rPr>
        <w:t xml:space="preserve"> v </w:t>
      </w:r>
      <w:r>
        <w:rPr>
          <w:sz w:val="21"/>
        </w:rPr>
        <w:t>pojistných podmínkách</w:t>
      </w:r>
      <w:r>
        <w:rPr>
          <w:sz w:val="21"/>
        </w:rPr>
        <w:t xml:space="preserve"> </w:t>
      </w:r>
      <w:r>
        <w:rPr>
          <w:sz w:val="21"/>
        </w:rPr>
        <w:t>a právních předpisech (např. zákona o archivnictví, zákona pr</w:t>
      </w:r>
      <w:r>
        <w:rPr>
          <w:sz w:val="21"/>
        </w:rPr>
        <w:t xml:space="preserve">oti </w:t>
      </w:r>
      <w:r>
        <w:rPr>
          <w:sz w:val="21"/>
        </w:rPr>
        <w:t>legalizaci výnosů z</w:t>
      </w:r>
      <w:r>
        <w:rPr>
          <w:sz w:val="21"/>
        </w:rPr>
        <w:t xml:space="preserve"> </w:t>
      </w:r>
      <w:r>
        <w:rPr>
          <w:sz w:val="21"/>
        </w:rPr>
        <w:t xml:space="preserve">trestné činnosti, účetních či daňových předpisů apod.) Pojišťovna je oprávněna </w:t>
      </w:r>
      <w:r>
        <w:rPr>
          <w:sz w:val="21"/>
        </w:rPr>
        <w:t>zprac</w:t>
      </w:r>
      <w:r>
        <w:rPr>
          <w:sz w:val="21"/>
        </w:rPr>
        <w:t>ovávat osobní</w:t>
      </w:r>
      <w:r>
        <w:rPr>
          <w:sz w:val="21"/>
        </w:rPr>
        <w:t xml:space="preserve"> </w:t>
      </w:r>
      <w:r>
        <w:rPr>
          <w:sz w:val="21"/>
        </w:rPr>
        <w:t>údaje pojištěných po</w:t>
      </w:r>
      <w:r>
        <w:rPr>
          <w:sz w:val="21"/>
        </w:rPr>
        <w:t xml:space="preserve"> dobu vy</w:t>
      </w:r>
      <w:r>
        <w:rPr>
          <w:sz w:val="21"/>
        </w:rPr>
        <w:t>plýv</w:t>
      </w:r>
      <w:r>
        <w:rPr>
          <w:sz w:val="21"/>
        </w:rPr>
        <w:t>ající z</w:t>
      </w:r>
      <w:r>
        <w:rPr>
          <w:sz w:val="21"/>
        </w:rPr>
        <w:t xml:space="preserve"> </w:t>
      </w:r>
      <w:r>
        <w:rPr>
          <w:sz w:val="21"/>
        </w:rPr>
        <w:t>právních</w:t>
      </w:r>
      <w:r>
        <w:rPr>
          <w:sz w:val="21"/>
        </w:rPr>
        <w:t xml:space="preserve"> </w:t>
      </w:r>
      <w:r>
        <w:rPr>
          <w:sz w:val="21"/>
        </w:rPr>
        <w:t>předpisů a dále po dobu</w:t>
      </w:r>
      <w:r>
        <w:rPr>
          <w:sz w:val="21"/>
        </w:rPr>
        <w:t xml:space="preserve"> </w:t>
      </w:r>
      <w:r>
        <w:rPr>
          <w:sz w:val="21"/>
        </w:rPr>
        <w:t xml:space="preserve">trvání pojištění a následujících </w:t>
      </w:r>
      <w:r>
        <w:rPr>
          <w:sz w:val="21"/>
        </w:rPr>
        <w:t>deseti (10) let od jeho ukon</w:t>
      </w:r>
      <w:r>
        <w:rPr>
          <w:sz w:val="21"/>
        </w:rPr>
        <w:t>čení, a přetrvávají</w:t>
      </w:r>
      <w:r>
        <w:rPr>
          <w:sz w:val="21"/>
        </w:rPr>
        <w:t>-</w:t>
      </w:r>
      <w:r>
        <w:rPr>
          <w:sz w:val="21"/>
        </w:rPr>
        <w:t>li i po uplynutí tét</w:t>
      </w:r>
      <w:r>
        <w:rPr>
          <w:sz w:val="21"/>
        </w:rPr>
        <w:t>o doby ne</w:t>
      </w:r>
      <w:r>
        <w:rPr>
          <w:sz w:val="21"/>
        </w:rPr>
        <w:t>vypořádané nároky (byť sporné) vzniklé v</w:t>
      </w:r>
      <w:r>
        <w:rPr>
          <w:sz w:val="21"/>
        </w:rPr>
        <w:t xml:space="preserve"> souvislosti s poji</w:t>
      </w:r>
      <w:r>
        <w:rPr>
          <w:sz w:val="21"/>
        </w:rPr>
        <w:t>štěním, pak až do jejich vypořádání.</w:t>
      </w:r>
      <w:r>
        <w:rPr>
          <w:sz w:val="21"/>
        </w:rPr>
        <w:t xml:space="preserve"> Subje</w:t>
      </w:r>
      <w:r>
        <w:rPr>
          <w:sz w:val="21"/>
        </w:rPr>
        <w:t>kt ú</w:t>
      </w:r>
      <w:r>
        <w:rPr>
          <w:sz w:val="21"/>
        </w:rPr>
        <w:t>dajů má právo požádat pojišťovnu o informaci o zpracování svých osobních údajů, o přís</w:t>
      </w:r>
      <w:r>
        <w:rPr>
          <w:sz w:val="21"/>
        </w:rPr>
        <w:t>tup k o</w:t>
      </w:r>
      <w:r>
        <w:rPr>
          <w:sz w:val="21"/>
        </w:rPr>
        <w:t>sobním údajům, o jejich opravu, o vysvětlení, omezení</w:t>
      </w:r>
      <w:r>
        <w:rPr>
          <w:sz w:val="21"/>
        </w:rPr>
        <w:t xml:space="preserve"> je</w:t>
      </w:r>
      <w:r>
        <w:rPr>
          <w:sz w:val="21"/>
        </w:rPr>
        <w:t>jich zpracování, příp. odstranění stavu, kdy se domnívá, že j</w:t>
      </w:r>
      <w:r>
        <w:rPr>
          <w:sz w:val="21"/>
        </w:rPr>
        <w:t>sou jeho osob</w:t>
      </w:r>
      <w:r>
        <w:rPr>
          <w:sz w:val="21"/>
        </w:rPr>
        <w:t xml:space="preserve">ní informace </w:t>
      </w:r>
      <w:r>
        <w:rPr>
          <w:sz w:val="21"/>
        </w:rPr>
        <w:lastRenderedPageBreak/>
        <w:t>zpracovávány v</w:t>
      </w:r>
      <w:r>
        <w:rPr>
          <w:sz w:val="21"/>
        </w:rPr>
        <w:t xml:space="preserve"> rozpo</w:t>
      </w:r>
      <w:r>
        <w:rPr>
          <w:sz w:val="21"/>
        </w:rPr>
        <w:t xml:space="preserve">ru s touto smlouvou </w:t>
      </w:r>
      <w:r>
        <w:rPr>
          <w:sz w:val="21"/>
        </w:rPr>
        <w:t>nebo zákonem. Bližší</w:t>
      </w:r>
      <w:r>
        <w:rPr>
          <w:sz w:val="21"/>
        </w:rPr>
        <w:t xml:space="preserve"> </w:t>
      </w:r>
      <w:r>
        <w:rPr>
          <w:sz w:val="21"/>
        </w:rPr>
        <w:t>údaje o zpracování osobních údajů může subjekt údajů</w:t>
      </w:r>
      <w:r>
        <w:rPr>
          <w:sz w:val="21"/>
        </w:rPr>
        <w:t xml:space="preserve"> </w:t>
      </w:r>
      <w:r>
        <w:rPr>
          <w:sz w:val="21"/>
        </w:rPr>
        <w:t>najít na</w:t>
      </w:r>
      <w:r>
        <w:rPr>
          <w:sz w:val="21"/>
        </w:rPr>
        <w:t xml:space="preserve"> </w:t>
      </w:r>
      <w:r>
        <w:rPr>
          <w:sz w:val="21"/>
        </w:rPr>
        <w:t>http://www.maximapojišťovna.cz/o</w:t>
      </w:r>
      <w:r>
        <w:rPr>
          <w:sz w:val="21"/>
        </w:rPr>
        <w:t>-</w:t>
      </w:r>
      <w:r>
        <w:rPr>
          <w:sz w:val="21"/>
        </w:rPr>
        <w:t>společ</w:t>
      </w:r>
      <w:r>
        <w:rPr>
          <w:sz w:val="21"/>
        </w:rPr>
        <w:t xml:space="preserve">nosti/ochrana-osobnich-udaju.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Subjekt údajů má rovněž právo obracet se na pověřen</w:t>
      </w:r>
      <w:r>
        <w:rPr>
          <w:sz w:val="21"/>
        </w:rPr>
        <w:t>ce pr</w:t>
      </w:r>
      <w:r>
        <w:rPr>
          <w:sz w:val="21"/>
        </w:rPr>
        <w:t>o ochranu osobních údajů</w:t>
      </w:r>
      <w:r>
        <w:rPr>
          <w:sz w:val="21"/>
        </w:rPr>
        <w:t xml:space="preserve"> </w:t>
      </w:r>
      <w:r>
        <w:rPr>
          <w:sz w:val="21"/>
        </w:rPr>
        <w:t>ve všech záležitostech</w:t>
      </w:r>
      <w:r>
        <w:rPr>
          <w:sz w:val="21"/>
        </w:rPr>
        <w:t xml:space="preserve"> </w:t>
      </w:r>
      <w:r>
        <w:rPr>
          <w:sz w:val="21"/>
        </w:rPr>
        <w:t>souvisejících se zpracováním jeho osobních údajů a výkonem jeho práv, a t</w:t>
      </w:r>
      <w:r>
        <w:rPr>
          <w:sz w:val="21"/>
        </w:rPr>
        <w:t xml:space="preserve">o na: dpo@maxima-as.cz.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Pokud se subjekt údajů domnívá, že zpracování jeho osobních údajů je v</w:t>
      </w:r>
      <w:r>
        <w:rPr>
          <w:sz w:val="21"/>
        </w:rPr>
        <w:t xml:space="preserve"> rozporu s </w:t>
      </w:r>
      <w:r>
        <w:rPr>
          <w:sz w:val="21"/>
        </w:rPr>
        <w:t>obecně závaznými právními</w:t>
      </w:r>
      <w:r>
        <w:rPr>
          <w:sz w:val="21"/>
        </w:rPr>
        <w:t xml:space="preserve"> </w:t>
      </w:r>
      <w:r>
        <w:rPr>
          <w:sz w:val="21"/>
        </w:rPr>
        <w:t>předpisy, má právo podat stí</w:t>
      </w:r>
      <w:r>
        <w:rPr>
          <w:sz w:val="21"/>
        </w:rPr>
        <w:t>žnost k</w:t>
      </w:r>
      <w:r>
        <w:rPr>
          <w:sz w:val="21"/>
        </w:rPr>
        <w:t xml:space="preserve"> </w:t>
      </w:r>
      <w:r>
        <w:rPr>
          <w:sz w:val="21"/>
        </w:rPr>
        <w:t>Úřadu pro ochranu osobních údajů, se</w:t>
      </w:r>
      <w:r>
        <w:rPr>
          <w:sz w:val="21"/>
        </w:rPr>
        <w:t xml:space="preserve"> </w:t>
      </w:r>
      <w:r>
        <w:rPr>
          <w:sz w:val="21"/>
        </w:rPr>
        <w:t xml:space="preserve">sídlem Pplk. </w:t>
      </w:r>
      <w:r>
        <w:rPr>
          <w:sz w:val="21"/>
        </w:rPr>
        <w:t xml:space="preserve">Sochora 27, 170 00, Praha 7, e-mail: posta@uoou.cz.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Dále pojistník bere na vědomí, že jeho ú</w:t>
      </w:r>
      <w:r>
        <w:rPr>
          <w:sz w:val="21"/>
        </w:rPr>
        <w:t>daj</w:t>
      </w:r>
      <w:r>
        <w:rPr>
          <w:sz w:val="21"/>
        </w:rPr>
        <w:t xml:space="preserve">e mohou být pojišťovnou zpracovány pro účely marketingu. Právním základem </w:t>
      </w:r>
      <w:r>
        <w:rPr>
          <w:sz w:val="21"/>
        </w:rPr>
        <w:t>pro t</w:t>
      </w:r>
      <w:r>
        <w:rPr>
          <w:sz w:val="21"/>
        </w:rPr>
        <w:t>oto zpracování je opráv</w:t>
      </w:r>
      <w:r>
        <w:rPr>
          <w:sz w:val="21"/>
        </w:rPr>
        <w:t>něný zájem pojišťovny a toto zpracování je nezbytné pro účely</w:t>
      </w:r>
      <w:r>
        <w:rPr>
          <w:sz w:val="21"/>
        </w:rPr>
        <w:t xml:space="preserve"> </w:t>
      </w:r>
      <w:r>
        <w:rPr>
          <w:sz w:val="21"/>
        </w:rPr>
        <w:t>propagace vlastních produktů a služeb. Nepřej</w:t>
      </w:r>
      <w:r>
        <w:rPr>
          <w:sz w:val="21"/>
        </w:rPr>
        <w:t>e-</w:t>
      </w:r>
      <w:r>
        <w:rPr>
          <w:sz w:val="21"/>
        </w:rPr>
        <w:t>li si dostávat marketingové materiály,</w:t>
      </w:r>
      <w:r>
        <w:rPr>
          <w:sz w:val="21"/>
        </w:rPr>
        <w:t xml:space="preserve"> sta</w:t>
      </w:r>
      <w:r>
        <w:rPr>
          <w:sz w:val="21"/>
        </w:rPr>
        <w:t>čí odeslat sdělení</w:t>
      </w:r>
      <w:r>
        <w:rPr>
          <w:sz w:val="21"/>
        </w:rPr>
        <w:t xml:space="preserve"> </w:t>
      </w:r>
      <w:r>
        <w:rPr>
          <w:sz w:val="21"/>
        </w:rPr>
        <w:t>na adresu pojišťovny nebo na info@maxima</w:t>
      </w:r>
      <w:r>
        <w:rPr>
          <w:sz w:val="21"/>
        </w:rPr>
        <w:t>-as.cz.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D24EB" w:rsidRDefault="001905E1">
      <w:pPr>
        <w:spacing w:after="97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12" w:line="247" w:lineRule="auto"/>
        <w:ind w:left="703" w:right="0"/>
        <w:jc w:val="left"/>
      </w:pPr>
      <w:r>
        <w:rPr>
          <w:sz w:val="21"/>
        </w:rPr>
        <w:t xml:space="preserve">Tato smlouva obsahuje </w:t>
      </w:r>
      <w:r>
        <w:rPr>
          <w:b/>
          <w:sz w:val="21"/>
        </w:rPr>
        <w:t>14</w:t>
      </w:r>
      <w:r>
        <w:rPr>
          <w:sz w:val="21"/>
        </w:rPr>
        <w:t xml:space="preserve"> stran(y) t</w:t>
      </w:r>
      <w:r>
        <w:rPr>
          <w:sz w:val="21"/>
        </w:rPr>
        <w:t xml:space="preserve">extu a </w:t>
      </w:r>
      <w:r>
        <w:rPr>
          <w:sz w:val="21"/>
        </w:rPr>
        <w:t>příloh</w:t>
      </w:r>
      <w:r>
        <w:rPr>
          <w:sz w:val="21"/>
        </w:rPr>
        <w:t xml:space="preserve">(y). Smlouva je vyhotovena ve 3 stejnopisech, z </w:t>
      </w:r>
      <w:r>
        <w:rPr>
          <w:sz w:val="21"/>
        </w:rPr>
        <w:t>nichž po jednom obdrží pojistník, pojis</w:t>
      </w:r>
      <w:r>
        <w:rPr>
          <w:sz w:val="21"/>
        </w:rPr>
        <w:t>titel a m</w:t>
      </w:r>
      <w:r>
        <w:rPr>
          <w:sz w:val="21"/>
        </w:rPr>
        <w:t>akléřská</w:t>
      </w:r>
      <w:r>
        <w:rPr>
          <w:sz w:val="21"/>
        </w:rPr>
        <w:t xml:space="preserve"> spo</w:t>
      </w:r>
      <w:r>
        <w:rPr>
          <w:sz w:val="21"/>
        </w:rPr>
        <w:t>leč</w:t>
      </w:r>
      <w:r>
        <w:rPr>
          <w:sz w:val="21"/>
        </w:rPr>
        <w:t xml:space="preserve">nost. </w:t>
      </w:r>
    </w:p>
    <w:p w:rsidR="00FD24EB" w:rsidRDefault="001905E1">
      <w:pPr>
        <w:spacing w:after="97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1" w:line="247" w:lineRule="auto"/>
        <w:ind w:left="703" w:right="0"/>
        <w:jc w:val="left"/>
      </w:pPr>
      <w:r>
        <w:rPr>
          <w:sz w:val="21"/>
        </w:rPr>
        <w:t xml:space="preserve">V Praze dne 28. 2. 2022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0" w:right="57"/>
        <w:jc w:val="right"/>
      </w:pPr>
      <w:r>
        <w:rPr>
          <w:sz w:val="21"/>
        </w:rPr>
        <w:t xml:space="preserve">………………………………………………………... 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0" w:right="53"/>
        <w:jc w:val="right"/>
      </w:pPr>
      <w:r>
        <w:rPr>
          <w:sz w:val="21"/>
        </w:rPr>
        <w:t>M</w:t>
      </w:r>
      <w:r>
        <w:rPr>
          <w:sz w:val="21"/>
        </w:rPr>
        <w:t>AXIMA pojišťo</w:t>
      </w:r>
      <w:r>
        <w:rPr>
          <w:sz w:val="21"/>
        </w:rPr>
        <w:t xml:space="preserve">vna, a.s. </w:t>
      </w:r>
      <w:r>
        <w:rPr>
          <w:sz w:val="21"/>
        </w:rPr>
        <w:t>–</w:t>
      </w:r>
      <w:r>
        <w:rPr>
          <w:sz w:val="21"/>
        </w:rPr>
        <w:t xml:space="preserve"> pojistitel </w:t>
      </w:r>
    </w:p>
    <w:p w:rsidR="00FD24EB" w:rsidRDefault="001905E1">
      <w:pPr>
        <w:spacing w:after="0" w:line="259" w:lineRule="auto"/>
        <w:ind w:left="10" w:right="53"/>
        <w:jc w:val="right"/>
      </w:pPr>
      <w:r>
        <w:rPr>
          <w:color w:val="BFBFBF"/>
          <w:sz w:val="21"/>
          <w:shd w:val="clear" w:color="auto" w:fill="C0C0C0"/>
        </w:rPr>
        <w:t>Martina Šulcová, upiso</w:t>
      </w:r>
      <w:r>
        <w:rPr>
          <w:color w:val="BFBFBF"/>
          <w:sz w:val="21"/>
          <w:shd w:val="clear" w:color="auto" w:fill="C0C0C0"/>
        </w:rPr>
        <w:t>vatel</w:t>
      </w:r>
      <w:r>
        <w:rPr>
          <w:color w:val="BFBFBF"/>
          <w:sz w:val="21"/>
          <w:shd w:val="clear" w:color="auto" w:fill="C0C0C0"/>
        </w:rPr>
        <w:t xml:space="preserve"> pod</w:t>
      </w:r>
      <w:r>
        <w:rPr>
          <w:color w:val="BFBFBF"/>
          <w:sz w:val="21"/>
          <w:shd w:val="clear" w:color="auto" w:fill="C0C0C0"/>
        </w:rPr>
        <w:t>nikatelskýc</w:t>
      </w:r>
      <w:r>
        <w:rPr>
          <w:color w:val="BFBFBF"/>
          <w:sz w:val="21"/>
          <w:shd w:val="clear" w:color="auto" w:fill="C0C0C0"/>
        </w:rPr>
        <w:t>h rizik</w:t>
      </w:r>
      <w:r>
        <w:rPr>
          <w:color w:val="BFBFBF"/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0" w:right="57"/>
        <w:jc w:val="right"/>
      </w:pPr>
      <w:r>
        <w:rPr>
          <w:sz w:val="21"/>
        </w:rPr>
        <w:t xml:space="preserve">………………………………………………………... 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0" w:right="53"/>
        <w:jc w:val="right"/>
      </w:pPr>
      <w:r>
        <w:rPr>
          <w:sz w:val="21"/>
        </w:rPr>
        <w:t>M</w:t>
      </w:r>
      <w:r>
        <w:rPr>
          <w:sz w:val="21"/>
        </w:rPr>
        <w:t>AXIMA pojišťo</w:t>
      </w:r>
      <w:r>
        <w:rPr>
          <w:sz w:val="21"/>
        </w:rPr>
        <w:t xml:space="preserve">vna, a.s. </w:t>
      </w:r>
      <w:r>
        <w:rPr>
          <w:sz w:val="21"/>
        </w:rPr>
        <w:t>–</w:t>
      </w:r>
      <w:r>
        <w:rPr>
          <w:sz w:val="21"/>
        </w:rPr>
        <w:t xml:space="preserve"> pojistitel </w:t>
      </w:r>
    </w:p>
    <w:p w:rsidR="00FD24EB" w:rsidRDefault="001905E1">
      <w:pPr>
        <w:spacing w:after="0" w:line="259" w:lineRule="auto"/>
        <w:ind w:left="10" w:right="53"/>
        <w:jc w:val="right"/>
      </w:pPr>
      <w:r>
        <w:rPr>
          <w:color w:val="BFBFBF"/>
          <w:sz w:val="21"/>
          <w:shd w:val="clear" w:color="auto" w:fill="C0C0C0"/>
        </w:rPr>
        <w:t>Hana K</w:t>
      </w:r>
      <w:r>
        <w:rPr>
          <w:color w:val="BFBFBF"/>
          <w:sz w:val="21"/>
          <w:shd w:val="clear" w:color="auto" w:fill="C0C0C0"/>
        </w:rPr>
        <w:t>leinová, upisovatel p</w:t>
      </w:r>
      <w:r>
        <w:rPr>
          <w:color w:val="BFBFBF"/>
          <w:sz w:val="21"/>
          <w:shd w:val="clear" w:color="auto" w:fill="C0C0C0"/>
        </w:rPr>
        <w:t>odnikate</w:t>
      </w:r>
      <w:r>
        <w:rPr>
          <w:color w:val="BFBFBF"/>
          <w:sz w:val="21"/>
          <w:shd w:val="clear" w:color="auto" w:fill="C0C0C0"/>
        </w:rPr>
        <w:t>lských rizik</w:t>
      </w:r>
      <w:r>
        <w:rPr>
          <w:color w:val="BFBFBF"/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 xml:space="preserve">V/e </w:t>
      </w:r>
      <w:r>
        <w:rPr>
          <w:sz w:val="21"/>
        </w:rPr>
        <w:t>………………………………………</w:t>
      </w:r>
      <w:r>
        <w:rPr>
          <w:sz w:val="21"/>
        </w:rPr>
        <w:t xml:space="preserve"> dne </w:t>
      </w:r>
      <w:r>
        <w:rPr>
          <w:sz w:val="21"/>
        </w:rPr>
        <w:t>…………………………</w:t>
      </w: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10" w:right="57"/>
        <w:jc w:val="right"/>
      </w:pPr>
      <w:r>
        <w:rPr>
          <w:sz w:val="21"/>
        </w:rPr>
        <w:t>…</w:t>
      </w:r>
      <w:r>
        <w:rPr>
          <w:sz w:val="21"/>
        </w:rPr>
        <w:t>.</w:t>
      </w:r>
      <w:r>
        <w:rPr>
          <w:sz w:val="21"/>
        </w:rPr>
        <w:t>..…………………………………………………</w:t>
      </w:r>
      <w:r>
        <w:rPr>
          <w:sz w:val="21"/>
        </w:rPr>
        <w:t xml:space="preserve">... </w:t>
      </w:r>
    </w:p>
    <w:p w:rsidR="00FD24EB" w:rsidRDefault="001905E1">
      <w:pPr>
        <w:spacing w:after="0" w:line="259" w:lineRule="auto"/>
        <w:ind w:left="0" w:right="68" w:firstLine="0"/>
        <w:jc w:val="right"/>
      </w:pPr>
      <w:r>
        <w:rPr>
          <w:rFonts w:ascii="Arial" w:eastAsia="Arial" w:hAnsi="Arial" w:cs="Arial"/>
          <w:sz w:val="21"/>
        </w:rPr>
        <w:t xml:space="preserve">Sportovní zařízení města Příbram - pojistník </w:t>
      </w:r>
    </w:p>
    <w:p w:rsidR="00FD24EB" w:rsidRDefault="001905E1">
      <w:pPr>
        <w:spacing w:after="0" w:line="259" w:lineRule="auto"/>
        <w:ind w:left="0" w:right="69" w:firstLine="0"/>
        <w:jc w:val="right"/>
      </w:pPr>
      <w:r>
        <w:rPr>
          <w:rFonts w:ascii="Arial" w:eastAsia="Arial" w:hAnsi="Arial" w:cs="Arial"/>
          <w:color w:val="BFBFBF"/>
          <w:sz w:val="21"/>
          <w:shd w:val="clear" w:color="auto" w:fill="C0C0C0"/>
        </w:rPr>
        <w:t>Mgr. JAN SLABA, ředitel</w:t>
      </w:r>
      <w:r>
        <w:rPr>
          <w:rFonts w:ascii="Arial" w:eastAsia="Arial" w:hAnsi="Arial" w:cs="Arial"/>
          <w:color w:val="BFBFBF"/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1"/>
        </w:rPr>
        <w:t xml:space="preserve"> </w:t>
      </w:r>
    </w:p>
    <w:p w:rsidR="00FD24EB" w:rsidRDefault="001905E1">
      <w:pPr>
        <w:spacing w:after="14" w:line="247" w:lineRule="auto"/>
        <w:ind w:right="55"/>
      </w:pPr>
      <w:r>
        <w:rPr>
          <w:sz w:val="21"/>
        </w:rPr>
        <w:t>Přílohy</w:t>
      </w:r>
      <w:r>
        <w:rPr>
          <w:sz w:val="21"/>
        </w:rPr>
        <w:t xml:space="preserve">:  </w:t>
      </w:r>
    </w:p>
    <w:p w:rsidR="00FD24EB" w:rsidRDefault="001905E1">
      <w:pPr>
        <w:numPr>
          <w:ilvl w:val="0"/>
          <w:numId w:val="13"/>
        </w:numPr>
        <w:spacing w:after="14" w:line="247" w:lineRule="auto"/>
        <w:ind w:right="55" w:hanging="348"/>
      </w:pPr>
      <w:r>
        <w:rPr>
          <w:sz w:val="21"/>
        </w:rPr>
        <w:t>V</w:t>
      </w:r>
      <w:r>
        <w:rPr>
          <w:sz w:val="21"/>
        </w:rPr>
        <w:t>ýpis z</w:t>
      </w:r>
      <w:r>
        <w:rPr>
          <w:sz w:val="21"/>
        </w:rPr>
        <w:t xml:space="preserve"> Ob</w:t>
      </w:r>
      <w:r>
        <w:rPr>
          <w:sz w:val="21"/>
        </w:rPr>
        <w:t xml:space="preserve">chodního </w:t>
      </w:r>
      <w:r>
        <w:rPr>
          <w:sz w:val="21"/>
        </w:rPr>
        <w:t>rejst</w:t>
      </w:r>
      <w:r>
        <w:rPr>
          <w:sz w:val="21"/>
        </w:rPr>
        <w:t xml:space="preserve">říku pojištěného 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13"/>
        </w:numPr>
        <w:spacing w:after="50" w:line="234" w:lineRule="auto"/>
        <w:ind w:right="55" w:hanging="348"/>
      </w:pPr>
      <w:r>
        <w:rPr>
          <w:sz w:val="21"/>
        </w:rPr>
        <w:t>Předsmluvní infor</w:t>
      </w:r>
      <w:r>
        <w:rPr>
          <w:sz w:val="21"/>
        </w:rPr>
        <w:t>mace o poji</w:t>
      </w:r>
      <w:r>
        <w:rPr>
          <w:sz w:val="21"/>
        </w:rPr>
        <w:t>šťovně a o pojištění</w:t>
      </w:r>
      <w:r>
        <w:rPr>
          <w:sz w:val="21"/>
        </w:rPr>
        <w:t xml:space="preserve"> </w:t>
      </w:r>
      <w:r>
        <w:rPr>
          <w:sz w:val="21"/>
        </w:rPr>
        <w:t>majetku a odpovědnosti podnikatelů</w:t>
      </w:r>
      <w:r>
        <w:rPr>
          <w:sz w:val="21"/>
        </w:rPr>
        <w:t xml:space="preserve"> I</w:t>
      </w:r>
      <w:r>
        <w:rPr>
          <w:sz w:val="21"/>
        </w:rPr>
        <w:t>nformační dokument o pojistném</w:t>
      </w:r>
      <w:r>
        <w:rPr>
          <w:sz w:val="21"/>
        </w:rPr>
        <w:t xml:space="preserve"> produktu </w:t>
      </w:r>
      <w:r>
        <w:rPr>
          <w:sz w:val="21"/>
        </w:rPr>
        <w:t>–</w:t>
      </w:r>
      <w:r>
        <w:rPr>
          <w:sz w:val="21"/>
        </w:rPr>
        <w:t xml:space="preserve"> Poji</w:t>
      </w:r>
      <w:r>
        <w:rPr>
          <w:sz w:val="21"/>
        </w:rPr>
        <w:t>štění majetku a odpovědnosti za škody pr</w:t>
      </w:r>
      <w:r>
        <w:rPr>
          <w:sz w:val="21"/>
        </w:rPr>
        <w:t>o podni</w:t>
      </w:r>
      <w:r>
        <w:rPr>
          <w:sz w:val="21"/>
        </w:rPr>
        <w:t>katele a právnické osoby</w:t>
      </w:r>
      <w:r>
        <w:rPr>
          <w:sz w:val="21"/>
        </w:rPr>
        <w:t xml:space="preserve"> </w:t>
      </w:r>
    </w:p>
    <w:p w:rsidR="00FD24EB" w:rsidRDefault="001905E1">
      <w:pPr>
        <w:numPr>
          <w:ilvl w:val="0"/>
          <w:numId w:val="13"/>
        </w:numPr>
        <w:spacing w:after="14" w:line="247" w:lineRule="auto"/>
        <w:ind w:right="55" w:hanging="348"/>
      </w:pPr>
      <w:r>
        <w:rPr>
          <w:sz w:val="21"/>
        </w:rPr>
        <w:t xml:space="preserve">VPP a ZPP </w:t>
      </w:r>
      <w:r>
        <w:rPr>
          <w:sz w:val="21"/>
        </w:rPr>
        <w:t>dle této smlouvy</w:t>
      </w:r>
      <w:r>
        <w:rPr>
          <w:sz w:val="21"/>
        </w:rPr>
        <w:t xml:space="preserve"> </w:t>
      </w:r>
      <w:r>
        <w:rPr>
          <w:sz w:val="22"/>
        </w:rPr>
        <w:t xml:space="preserve">  </w:t>
      </w:r>
    </w:p>
    <w:p w:rsidR="00FD24EB" w:rsidRDefault="001905E1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sectPr w:rsidR="00FD24EB">
      <w:footerReference w:type="even" r:id="rId8"/>
      <w:footerReference w:type="default" r:id="rId9"/>
      <w:footerReference w:type="first" r:id="rId10"/>
      <w:pgSz w:w="11906" w:h="16838"/>
      <w:pgMar w:top="1133" w:right="1063" w:bottom="1252" w:left="42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E1" w:rsidRDefault="001905E1">
      <w:pPr>
        <w:spacing w:after="0" w:line="240" w:lineRule="auto"/>
      </w:pPr>
      <w:r>
        <w:separator/>
      </w:r>
    </w:p>
  </w:endnote>
  <w:endnote w:type="continuationSeparator" w:id="0">
    <w:p w:rsidR="001905E1" w:rsidRDefault="0019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EB" w:rsidRDefault="001905E1">
    <w:pPr>
      <w:spacing w:after="0" w:line="228" w:lineRule="auto"/>
      <w:ind w:left="708" w:right="4240" w:firstLine="4232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t>14</w:t>
    </w:r>
    <w: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EB" w:rsidRDefault="001905E1">
    <w:pPr>
      <w:spacing w:after="0" w:line="228" w:lineRule="auto"/>
      <w:ind w:left="708" w:right="4240" w:firstLine="4232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A0E91">
      <w:rPr>
        <w:noProof/>
      </w:rPr>
      <w:t>12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9A0E91">
      <w:rPr>
        <w:noProof/>
      </w:rPr>
      <w:t>14</w:t>
    </w:r>
    <w: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EB" w:rsidRDefault="00FD24E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E1" w:rsidRDefault="001905E1">
      <w:pPr>
        <w:spacing w:after="0" w:line="240" w:lineRule="auto"/>
      </w:pPr>
      <w:r>
        <w:separator/>
      </w:r>
    </w:p>
  </w:footnote>
  <w:footnote w:type="continuationSeparator" w:id="0">
    <w:p w:rsidR="001905E1" w:rsidRDefault="0019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95C"/>
    <w:multiLevelType w:val="hybridMultilevel"/>
    <w:tmpl w:val="3F6A5A90"/>
    <w:lvl w:ilvl="0" w:tplc="A9022A00">
      <w:start w:val="1"/>
      <w:numFmt w:val="decimal"/>
      <w:lvlText w:val="%1.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041850">
      <w:start w:val="1"/>
      <w:numFmt w:val="lowerLetter"/>
      <w:lvlText w:val="%2"/>
      <w:lvlJc w:val="left"/>
      <w:pPr>
        <w:ind w:left="1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D667C4">
      <w:start w:val="1"/>
      <w:numFmt w:val="lowerRoman"/>
      <w:lvlText w:val="%3"/>
      <w:lvlJc w:val="left"/>
      <w:pPr>
        <w:ind w:left="2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48F22E">
      <w:start w:val="1"/>
      <w:numFmt w:val="decimal"/>
      <w:lvlText w:val="%4"/>
      <w:lvlJc w:val="left"/>
      <w:pPr>
        <w:ind w:left="2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C8D83C">
      <w:start w:val="1"/>
      <w:numFmt w:val="lowerLetter"/>
      <w:lvlText w:val="%5"/>
      <w:lvlJc w:val="left"/>
      <w:pPr>
        <w:ind w:left="3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583FDA">
      <w:start w:val="1"/>
      <w:numFmt w:val="lowerRoman"/>
      <w:lvlText w:val="%6"/>
      <w:lvlJc w:val="left"/>
      <w:pPr>
        <w:ind w:left="4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38AB5E">
      <w:start w:val="1"/>
      <w:numFmt w:val="decimal"/>
      <w:lvlText w:val="%7"/>
      <w:lvlJc w:val="left"/>
      <w:pPr>
        <w:ind w:left="5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86E404">
      <w:start w:val="1"/>
      <w:numFmt w:val="lowerLetter"/>
      <w:lvlText w:val="%8"/>
      <w:lvlJc w:val="left"/>
      <w:pPr>
        <w:ind w:left="58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840D88">
      <w:start w:val="1"/>
      <w:numFmt w:val="lowerRoman"/>
      <w:lvlText w:val="%9"/>
      <w:lvlJc w:val="left"/>
      <w:pPr>
        <w:ind w:left="65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910BB"/>
    <w:multiLevelType w:val="multilevel"/>
    <w:tmpl w:val="2980865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51901"/>
    <w:multiLevelType w:val="hybridMultilevel"/>
    <w:tmpl w:val="C352A82E"/>
    <w:lvl w:ilvl="0" w:tplc="8DBA7CD0">
      <w:start w:val="1"/>
      <w:numFmt w:val="lowerLetter"/>
      <w:lvlText w:val="%1)"/>
      <w:lvlJc w:val="left"/>
      <w:pPr>
        <w:ind w:left="1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01F7E">
      <w:start w:val="1"/>
      <w:numFmt w:val="lowerLetter"/>
      <w:lvlText w:val="%2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64334">
      <w:start w:val="1"/>
      <w:numFmt w:val="lowerRoman"/>
      <w:lvlText w:val="%3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EB26">
      <w:start w:val="1"/>
      <w:numFmt w:val="decimal"/>
      <w:lvlText w:val="%4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8A3FA">
      <w:start w:val="1"/>
      <w:numFmt w:val="lowerLetter"/>
      <w:lvlText w:val="%5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6E71A">
      <w:start w:val="1"/>
      <w:numFmt w:val="lowerRoman"/>
      <w:lvlText w:val="%6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0C53E">
      <w:start w:val="1"/>
      <w:numFmt w:val="decimal"/>
      <w:lvlText w:val="%7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CDC82">
      <w:start w:val="1"/>
      <w:numFmt w:val="lowerLetter"/>
      <w:lvlText w:val="%8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40D1E">
      <w:start w:val="1"/>
      <w:numFmt w:val="lowerRoman"/>
      <w:lvlText w:val="%9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31B5A"/>
    <w:multiLevelType w:val="hybridMultilevel"/>
    <w:tmpl w:val="24CAD530"/>
    <w:lvl w:ilvl="0" w:tplc="3D625DA6">
      <w:start w:val="3"/>
      <w:numFmt w:val="lowerLetter"/>
      <w:lvlText w:val="%1)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E9E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8471E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2E3B8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CBA6E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866A8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C5C26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C5B7A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A2A9A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304B7"/>
    <w:multiLevelType w:val="hybridMultilevel"/>
    <w:tmpl w:val="0DF4BB4E"/>
    <w:lvl w:ilvl="0" w:tplc="20BE9682">
      <w:start w:val="1"/>
      <w:numFmt w:val="lowerLetter"/>
      <w:lvlText w:val="%1)"/>
      <w:lvlJc w:val="left"/>
      <w:pPr>
        <w:ind w:left="1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E01C8C">
      <w:start w:val="1"/>
      <w:numFmt w:val="lowerLetter"/>
      <w:lvlText w:val="%2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CA6CB0">
      <w:start w:val="1"/>
      <w:numFmt w:val="lowerRoman"/>
      <w:lvlText w:val="%3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081346">
      <w:start w:val="1"/>
      <w:numFmt w:val="decimal"/>
      <w:lvlText w:val="%4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6A0424">
      <w:start w:val="1"/>
      <w:numFmt w:val="lowerLetter"/>
      <w:lvlText w:val="%5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6CFB26">
      <w:start w:val="1"/>
      <w:numFmt w:val="lowerRoman"/>
      <w:lvlText w:val="%6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A63946">
      <w:start w:val="1"/>
      <w:numFmt w:val="decimal"/>
      <w:lvlText w:val="%7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046D34">
      <w:start w:val="1"/>
      <w:numFmt w:val="lowerLetter"/>
      <w:lvlText w:val="%8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5E484E">
      <w:start w:val="1"/>
      <w:numFmt w:val="lowerRoman"/>
      <w:lvlText w:val="%9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81EF1"/>
    <w:multiLevelType w:val="hybridMultilevel"/>
    <w:tmpl w:val="86B8C3E2"/>
    <w:lvl w:ilvl="0" w:tplc="42BEF908">
      <w:start w:val="1"/>
      <w:numFmt w:val="decimal"/>
      <w:lvlText w:val="%1.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90E12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FC8C1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66129E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FC7E96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FA857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6081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10975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BC5682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AC1700"/>
    <w:multiLevelType w:val="hybridMultilevel"/>
    <w:tmpl w:val="2C980B02"/>
    <w:lvl w:ilvl="0" w:tplc="A8126B50">
      <w:start w:val="1"/>
      <w:numFmt w:val="lowerLetter"/>
      <w:lvlText w:val="%1)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C9FBE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4D0E8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A7C4E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6001C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4FEC4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86206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A4E7A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6B986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E103E"/>
    <w:multiLevelType w:val="hybridMultilevel"/>
    <w:tmpl w:val="A4C0E61A"/>
    <w:lvl w:ilvl="0" w:tplc="326A6C78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ECD5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2B9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BEB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E2B9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44B66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08D11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3EF77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428E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103CF0"/>
    <w:multiLevelType w:val="hybridMultilevel"/>
    <w:tmpl w:val="1B5873AA"/>
    <w:lvl w:ilvl="0" w:tplc="C8D6309C">
      <w:start w:val="1"/>
      <w:numFmt w:val="decimal"/>
      <w:lvlText w:val="%1.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90A366">
      <w:start w:val="1"/>
      <w:numFmt w:val="lowerLetter"/>
      <w:lvlText w:val="%2"/>
      <w:lvlJc w:val="left"/>
      <w:pPr>
        <w:ind w:left="2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BA971E">
      <w:start w:val="1"/>
      <w:numFmt w:val="lowerRoman"/>
      <w:lvlText w:val="%3"/>
      <w:lvlJc w:val="left"/>
      <w:pPr>
        <w:ind w:left="3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8469AC">
      <w:start w:val="1"/>
      <w:numFmt w:val="decimal"/>
      <w:lvlText w:val="%4"/>
      <w:lvlJc w:val="left"/>
      <w:pPr>
        <w:ind w:left="3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769C98">
      <w:start w:val="1"/>
      <w:numFmt w:val="lowerLetter"/>
      <w:lvlText w:val="%5"/>
      <w:lvlJc w:val="left"/>
      <w:pPr>
        <w:ind w:left="4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90ED06">
      <w:start w:val="1"/>
      <w:numFmt w:val="lowerRoman"/>
      <w:lvlText w:val="%6"/>
      <w:lvlJc w:val="left"/>
      <w:pPr>
        <w:ind w:left="5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AA6204">
      <w:start w:val="1"/>
      <w:numFmt w:val="decimal"/>
      <w:lvlText w:val="%7"/>
      <w:lvlJc w:val="left"/>
      <w:pPr>
        <w:ind w:left="5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765334">
      <w:start w:val="1"/>
      <w:numFmt w:val="lowerLetter"/>
      <w:lvlText w:val="%8"/>
      <w:lvlJc w:val="left"/>
      <w:pPr>
        <w:ind w:left="6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6A5AB0">
      <w:start w:val="1"/>
      <w:numFmt w:val="lowerRoman"/>
      <w:lvlText w:val="%9"/>
      <w:lvlJc w:val="left"/>
      <w:pPr>
        <w:ind w:left="7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360654"/>
    <w:multiLevelType w:val="hybridMultilevel"/>
    <w:tmpl w:val="048833C8"/>
    <w:lvl w:ilvl="0" w:tplc="1116BCB6">
      <w:start w:val="1"/>
      <w:numFmt w:val="lowerLetter"/>
      <w:lvlText w:val="%1)"/>
      <w:lvlJc w:val="left"/>
      <w:pPr>
        <w:ind w:left="1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C6EA6">
      <w:start w:val="1"/>
      <w:numFmt w:val="lowerLetter"/>
      <w:lvlText w:val="%2"/>
      <w:lvlJc w:val="left"/>
      <w:pPr>
        <w:ind w:left="1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6FED6">
      <w:start w:val="1"/>
      <w:numFmt w:val="lowerRoman"/>
      <w:lvlText w:val="%3"/>
      <w:lvlJc w:val="left"/>
      <w:pPr>
        <w:ind w:left="1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CB7CE">
      <w:start w:val="1"/>
      <w:numFmt w:val="decimal"/>
      <w:lvlText w:val="%4"/>
      <w:lvlJc w:val="left"/>
      <w:pPr>
        <w:ind w:left="2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8BC2A">
      <w:start w:val="1"/>
      <w:numFmt w:val="lowerLetter"/>
      <w:lvlText w:val="%5"/>
      <w:lvlJc w:val="left"/>
      <w:pPr>
        <w:ind w:left="3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645AE0">
      <w:start w:val="1"/>
      <w:numFmt w:val="lowerRoman"/>
      <w:lvlText w:val="%6"/>
      <w:lvlJc w:val="left"/>
      <w:pPr>
        <w:ind w:left="4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6A2DBA">
      <w:start w:val="1"/>
      <w:numFmt w:val="decimal"/>
      <w:lvlText w:val="%7"/>
      <w:lvlJc w:val="left"/>
      <w:pPr>
        <w:ind w:left="4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2858E">
      <w:start w:val="1"/>
      <w:numFmt w:val="lowerLetter"/>
      <w:lvlText w:val="%8"/>
      <w:lvlJc w:val="left"/>
      <w:pPr>
        <w:ind w:left="5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E4CA72">
      <w:start w:val="1"/>
      <w:numFmt w:val="lowerRoman"/>
      <w:lvlText w:val="%9"/>
      <w:lvlJc w:val="left"/>
      <w:pPr>
        <w:ind w:left="6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A6E48"/>
    <w:multiLevelType w:val="hybridMultilevel"/>
    <w:tmpl w:val="43E625C2"/>
    <w:lvl w:ilvl="0" w:tplc="0D745F58">
      <w:start w:val="1"/>
      <w:numFmt w:val="lowerLetter"/>
      <w:lvlText w:val="%1)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2B37C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E0904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21CD6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DE85B0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86EA6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8409E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896E4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C6B636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3539E6"/>
    <w:multiLevelType w:val="hybridMultilevel"/>
    <w:tmpl w:val="DD1CF62C"/>
    <w:lvl w:ilvl="0" w:tplc="ABB4B35C">
      <w:start w:val="1"/>
      <w:numFmt w:val="lowerLetter"/>
      <w:lvlText w:val="%1)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45EFE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7012F2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A6AC0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A4FB20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00DD8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08B4D0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58418A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2BB02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5B6A92"/>
    <w:multiLevelType w:val="hybridMultilevel"/>
    <w:tmpl w:val="5BE84514"/>
    <w:lvl w:ilvl="0" w:tplc="9E886AC6">
      <w:start w:val="1"/>
      <w:numFmt w:val="lowerLetter"/>
      <w:lvlText w:val="%1)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CD3B2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40C82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81D08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C800E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89BD2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E2E6A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527BD6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0C22A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EB"/>
    <w:rsid w:val="001905E1"/>
    <w:rsid w:val="009A0E91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F5F9-B297-4399-B279-E9B95829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0" w:line="248" w:lineRule="auto"/>
      <w:ind w:left="718" w:right="7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34"/>
      <w:jc w:val="center"/>
      <w:outlineLvl w:val="0"/>
    </w:pPr>
    <w:rPr>
      <w:rFonts w:ascii="Tahoma" w:eastAsia="Tahoma" w:hAnsi="Tahoma" w:cs="Tahoma"/>
      <w:b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ahoma" w:eastAsia="Tahoma" w:hAnsi="Tahoma" w:cs="Tahoma"/>
      <w:b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69" w:line="250" w:lineRule="auto"/>
      <w:ind w:left="718" w:hanging="10"/>
      <w:outlineLvl w:val="2"/>
    </w:pPr>
    <w:rPr>
      <w:rFonts w:ascii="Tahoma" w:eastAsia="Tahoma" w:hAnsi="Tahoma" w:cs="Tahoma"/>
      <w:b/>
      <w:color w:val="000000"/>
      <w:sz w:val="2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3" w:line="248" w:lineRule="auto"/>
      <w:ind w:left="718" w:hanging="10"/>
      <w:jc w:val="both"/>
      <w:outlineLvl w:val="3"/>
    </w:pPr>
    <w:rPr>
      <w:rFonts w:ascii="Tahoma" w:eastAsia="Tahoma" w:hAnsi="Tahoma" w:cs="Tahoma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00"/>
      <w:sz w:val="44"/>
    </w:rPr>
  </w:style>
  <w:style w:type="character" w:customStyle="1" w:styleId="Nadpis4Char">
    <w:name w:val="Nadpis 4 Char"/>
    <w:link w:val="Nadpis4"/>
    <w:rPr>
      <w:rFonts w:ascii="Tahoma" w:eastAsia="Tahoma" w:hAnsi="Tahoma" w:cs="Tahoma"/>
      <w:b/>
      <w:color w:val="000000"/>
      <w:sz w:val="21"/>
    </w:rPr>
  </w:style>
  <w:style w:type="character" w:customStyle="1" w:styleId="Nadpis3Char">
    <w:name w:val="Nadpis 3 Char"/>
    <w:link w:val="Nadpis3"/>
    <w:rPr>
      <w:rFonts w:ascii="Tahoma" w:eastAsia="Tahoma" w:hAnsi="Tahoma" w:cs="Tahoma"/>
      <w:b/>
      <w:color w:val="000000"/>
      <w:sz w:val="20"/>
    </w:rPr>
  </w:style>
  <w:style w:type="character" w:customStyle="1" w:styleId="Nadpis2Char">
    <w:name w:val="Nadpis 2 Char"/>
    <w:link w:val="Nadpis2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4948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/>
  <LinksUpToDate>false</LinksUpToDate>
  <CharactersWithSpaces>34079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srb@maxima-as.cz</dc:creator>
  <cp:keywords/>
  <cp:lastModifiedBy>Pelclová</cp:lastModifiedBy>
  <cp:revision>2</cp:revision>
  <dcterms:created xsi:type="dcterms:W3CDTF">2022-03-08T05:36:00Z</dcterms:created>
  <dcterms:modified xsi:type="dcterms:W3CDTF">2022-03-08T05:36:00Z</dcterms:modified>
</cp:coreProperties>
</file>