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98" w:rsidRDefault="00A46971">
      <w:pPr>
        <w:pStyle w:val="Zkladntext1"/>
        <w:spacing w:after="480" w:line="240" w:lineRule="auto"/>
        <w:ind w:left="7020"/>
      </w:pPr>
      <w:r>
        <w:t>Evidenční číslo:</w:t>
      </w:r>
    </w:p>
    <w:p w:rsidR="004F2B98" w:rsidRDefault="00A46971">
      <w:pPr>
        <w:pStyle w:val="Zkladntext1"/>
        <w:spacing w:after="480" w:line="240" w:lineRule="auto"/>
        <w:jc w:val="center"/>
      </w:pPr>
      <w:r>
        <w:t>SMLOUVA O DÍLO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5371"/>
      </w:tblGrid>
      <w:tr w:rsidR="004F2B9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50" w:type="dxa"/>
            <w:shd w:val="clear" w:color="auto" w:fill="auto"/>
          </w:tcPr>
          <w:p w:rsidR="004F2B98" w:rsidRDefault="004F2B98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I. - </w:t>
            </w:r>
            <w:r>
              <w:rPr>
                <w:smallCaps/>
                <w:sz w:val="20"/>
                <w:szCs w:val="20"/>
                <w:u w:val="single"/>
              </w:rPr>
              <w:t>Smluvní strany</w:t>
            </w:r>
          </w:p>
        </w:tc>
      </w:tr>
    </w:tbl>
    <w:p w:rsidR="004F2B98" w:rsidRDefault="00A46971">
      <w:pPr>
        <w:pStyle w:val="Titulektabulky0"/>
        <w:spacing w:after="120"/>
      </w:pPr>
      <w:r>
        <w:t>1.1.</w:t>
      </w:r>
    </w:p>
    <w:p w:rsidR="004F2B98" w:rsidRDefault="00A46971">
      <w:pPr>
        <w:pStyle w:val="Titulektabulky0"/>
        <w:spacing w:after="0"/>
      </w:pPr>
      <w:r>
        <w:t>Objednatel: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5376"/>
      </w:tblGrid>
      <w:tr w:rsidR="004F2B9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</w:pPr>
            <w:r>
              <w:t>Obchodní jméno:</w:t>
            </w:r>
          </w:p>
        </w:tc>
        <w:tc>
          <w:tcPr>
            <w:tcW w:w="5376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  <w:ind w:firstLine="440"/>
            </w:pPr>
            <w:proofErr w:type="spellStart"/>
            <w:r>
              <w:rPr>
                <w:b/>
                <w:bCs/>
              </w:rPr>
              <w:t>Slamka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Consulting</w:t>
            </w:r>
            <w:proofErr w:type="spellEnd"/>
            <w:r>
              <w:rPr>
                <w:b/>
                <w:bCs/>
              </w:rPr>
              <w:t>, s.r.o.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50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Zastoupen:</w:t>
            </w:r>
          </w:p>
        </w:tc>
        <w:tc>
          <w:tcPr>
            <w:tcW w:w="5376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40"/>
            </w:pPr>
            <w:r>
              <w:t>Doc. RNDr. MARTIN MALČÍK, Ph.D. - jednatel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50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Sídlo:</w:t>
            </w:r>
          </w:p>
        </w:tc>
        <w:tc>
          <w:tcPr>
            <w:tcW w:w="5376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40"/>
            </w:pPr>
            <w:r>
              <w:t>Chelčického 649/10, Moravská Ostrava, 702 00 Ostrava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50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5376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40"/>
            </w:pPr>
            <w:r>
              <w:t>25846906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0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5376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  <w:ind w:firstLine="440"/>
            </w:pPr>
            <w:r>
              <w:t>CZ25846906</w:t>
            </w:r>
          </w:p>
        </w:tc>
      </w:tr>
    </w:tbl>
    <w:p w:rsidR="004F2B98" w:rsidRDefault="004F2B98">
      <w:pPr>
        <w:spacing w:after="479" w:line="1" w:lineRule="exact"/>
      </w:pPr>
    </w:p>
    <w:p w:rsidR="004F2B98" w:rsidRDefault="00A46971">
      <w:pPr>
        <w:pStyle w:val="Titulektabulky0"/>
        <w:spacing w:after="0"/>
      </w:pPr>
      <w:r>
        <w:t>Poskytovatel: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4579"/>
      </w:tblGrid>
      <w:tr w:rsidR="004F2B9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</w:pPr>
            <w:r>
              <w:t>Obchodní jméno:</w:t>
            </w:r>
          </w:p>
        </w:tc>
        <w:tc>
          <w:tcPr>
            <w:tcW w:w="4579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Ostravská univerzita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064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Součást:</w:t>
            </w:r>
          </w:p>
        </w:tc>
        <w:tc>
          <w:tcPr>
            <w:tcW w:w="4579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 xml:space="preserve">Ústav pro výzkum a aplikace </w:t>
            </w:r>
            <w:r>
              <w:rPr>
                <w:lang w:val="en-US" w:eastAsia="en-US" w:bidi="en-US"/>
              </w:rPr>
              <w:t xml:space="preserve">fuzzy </w:t>
            </w:r>
            <w:r>
              <w:t>modelování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64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Sídlo:</w:t>
            </w:r>
          </w:p>
        </w:tc>
        <w:tc>
          <w:tcPr>
            <w:tcW w:w="4579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Dvořákova 7, 701 03, Ostrava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064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Zastoupen:</w:t>
            </w:r>
          </w:p>
        </w:tc>
        <w:tc>
          <w:tcPr>
            <w:tcW w:w="4579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Doc. RNDr. Martin Štěpnička, Ph.D. - ředitel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64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4579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61988987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064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579" w:type="dxa"/>
            <w:shd w:val="clear" w:color="auto" w:fill="auto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CZ61988987</w:t>
            </w:r>
          </w:p>
        </w:tc>
      </w:tr>
      <w:tr w:rsidR="004F2B9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4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</w:pPr>
            <w:r>
              <w:t xml:space="preserve">Bankovní </w:t>
            </w:r>
            <w:r>
              <w:t>spojení:</w:t>
            </w:r>
          </w:p>
        </w:tc>
        <w:tc>
          <w:tcPr>
            <w:tcW w:w="4579" w:type="dxa"/>
            <w:shd w:val="clear" w:color="auto" w:fill="auto"/>
            <w:vAlign w:val="bottom"/>
          </w:tcPr>
          <w:p w:rsidR="004F2B98" w:rsidRDefault="00A46971">
            <w:pPr>
              <w:pStyle w:val="Jin0"/>
              <w:spacing w:after="0" w:line="240" w:lineRule="auto"/>
              <w:ind w:firstLine="420"/>
            </w:pPr>
            <w:r>
              <w:t>ČNB Ostrava, 931761/0710</w:t>
            </w:r>
          </w:p>
        </w:tc>
      </w:tr>
    </w:tbl>
    <w:p w:rsidR="004F2B98" w:rsidRDefault="004F2B98">
      <w:pPr>
        <w:spacing w:after="479" w:line="1" w:lineRule="exact"/>
      </w:pPr>
    </w:p>
    <w:p w:rsidR="004F2B98" w:rsidRDefault="00A46971">
      <w:pPr>
        <w:pStyle w:val="Zkladntext1"/>
        <w:spacing w:line="377" w:lineRule="auto"/>
        <w:jc w:val="both"/>
      </w:pPr>
      <w:r>
        <w:t xml:space="preserve">uzavřely spolu níže uvedeného dne, měsíce a roku podle § 2586 a násl. zákona č. 89/2012 Sb. v platném znění tuto </w:t>
      </w:r>
      <w:r>
        <w:rPr>
          <w:b/>
          <w:bCs/>
        </w:rPr>
        <w:t>smlouvu o dílo.</w:t>
      </w:r>
    </w:p>
    <w:p w:rsidR="004F2B98" w:rsidRDefault="00A46971">
      <w:pPr>
        <w:pStyle w:val="Zkladntext1"/>
        <w:numPr>
          <w:ilvl w:val="1"/>
          <w:numId w:val="1"/>
        </w:numPr>
        <w:tabs>
          <w:tab w:val="left" w:pos="509"/>
        </w:tabs>
        <w:spacing w:after="120" w:line="372" w:lineRule="auto"/>
        <w:jc w:val="both"/>
      </w:pPr>
      <w:r>
        <w:t>Smluvní strany se dohodly, že ve věcech technických, protokolárního předání (převzetí) díla</w:t>
      </w:r>
      <w:r>
        <w:t>, případně k předběžnému projednávání změn smlouvy jsou oprávněny jednat tyto osoby: za objednavatele: doc. RNDr. Martin Malčík, Ph.D.</w:t>
      </w:r>
    </w:p>
    <w:p w:rsidR="004F2B98" w:rsidRDefault="00A46971">
      <w:pPr>
        <w:pStyle w:val="Zkladntext1"/>
        <w:spacing w:after="480" w:line="240" w:lineRule="auto"/>
      </w:pPr>
      <w:r>
        <w:t>za poskytovatele: doc. RNDr. Martin Štěpnička, Ph.D.</w:t>
      </w:r>
    </w:p>
    <w:p w:rsidR="004F2B98" w:rsidRDefault="00A46971">
      <w:pPr>
        <w:pStyle w:val="Zkladntext20"/>
        <w:numPr>
          <w:ilvl w:val="0"/>
          <w:numId w:val="2"/>
        </w:numPr>
        <w:tabs>
          <w:tab w:val="left" w:pos="430"/>
        </w:tabs>
        <w:spacing w:after="480"/>
      </w:pPr>
      <w:r>
        <w:t>- PŘEDMĚT DÍLA</w:t>
      </w:r>
    </w:p>
    <w:p w:rsidR="004F2B98" w:rsidRDefault="00A46971">
      <w:pPr>
        <w:pStyle w:val="Zkladntext1"/>
        <w:numPr>
          <w:ilvl w:val="1"/>
          <w:numId w:val="3"/>
        </w:numPr>
        <w:tabs>
          <w:tab w:val="left" w:pos="387"/>
        </w:tabs>
        <w:spacing w:line="360" w:lineRule="auto"/>
      </w:pPr>
      <w:r>
        <w:t xml:space="preserve">1. Poskytovatel se zavazuje provést na svůj náklad a </w:t>
      </w:r>
      <w:r>
        <w:t xml:space="preserve">nebezpečí pro objednatele dílo a objednatel se zavazuje dílo převzít a zaplatit cenu za dílo uvedenou v </w:t>
      </w:r>
      <w:proofErr w:type="spellStart"/>
      <w:r>
        <w:t>čl</w:t>
      </w:r>
      <w:proofErr w:type="spellEnd"/>
      <w:r>
        <w:t xml:space="preserve"> IV. této smlouvy.</w:t>
      </w:r>
    </w:p>
    <w:p w:rsidR="004F2B98" w:rsidRDefault="00A46971">
      <w:pPr>
        <w:pStyle w:val="Zkladntext1"/>
        <w:numPr>
          <w:ilvl w:val="1"/>
          <w:numId w:val="3"/>
        </w:numPr>
        <w:tabs>
          <w:tab w:val="left" w:pos="507"/>
        </w:tabs>
        <w:spacing w:after="0" w:line="360" w:lineRule="auto"/>
      </w:pPr>
      <w:r>
        <w:t>. Poskytovatel se zavazuje provést dílo s potřebnou péčí a ve sjednaném čase.</w:t>
      </w:r>
    </w:p>
    <w:p w:rsidR="004F2B98" w:rsidRDefault="00A46971">
      <w:pPr>
        <w:pStyle w:val="Zkladntext1"/>
        <w:numPr>
          <w:ilvl w:val="1"/>
          <w:numId w:val="3"/>
        </w:numPr>
        <w:tabs>
          <w:tab w:val="left" w:pos="502"/>
        </w:tabs>
        <w:spacing w:after="420" w:line="360" w:lineRule="auto"/>
      </w:pPr>
      <w:r>
        <w:t>. Dílem se rozumí poskytování poradenských služeb v o</w:t>
      </w:r>
      <w:r>
        <w:t xml:space="preserve">blasti zadání a návrhů aplikace </w:t>
      </w:r>
      <w:r>
        <w:rPr>
          <w:lang w:val="en-US" w:eastAsia="en-US" w:bidi="en-US"/>
        </w:rPr>
        <w:t xml:space="preserve">fuzzy </w:t>
      </w:r>
      <w:r>
        <w:t>logiky při zpracování diagnosticko-predikčních algoritmů.</w:t>
      </w:r>
    </w:p>
    <w:p w:rsidR="004F2B98" w:rsidRDefault="00A46971">
      <w:pPr>
        <w:pStyle w:val="Zkladntext1"/>
        <w:spacing w:after="0" w:line="252" w:lineRule="auto"/>
        <w:ind w:left="420"/>
        <w:jc w:val="both"/>
      </w:pPr>
      <w:r>
        <w:lastRenderedPageBreak/>
        <w:t xml:space="preserve">Součástí zakázky je aplikace </w:t>
      </w:r>
      <w:r>
        <w:rPr>
          <w:lang w:val="en-US" w:eastAsia="en-US" w:bidi="en-US"/>
        </w:rPr>
        <w:t xml:space="preserve">fuzzy </w:t>
      </w:r>
      <w:r>
        <w:t xml:space="preserve">modelování pro vybraná data fyziologických měření, testování a návrh algoritmů na bázi </w:t>
      </w:r>
      <w:r>
        <w:rPr>
          <w:lang w:val="en-US" w:eastAsia="en-US" w:bidi="en-US"/>
        </w:rPr>
        <w:t xml:space="preserve">fuzzy </w:t>
      </w:r>
      <w:r>
        <w:t xml:space="preserve">logiky pro implementaci </w:t>
      </w:r>
      <w:r>
        <w:rPr>
          <w:lang w:val="en-US" w:eastAsia="en-US" w:bidi="en-US"/>
        </w:rPr>
        <w:t xml:space="preserve">do IS </w:t>
      </w:r>
      <w:r>
        <w:t>pr</w:t>
      </w:r>
      <w:r>
        <w:t>o správu diagnosticko-predikčních algoritmů.</w:t>
      </w:r>
    </w:p>
    <w:p w:rsidR="004F2B98" w:rsidRDefault="00A46971">
      <w:pPr>
        <w:pStyle w:val="Zkladntext1"/>
        <w:numPr>
          <w:ilvl w:val="1"/>
          <w:numId w:val="3"/>
        </w:numPr>
        <w:tabs>
          <w:tab w:val="left" w:pos="490"/>
        </w:tabs>
        <w:spacing w:line="372" w:lineRule="auto"/>
        <w:jc w:val="both"/>
      </w:pPr>
      <w:r>
        <w:t>. Poskytovatel potvrzuje, že se v plném rozsahu seznámil s rozsahem a povahou díla, jsou mu známy veškeré technické, kvalitativní a jiné podmínky nezbytné k realizaci díla, a že disponuje takovými kapacitami a o</w:t>
      </w:r>
      <w:r>
        <w:t>dbornými znalostmi, které jsou k provedení díla nezbytné.</w:t>
      </w:r>
    </w:p>
    <w:p w:rsidR="004F2B98" w:rsidRDefault="00A46971">
      <w:pPr>
        <w:pStyle w:val="Nadpis10"/>
        <w:keepNext/>
        <w:keepLines/>
        <w:numPr>
          <w:ilvl w:val="0"/>
          <w:numId w:val="2"/>
        </w:numPr>
        <w:tabs>
          <w:tab w:val="left" w:pos="514"/>
        </w:tabs>
        <w:spacing w:line="372" w:lineRule="auto"/>
      </w:pPr>
      <w:bookmarkStart w:id="0" w:name="bookmark0"/>
      <w:r>
        <w:rPr>
          <w:smallCaps w:val="0"/>
        </w:rPr>
        <w:t xml:space="preserve">- </w:t>
      </w:r>
      <w:r>
        <w:t>Čas plnění, způsob předání díla</w:t>
      </w:r>
      <w:bookmarkEnd w:id="0"/>
    </w:p>
    <w:p w:rsidR="004F2B98" w:rsidRDefault="00A46971">
      <w:pPr>
        <w:pStyle w:val="Zkladntext1"/>
        <w:numPr>
          <w:ilvl w:val="1"/>
          <w:numId w:val="4"/>
        </w:numPr>
        <w:tabs>
          <w:tab w:val="left" w:pos="447"/>
        </w:tabs>
        <w:spacing w:line="372" w:lineRule="auto"/>
        <w:jc w:val="both"/>
      </w:pPr>
      <w:r>
        <w:t xml:space="preserve">1. Smluvní strany se dohodly, že dílo specifikované v č. </w:t>
      </w:r>
      <w:proofErr w:type="gramStart"/>
      <w:r>
        <w:t>II.3 bude</w:t>
      </w:r>
      <w:proofErr w:type="gramEnd"/>
      <w:r>
        <w:t xml:space="preserve"> poskytovatelem předáno objednateli nejpozději do 31. 8. 2022 se zahájením poskytování služeb od u</w:t>
      </w:r>
      <w:r>
        <w:t>zavření smlouvy.</w:t>
      </w:r>
    </w:p>
    <w:p w:rsidR="004F2B98" w:rsidRDefault="00A46971">
      <w:pPr>
        <w:pStyle w:val="Zkladntext1"/>
        <w:numPr>
          <w:ilvl w:val="1"/>
          <w:numId w:val="4"/>
        </w:numPr>
        <w:tabs>
          <w:tab w:val="left" w:pos="442"/>
        </w:tabs>
        <w:spacing w:line="372" w:lineRule="auto"/>
      </w:pPr>
      <w:r>
        <w:t>2. Místem plnění je sídlo provozovny objednatele - Šamanova 10692/8, Ostrava - Zábřeh, 700 30.</w:t>
      </w:r>
    </w:p>
    <w:p w:rsidR="004F2B98" w:rsidRDefault="00A46971">
      <w:pPr>
        <w:pStyle w:val="Nadpis10"/>
        <w:keepNext/>
        <w:keepLines/>
        <w:numPr>
          <w:ilvl w:val="0"/>
          <w:numId w:val="2"/>
        </w:numPr>
        <w:tabs>
          <w:tab w:val="left" w:pos="451"/>
        </w:tabs>
        <w:spacing w:line="372" w:lineRule="auto"/>
      </w:pPr>
      <w:bookmarkStart w:id="1" w:name="bookmark2"/>
      <w:r>
        <w:rPr>
          <w:smallCaps w:val="0"/>
        </w:rPr>
        <w:t xml:space="preserve">- </w:t>
      </w:r>
      <w:r>
        <w:t>Cena díla a platební podmínky</w:t>
      </w:r>
      <w:bookmarkEnd w:id="1"/>
    </w:p>
    <w:p w:rsidR="004F2B98" w:rsidRDefault="00A46971">
      <w:pPr>
        <w:pStyle w:val="Zkladntext1"/>
        <w:tabs>
          <w:tab w:val="left" w:pos="2302"/>
        </w:tabs>
        <w:spacing w:after="0" w:line="372" w:lineRule="auto"/>
        <w:jc w:val="both"/>
      </w:pPr>
      <w:proofErr w:type="spellStart"/>
      <w:proofErr w:type="gramStart"/>
      <w:r>
        <w:t>IV.l</w:t>
      </w:r>
      <w:proofErr w:type="spellEnd"/>
      <w:r>
        <w:t>.</w:t>
      </w:r>
      <w:proofErr w:type="gramEnd"/>
      <w:r>
        <w:t xml:space="preserve"> Smluvní strany se dohodly, že cena za dílo činí: celkem Kč (bez DPH):</w:t>
      </w:r>
      <w:r>
        <w:tab/>
        <w:t>160 000,-</w:t>
      </w:r>
    </w:p>
    <w:p w:rsidR="004F2B98" w:rsidRDefault="00A46971">
      <w:pPr>
        <w:pStyle w:val="Zkladntext1"/>
        <w:tabs>
          <w:tab w:val="left" w:pos="2302"/>
        </w:tabs>
        <w:spacing w:after="0" w:line="372" w:lineRule="auto"/>
        <w:jc w:val="both"/>
      </w:pPr>
      <w:r>
        <w:t>DPH</w:t>
      </w:r>
      <w:r>
        <w:tab/>
        <w:t>33 600,-</w:t>
      </w:r>
    </w:p>
    <w:p w:rsidR="004F2B98" w:rsidRDefault="00A46971">
      <w:pPr>
        <w:pStyle w:val="Zkladntext1"/>
        <w:tabs>
          <w:tab w:val="left" w:pos="2302"/>
        </w:tabs>
        <w:spacing w:after="0" w:line="372" w:lineRule="auto"/>
        <w:jc w:val="both"/>
      </w:pPr>
      <w:r>
        <w:t>Celkem Kč vč.</w:t>
      </w:r>
      <w:r>
        <w:t xml:space="preserve"> DPH</w:t>
      </w:r>
      <w:r>
        <w:tab/>
        <w:t>193 600,-</w:t>
      </w:r>
    </w:p>
    <w:p w:rsidR="004F2B98" w:rsidRDefault="00A46971">
      <w:pPr>
        <w:pStyle w:val="Zkladntext1"/>
        <w:tabs>
          <w:tab w:val="left" w:pos="2302"/>
        </w:tabs>
        <w:spacing w:after="120" w:line="372" w:lineRule="auto"/>
        <w:jc w:val="both"/>
      </w:pPr>
      <w:proofErr w:type="gramStart"/>
      <w:r>
        <w:t>slovy :</w:t>
      </w:r>
      <w:r>
        <w:tab/>
        <w:t>sto</w:t>
      </w:r>
      <w:proofErr w:type="gramEnd"/>
      <w:r>
        <w:t xml:space="preserve"> devadesát tři tisíc šest set korun českých</w:t>
      </w:r>
    </w:p>
    <w:p w:rsidR="004F2B98" w:rsidRDefault="00A46971">
      <w:pPr>
        <w:pStyle w:val="Zkladntext1"/>
        <w:spacing w:line="240" w:lineRule="auto"/>
        <w:jc w:val="both"/>
      </w:pPr>
      <w:r>
        <w:t>Rozsah poskytované služby se odhaduje na 200 hodin. Fakturován však bude skutečný výkon činnosti dle hodinové sazby, která činí 800 Kč bez DPH.</w:t>
      </w:r>
    </w:p>
    <w:p w:rsidR="004F2B98" w:rsidRDefault="00A46971">
      <w:pPr>
        <w:pStyle w:val="Zkladntext1"/>
        <w:spacing w:line="372" w:lineRule="auto"/>
        <w:jc w:val="both"/>
      </w:pPr>
      <w:r>
        <w:t>K ceně bude připočítána daň z přidané hodn</w:t>
      </w:r>
      <w:r>
        <w:t>oty dle platných právních předpisů.</w:t>
      </w:r>
    </w:p>
    <w:p w:rsidR="004F2B98" w:rsidRDefault="00A46971">
      <w:pPr>
        <w:pStyle w:val="Zkladntext1"/>
        <w:spacing w:line="377" w:lineRule="auto"/>
        <w:jc w:val="both"/>
      </w:pPr>
      <w:proofErr w:type="gramStart"/>
      <w:r>
        <w:t>IV.2.</w:t>
      </w:r>
      <w:proofErr w:type="gramEnd"/>
      <w:r>
        <w:t xml:space="preserve"> Objednatel provede úhradu ceny díla na základě daňového dokladu vystaveného poskytovatelem. Poskytovatel je oprávněn vystavit daňový doklad - fakturu na základě měsíčních zjišťovacích protokolů. Faktura bude splňov</w:t>
      </w:r>
      <w:r>
        <w:t>at náležitosti daňového dokladu podle zák. Č. 235/2004Sb., o dani z přidané hodnoty, v platném znění. Na faktuře bude uveden název a ev. č. projektu: CZ.01.1.02/0.0/0.0/20_321/0025155.</w:t>
      </w:r>
    </w:p>
    <w:p w:rsidR="004F2B98" w:rsidRDefault="00A46971">
      <w:pPr>
        <w:pStyle w:val="Zkladntext1"/>
        <w:spacing w:line="372" w:lineRule="auto"/>
        <w:jc w:val="both"/>
      </w:pPr>
      <w:proofErr w:type="gramStart"/>
      <w:r>
        <w:t>IV.3.</w:t>
      </w:r>
      <w:proofErr w:type="gramEnd"/>
      <w:r>
        <w:t xml:space="preserve"> Splatnost daňového dokladu je 30 dní od data vystavení.</w:t>
      </w:r>
    </w:p>
    <w:p w:rsidR="004F2B98" w:rsidRDefault="00A46971">
      <w:pPr>
        <w:pStyle w:val="Zkladntext1"/>
        <w:spacing w:line="360" w:lineRule="auto"/>
        <w:jc w:val="both"/>
      </w:pPr>
      <w:proofErr w:type="gramStart"/>
      <w:r>
        <w:t>IV.4.</w:t>
      </w:r>
      <w:proofErr w:type="gramEnd"/>
      <w:r>
        <w:t xml:space="preserve"> Sml</w:t>
      </w:r>
      <w:r>
        <w:t>uvní strany se dohodly, že daňový doklad je považován za doručený objednateli třetím dnem po vypravení.</w:t>
      </w:r>
    </w:p>
    <w:p w:rsidR="004F2B98" w:rsidRDefault="00A46971">
      <w:pPr>
        <w:pStyle w:val="Zkladntext1"/>
        <w:spacing w:line="360" w:lineRule="auto"/>
        <w:jc w:val="both"/>
        <w:sectPr w:rsidR="004F2B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01" w:right="1347" w:bottom="1381" w:left="1442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t>IV.5.</w:t>
      </w:r>
      <w:proofErr w:type="gramEnd"/>
      <w:r>
        <w:t xml:space="preserve"> Součástí smluvní ceny dle odst. </w:t>
      </w:r>
      <w:proofErr w:type="spellStart"/>
      <w:proofErr w:type="gramStart"/>
      <w:r>
        <w:t>IV.l</w:t>
      </w:r>
      <w:proofErr w:type="spellEnd"/>
      <w:r>
        <w:t>.</w:t>
      </w:r>
      <w:proofErr w:type="gramEnd"/>
      <w:r>
        <w:t xml:space="preserve"> jsou veškeré náklady poskytovatele, tj. mzdové náklady, spotřeba materiálů (vyhotovení </w:t>
      </w:r>
      <w:r>
        <w:t>písemných záznamů apod.), cestovné, stravné apod. Objednatel nebude hradit žádné další poplatky spojené s plněním díla.</w:t>
      </w:r>
    </w:p>
    <w:p w:rsidR="004F2B98" w:rsidRDefault="00A46971">
      <w:pPr>
        <w:pStyle w:val="Nadpis10"/>
        <w:keepNext/>
        <w:keepLines/>
        <w:spacing w:line="377" w:lineRule="auto"/>
      </w:pPr>
      <w:bookmarkStart w:id="2" w:name="bookmark4"/>
      <w:r>
        <w:rPr>
          <w:smallCaps w:val="0"/>
        </w:rPr>
        <w:lastRenderedPageBreak/>
        <w:t xml:space="preserve">V. - </w:t>
      </w:r>
      <w:r>
        <w:t>Změna smlouvy</w:t>
      </w:r>
      <w:bookmarkEnd w:id="2"/>
    </w:p>
    <w:p w:rsidR="004F2B98" w:rsidRDefault="00A46971">
      <w:pPr>
        <w:pStyle w:val="Zkladntext1"/>
        <w:numPr>
          <w:ilvl w:val="0"/>
          <w:numId w:val="5"/>
        </w:numPr>
        <w:tabs>
          <w:tab w:val="left" w:pos="260"/>
        </w:tabs>
        <w:jc w:val="both"/>
      </w:pPr>
      <w:r>
        <w:t xml:space="preserve">.l. Tuto smlouvu lze měnit pouze písemným, oboustranně potvrzeným ujednáním výslovně označeným „Dodatek". Dodatky ke </w:t>
      </w:r>
      <w:r>
        <w:t>smlouvě budou číslovány vzestupnou řadou. Jiné zápisy, protokoly apod. se za změnu smlouvy nepovažují.</w:t>
      </w:r>
    </w:p>
    <w:p w:rsidR="004F2B98" w:rsidRDefault="00A46971">
      <w:pPr>
        <w:pStyle w:val="Zkladntext1"/>
        <w:numPr>
          <w:ilvl w:val="0"/>
          <w:numId w:val="5"/>
        </w:numPr>
        <w:tabs>
          <w:tab w:val="left" w:pos="308"/>
        </w:tabs>
        <w:spacing w:line="377" w:lineRule="auto"/>
        <w:jc w:val="both"/>
      </w:pPr>
      <w:r>
        <w:t>2. Nastanou-li u některé ze stran skutečnosti bránící řádnému plnění této smlouvy, je povinna ihned bez zbytečného odkladu oznámit to druhé straně a vyvo</w:t>
      </w:r>
      <w:r>
        <w:t>lat jednání zástupců smluvních stran.</w:t>
      </w:r>
    </w:p>
    <w:p w:rsidR="004F2B98" w:rsidRDefault="00A46971">
      <w:pPr>
        <w:pStyle w:val="Nadpis10"/>
        <w:keepNext/>
        <w:keepLines/>
        <w:numPr>
          <w:ilvl w:val="0"/>
          <w:numId w:val="5"/>
        </w:numPr>
        <w:tabs>
          <w:tab w:val="left" w:pos="414"/>
        </w:tabs>
        <w:spacing w:line="377" w:lineRule="auto"/>
      </w:pPr>
      <w:bookmarkStart w:id="3" w:name="bookmark6"/>
      <w:r>
        <w:rPr>
          <w:smallCaps w:val="0"/>
        </w:rPr>
        <w:t xml:space="preserve">- </w:t>
      </w:r>
      <w:r>
        <w:t>Ostatní ujednání</w:t>
      </w:r>
      <w:bookmarkEnd w:id="3"/>
    </w:p>
    <w:p w:rsidR="004F2B98" w:rsidRDefault="00A46971">
      <w:pPr>
        <w:pStyle w:val="Zkladntext1"/>
        <w:numPr>
          <w:ilvl w:val="0"/>
          <w:numId w:val="6"/>
        </w:numPr>
        <w:tabs>
          <w:tab w:val="left" w:pos="322"/>
        </w:tabs>
        <w:spacing w:line="377" w:lineRule="auto"/>
        <w:jc w:val="both"/>
      </w:pPr>
      <w:r>
        <w:t>.1. Práva vzniklá z této smlouvy nesmí být postoupena bez předchozího písemného souhlasu druhé strany. Započtení na pohledávky vzniklé z této smlouvy se nepřipouští.</w:t>
      </w:r>
    </w:p>
    <w:p w:rsidR="004F2B98" w:rsidRDefault="00A46971">
      <w:pPr>
        <w:pStyle w:val="Zkladntext1"/>
        <w:numPr>
          <w:ilvl w:val="0"/>
          <w:numId w:val="6"/>
        </w:numPr>
        <w:tabs>
          <w:tab w:val="left" w:pos="375"/>
        </w:tabs>
        <w:spacing w:line="360" w:lineRule="auto"/>
        <w:jc w:val="both"/>
      </w:pPr>
      <w:r>
        <w:t>2 Práva vyplývající z této smlouv</w:t>
      </w:r>
      <w:r>
        <w:t>y či jejího porušení se promlčují ve lhůtě 15 let ode dne, kdy právo mohlo být uplatněno poprvé.</w:t>
      </w:r>
    </w:p>
    <w:p w:rsidR="004F2B98" w:rsidRDefault="00A46971">
      <w:pPr>
        <w:pStyle w:val="Zkladntext1"/>
        <w:numPr>
          <w:ilvl w:val="0"/>
          <w:numId w:val="6"/>
        </w:numPr>
        <w:tabs>
          <w:tab w:val="left" w:pos="490"/>
        </w:tabs>
        <w:jc w:val="both"/>
      </w:pPr>
      <w:r>
        <w:t>. Dle §1765 zák. č. 89/2012 Sb. v platném znění na sebe obě smluvní strany převzaly nebezpečí změny okolností. Před uzavřením smlouvy strany zvážily plně hospo</w:t>
      </w:r>
      <w:r>
        <w:t>dářskou, ekonomickou i faktickou situaci a jsou si plně vědomy okolností smlouvy, jakož i okolností, které mohou za uzavření této smlouvy nastat. Tuto smlouvu nelze měnit rozhodnutím soudu v jakékoli její části.</w:t>
      </w:r>
    </w:p>
    <w:p w:rsidR="004F2B98" w:rsidRDefault="00A46971">
      <w:pPr>
        <w:pStyle w:val="Zkladntext1"/>
        <w:numPr>
          <w:ilvl w:val="0"/>
          <w:numId w:val="6"/>
        </w:numPr>
        <w:tabs>
          <w:tab w:val="left" w:pos="322"/>
        </w:tabs>
        <w:spacing w:line="377" w:lineRule="auto"/>
        <w:jc w:val="both"/>
      </w:pPr>
      <w:r>
        <w:t>.4. Pokud správce daně zveřejní způsobem umo</w:t>
      </w:r>
      <w:r>
        <w:t>žňující dálkový přístup skutečnost, že plátce v den uskutečnění zdanitelného plnění je nespolehlivý plátce, příjemce zdanitelného plnění uhradí za poskytovatele zdanitelného plnění daň (DPH) na účet Finančního úřadu místně příslušného pro poskytovatele. Po</w:t>
      </w:r>
      <w:r>
        <w:t>kud příjemce uhradí za poskytovatele zdanitelného plnění daň Finančnímu úřadu, příjemce si o tuto úhradu poníží platbu faktury vůči poskytovateli.</w:t>
      </w:r>
    </w:p>
    <w:p w:rsidR="004F2B98" w:rsidRDefault="00A46971">
      <w:pPr>
        <w:pStyle w:val="Zkladntext1"/>
        <w:spacing w:line="377" w:lineRule="auto"/>
        <w:jc w:val="both"/>
      </w:pPr>
      <w:r>
        <w:t xml:space="preserve">Pokud správcem daně nebude zveřejněn v den úhrady faktury bankovní účet, na který příjemce zdanitelného </w:t>
      </w:r>
      <w:r>
        <w:t>plnění má provést úhradu faktury, příjemce zdanitelného plnění uhradí za poskytovatele DPH. Pokud příjemce uhradí za poskytovatele zdanitelného plnění daň Finančnímu úřadu, příjemce si o tuto úhradu poníží platbu faktury vůči poskytovateli</w:t>
      </w:r>
    </w:p>
    <w:p w:rsidR="004F2B98" w:rsidRDefault="00A46971">
      <w:pPr>
        <w:pStyle w:val="Zkladntext1"/>
        <w:numPr>
          <w:ilvl w:val="0"/>
          <w:numId w:val="6"/>
        </w:numPr>
        <w:tabs>
          <w:tab w:val="left" w:pos="260"/>
        </w:tabs>
        <w:spacing w:line="377" w:lineRule="auto"/>
        <w:jc w:val="both"/>
      </w:pPr>
      <w:proofErr w:type="gramStart"/>
      <w:r>
        <w:t>I.6.</w:t>
      </w:r>
      <w:proofErr w:type="gramEnd"/>
      <w:r>
        <w:t xml:space="preserve"> Smluvní str</w:t>
      </w:r>
      <w:r>
        <w:t>any výslovně souhlasí s tím, aby tato smlouva včetně jejich případných změn byla vedena na profilu zadavatele, který je veřejně přístupný a který obsahuje údaje zejména o smluvních stranách, předmětu smlouvy, výši finančního plnění a datum jejího podpisu.</w:t>
      </w:r>
      <w:r>
        <w:br w:type="page"/>
      </w:r>
    </w:p>
    <w:p w:rsidR="004F2B98" w:rsidRDefault="00A46971">
      <w:pPr>
        <w:pStyle w:val="Zkladntext1"/>
        <w:numPr>
          <w:ilvl w:val="0"/>
          <w:numId w:val="6"/>
        </w:numPr>
        <w:tabs>
          <w:tab w:val="left" w:pos="322"/>
        </w:tabs>
        <w:spacing w:after="0" w:line="377" w:lineRule="auto"/>
        <w:jc w:val="both"/>
      </w:pPr>
      <w:r>
        <w:lastRenderedPageBreak/>
        <w:t>.7. Poskytovatel i objednatel prohlašují, že smlouva neobsahuje žádné skutečnosti, které považují za své obchodní tajemství.</w:t>
      </w:r>
    </w:p>
    <w:p w:rsidR="004F2B98" w:rsidRDefault="00A46971">
      <w:pPr>
        <w:pStyle w:val="Zkladntext20"/>
        <w:numPr>
          <w:ilvl w:val="0"/>
          <w:numId w:val="6"/>
        </w:numPr>
        <w:tabs>
          <w:tab w:val="left" w:pos="452"/>
        </w:tabs>
        <w:spacing w:after="120"/>
      </w:pPr>
      <w:r>
        <w:t>. - ZÁVĚREČNÁ USTANOVENÍ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60"/>
        </w:tabs>
        <w:spacing w:line="379" w:lineRule="auto"/>
        <w:jc w:val="both"/>
      </w:pPr>
      <w:r>
        <w:t>ILI. Smluvní strany prohlašují, že posoudily obsah této smlouvy a neshledávají jej rozporným, což stvrzuj</w:t>
      </w:r>
      <w:r>
        <w:t>í svým podpisem. Smlouva byla uzavřena na základě jejich pravé a svobodné vůle po pečlivém zvážení obou stran a vzájemné vysvětlení jejího obsahu.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55"/>
        </w:tabs>
        <w:spacing w:line="360" w:lineRule="auto"/>
        <w:jc w:val="both"/>
      </w:pPr>
      <w:proofErr w:type="gramStart"/>
      <w:r>
        <w:t>II.2.</w:t>
      </w:r>
      <w:proofErr w:type="gramEnd"/>
      <w:r>
        <w:t xml:space="preserve"> Tato smlouva je vyhotovena ve 2 stejnopisech s platností originálu a nabývá účinnosti dnem podpisu obou</w:t>
      </w:r>
      <w:r>
        <w:t xml:space="preserve"> smluvních stran.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55"/>
        </w:tabs>
        <w:spacing w:line="377" w:lineRule="auto"/>
        <w:jc w:val="both"/>
      </w:pPr>
      <w:proofErr w:type="gramStart"/>
      <w:r>
        <w:t>II.3.</w:t>
      </w:r>
      <w:proofErr w:type="gramEnd"/>
      <w:r>
        <w:t xml:space="preserve"> Právní vztahy mezi poskytovatelem a objednatelem, které vyplývají z této smlouvy a nejsou v ní upraveny, se řídí právním řádem ČR, zejména zák. č. 89/2012 Sb., občanský zákoník, v platném znění.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55"/>
        </w:tabs>
        <w:spacing w:line="377" w:lineRule="auto"/>
        <w:jc w:val="both"/>
      </w:pPr>
      <w:proofErr w:type="gramStart"/>
      <w:r>
        <w:t>II.4.</w:t>
      </w:r>
      <w:proofErr w:type="gramEnd"/>
      <w:r>
        <w:t xml:space="preserve"> Každá ze smluvních stran této s</w:t>
      </w:r>
      <w:r>
        <w:t xml:space="preserve">mlouvy je povinna zachovávat mlčenlivost o všech skutečnostech, o kterých se dozvěděla při uzavírání této smlouvy nebo </w:t>
      </w:r>
      <w:proofErr w:type="gramStart"/>
      <w:r>
        <w:t>případně o nichž</w:t>
      </w:r>
      <w:proofErr w:type="gramEnd"/>
      <w:r>
        <w:t xml:space="preserve"> se dozví při naplňování podmínek této smlouvy a mohlo by přivodit druhé straně majetkovou či nemajetkovou újmu. Smluvní </w:t>
      </w:r>
      <w:r>
        <w:t>strany všechna data i informace považují za obchodní tajemství v souladu s ustanovením § 504 zákona č. 89/2012 Sb., občanského zákoníku, včetně osobních údajů, které chrání zákon č. 101/2000 Sb., o ochraně osobních údajů.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55"/>
        </w:tabs>
        <w:spacing w:line="372" w:lineRule="auto"/>
        <w:jc w:val="both"/>
      </w:pPr>
      <w:proofErr w:type="gramStart"/>
      <w:r>
        <w:t>II.5.</w:t>
      </w:r>
      <w:proofErr w:type="gramEnd"/>
      <w:r>
        <w:t xml:space="preserve"> Dle § 2 písm. e) zákona č. 3</w:t>
      </w:r>
      <w:r>
        <w:t>20/2001 Sb., o finanční kontrole ve veřejné správě, ve znění pozdějších předpisů, je poskytovatel osobou povinnou spolupůsobit při výkonu finanční kontroly.</w:t>
      </w:r>
    </w:p>
    <w:p w:rsidR="004F2B98" w:rsidRDefault="00A46971">
      <w:pPr>
        <w:pStyle w:val="Zkladntext1"/>
        <w:numPr>
          <w:ilvl w:val="0"/>
          <w:numId w:val="7"/>
        </w:numPr>
        <w:tabs>
          <w:tab w:val="left" w:pos="255"/>
        </w:tabs>
        <w:spacing w:after="120" w:line="377" w:lineRule="auto"/>
        <w:jc w:val="both"/>
      </w:pPr>
      <w:proofErr w:type="gramStart"/>
      <w:r>
        <w:t>II.6.</w:t>
      </w:r>
      <w:proofErr w:type="gramEnd"/>
      <w:r>
        <w:t xml:space="preserve"> Poskytovatel je povinen uchovávat veškerou dokumentaci související s realizací projektu včetn</w:t>
      </w:r>
      <w:r>
        <w:t>ě účetních dokladů minimálně do 31. 12. 2029. Pokud je v českých právních předpisech stanovena lhůta delší, musí ji žadatel / příjemce použít. Prodávající je povinen minimálně do konce roku 2029 poskytovat požadované informace a dokumentaci související s r</w:t>
      </w:r>
      <w:r>
        <w:t>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</w:t>
      </w:r>
      <w:r>
        <w:t>ořit výše uvedeným osobám podmínky k provedení kontroly vztahující se k realizaci projektu a poskytnout jim při provádění kontroly součinnost.</w:t>
      </w:r>
      <w:bookmarkStart w:id="4" w:name="_GoBack"/>
      <w:bookmarkEnd w:id="4"/>
    </w:p>
    <w:p w:rsidR="004F2B98" w:rsidRDefault="005205FD">
      <w:pPr>
        <w:pStyle w:val="Zkladntext1"/>
        <w:numPr>
          <w:ilvl w:val="0"/>
          <w:numId w:val="7"/>
        </w:numPr>
        <w:tabs>
          <w:tab w:val="left" w:pos="255"/>
          <w:tab w:val="left" w:pos="5602"/>
        </w:tabs>
        <w:spacing w:line="377" w:lineRule="auto"/>
        <w:jc w:val="both"/>
        <w:rPr>
          <w:sz w:val="34"/>
          <w:szCs w:val="34"/>
        </w:rPr>
      </w:pPr>
      <w:r>
        <w:t>Ostravě dne</w:t>
      </w:r>
      <w:r w:rsidR="00A46971">
        <w:rPr>
          <w:color w:val="5368AD"/>
        </w:rPr>
        <w:tab/>
      </w:r>
      <w:r w:rsidR="00A46971">
        <w:t xml:space="preserve">V Ostravě dne </w:t>
      </w:r>
    </w:p>
    <w:sectPr w:rsidR="004F2B98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/>
      <w:pgMar w:top="1501" w:right="1347" w:bottom="1381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71" w:rsidRDefault="00A46971">
      <w:r>
        <w:separator/>
      </w:r>
    </w:p>
  </w:endnote>
  <w:endnote w:type="continuationSeparator" w:id="0">
    <w:p w:rsidR="00A46971" w:rsidRDefault="00A4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10353040</wp:posOffset>
              </wp:positionV>
              <wp:extent cx="54610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05F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519.7pt;margin-top:815.2pt;width:4.3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" filled="f" stroked="f">
              <v:textbox style="mso-fit-shape-to-text:t" inset="0,0,0,0">
                <w:txbxContent>
                  <w:p w:rsidR="004F2B98" w:rsidRDefault="00A46971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05F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10353040</wp:posOffset>
              </wp:positionV>
              <wp:extent cx="5461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19.70000000000005pt;margin-top:815.20000000000005pt;width:4.2999999999999998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4F2B9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10374630</wp:posOffset>
              </wp:positionV>
              <wp:extent cx="57785" cy="850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05F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7" type="#_x0000_t202" style="position:absolute;margin-left:519.6pt;margin-top:816.9pt;width:4.55pt;height:6.7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" filled="f" stroked="f">
              <v:textbox style="mso-fit-shape-to-text:t" inset="0,0,0,0">
                <w:txbxContent>
                  <w:p w:rsidR="004F2B98" w:rsidRDefault="00A46971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05F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6604635</wp:posOffset>
              </wp:positionH>
              <wp:positionV relativeFrom="page">
                <wp:posOffset>10353040</wp:posOffset>
              </wp:positionV>
              <wp:extent cx="48895" cy="850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05F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520.05pt;margin-top:815.2pt;width:3.85pt;height:6.7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" filled="f" stroked="f">
              <v:textbox style="mso-fit-shape-to-text:t" inset="0,0,0,0">
                <w:txbxContent>
                  <w:p w:rsidR="004F2B98" w:rsidRDefault="00A46971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05F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71" w:rsidRDefault="00A46971"/>
  </w:footnote>
  <w:footnote w:type="continuationSeparator" w:id="0">
    <w:p w:rsidR="00A46971" w:rsidRDefault="00A469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236855</wp:posOffset>
              </wp:positionV>
              <wp:extent cx="633730" cy="4235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33730" cy="426720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3373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82.450000000000003pt;margin-top:18.650000000000002pt;width:49.899999999999999pt;height:33.350000000000001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33730" cy="426720"/>
                          <wp:docPr id="12" name="Picutre 1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3373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264160</wp:posOffset>
              </wp:positionV>
              <wp:extent cx="1264920" cy="3721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ROPSKA UNIE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Evropsk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fend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pro regionální rozvoj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Operační program Podnikaní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movace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pro konkurenceschopnost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41.70000000000002pt;margin-top:20.800000000000001pt;width:99.600000000000009pt;height:29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 ROPSKA UNIE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Evropsk,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fend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pro regionální rozvoj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Operační program Podnikaní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 movace pro konkurenceschopnost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1047115</wp:posOffset>
              </wp:positionH>
              <wp:positionV relativeFrom="page">
                <wp:posOffset>236855</wp:posOffset>
              </wp:positionV>
              <wp:extent cx="633730" cy="4235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33730" cy="42672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3373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.450000000000003pt;margin-top:18.650000000000002pt;width:49.899999999999999pt;height:33.350000000000001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33730" cy="42672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3373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264160</wp:posOffset>
              </wp:positionV>
              <wp:extent cx="1264920" cy="3721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ROPSKA UNIE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Evropsk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fend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pro regionální rozvoj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Operační program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Podnikaní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movace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pro konkurenceschopnost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41.70000000000002pt;margin-top:20.800000000000001pt;width:99.600000000000009pt;height:29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 ROPSKA UNIE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Evropsk,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fend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pro regionální rozvoj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Operační program Podnikaní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 movace pro konkurenceschopnost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233680</wp:posOffset>
              </wp:positionV>
              <wp:extent cx="633730" cy="4267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426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33730" cy="426720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3373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2.900000000000006pt;margin-top:18.400000000000002pt;width:49.899999999999999pt;height:33.600000000000001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33730" cy="426720"/>
                          <wp:docPr id="20" name="Picutre 2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3373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1805940</wp:posOffset>
              </wp:positionH>
              <wp:positionV relativeFrom="page">
                <wp:posOffset>260985</wp:posOffset>
              </wp:positionV>
              <wp:extent cx="1264920" cy="3746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• ROPSKA UNIE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Evropsky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fond pro regionální rozvoj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Operační program Podnikaní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 inovace pro konkurenceschopnost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42.20000000000002pt;margin-top:20.550000000000001pt;width:99.600000000000009pt;height:29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 • ROPSKA UNIE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Evropsky fond pro regionální rozvoj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Operační program Podnikaní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 inovace pro konkurenceschopnost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1798320</wp:posOffset>
              </wp:positionH>
              <wp:positionV relativeFrom="page">
                <wp:posOffset>288290</wp:posOffset>
              </wp:positionV>
              <wp:extent cx="1264920" cy="3721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ROPSKA UNIE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Evropsk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) &lt;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cnd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pro regionální rozvoj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Operační program Podnikaní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movace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pro konkurenceschopnost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41.59999999999999pt;margin-top:22.699999999999999pt;width:99.600000000000009pt;height:29.30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 ROPSKA UNIE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Evropsk) &lt;cnd pro regionální rozvoj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Operační program Podnikaní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 movace pro konkurenceschopnost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98" w:rsidRDefault="00A469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236855</wp:posOffset>
              </wp:positionV>
              <wp:extent cx="633730" cy="4235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33730" cy="426720"/>
                                <wp:effectExtent l="0" t="0" r="0" b="0"/>
                                <wp:docPr id="26" name="Picut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3373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82.549999999999997pt;margin-top:18.650000000000002pt;width:49.899999999999999pt;height:33.350000000000001pt;z-index:-18874404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33730" cy="426720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33730" cy="4267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1801495</wp:posOffset>
              </wp:positionH>
              <wp:positionV relativeFrom="page">
                <wp:posOffset>264160</wp:posOffset>
              </wp:positionV>
              <wp:extent cx="1264920" cy="3689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 ROPSKA UNIE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Evropsky fond pro regionální rozvoj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Operační program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Podnikaní</w:t>
                          </w:r>
                        </w:p>
                        <w:p w:rsidR="004F2B98" w:rsidRDefault="00A46971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a inovace pro konkurenceschopnost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41.84999999999999pt;margin-top:20.800000000000001pt;width:99.600000000000009pt;height:29.05000000000000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 ROPSKA UNIE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Evropsky fond pro regionální rozvoj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Operační program Podnikaní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a inovace pro konkurenceschopnost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5F6"/>
    <w:multiLevelType w:val="multilevel"/>
    <w:tmpl w:val="DCA06EB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37CC2"/>
    <w:multiLevelType w:val="multilevel"/>
    <w:tmpl w:val="05FA8A80"/>
    <w:lvl w:ilvl="0">
      <w:start w:val="5"/>
      <w:numFmt w:val="upperRoman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C34D68"/>
    <w:multiLevelType w:val="multilevel"/>
    <w:tmpl w:val="84040A9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A1D36"/>
    <w:multiLevelType w:val="multilevel"/>
    <w:tmpl w:val="D128A01C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7780A"/>
    <w:multiLevelType w:val="multilevel"/>
    <w:tmpl w:val="B01A7570"/>
    <w:lvl w:ilvl="0">
      <w:start w:val="6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D7021"/>
    <w:multiLevelType w:val="multilevel"/>
    <w:tmpl w:val="E8C441CA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A73189"/>
    <w:multiLevelType w:val="multilevel"/>
    <w:tmpl w:val="0AB6358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98"/>
    <w:rsid w:val="004F2B98"/>
    <w:rsid w:val="005205FD"/>
    <w:rsid w:val="00A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BA4"/>
  <w15:docId w15:val="{458011CC-605A-4D2E-A91C-3AEEE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/>
      <w:strike w:val="0"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pacing w:after="360" w:line="374" w:lineRule="auto"/>
    </w:pPr>
    <w:rPr>
      <w:rFonts w:ascii="Tahoma" w:eastAsia="Tahoma" w:hAnsi="Tahoma" w:cs="Tahoma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360" w:line="374" w:lineRule="auto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after="60"/>
    </w:pPr>
    <w:rPr>
      <w:rFonts w:ascii="Tahoma" w:eastAsia="Tahoma" w:hAnsi="Tahoma" w:cs="Tahoma"/>
      <w:sz w:val="19"/>
      <w:szCs w:val="19"/>
      <w:u w:val="single"/>
    </w:rPr>
  </w:style>
  <w:style w:type="paragraph" w:customStyle="1" w:styleId="Zkladntext20">
    <w:name w:val="Základní text (2)"/>
    <w:basedOn w:val="Normln"/>
    <w:link w:val="Zkladntext2"/>
    <w:pPr>
      <w:spacing w:after="300"/>
      <w:jc w:val="center"/>
    </w:pPr>
    <w:rPr>
      <w:rFonts w:ascii="Arial" w:eastAsia="Arial" w:hAnsi="Arial" w:cs="Arial"/>
      <w:b/>
      <w:bCs/>
      <w:sz w:val="15"/>
      <w:szCs w:val="15"/>
      <w:u w:val="single"/>
    </w:rPr>
  </w:style>
  <w:style w:type="paragraph" w:customStyle="1" w:styleId="Nadpis10">
    <w:name w:val="Nadpis #1"/>
    <w:basedOn w:val="Normln"/>
    <w:link w:val="Nadpis1"/>
    <w:pPr>
      <w:spacing w:after="360" w:line="374" w:lineRule="auto"/>
      <w:jc w:val="center"/>
      <w:outlineLvl w:val="0"/>
    </w:pPr>
    <w:rPr>
      <w:rFonts w:ascii="Tahoma" w:eastAsia="Tahoma" w:hAnsi="Tahoma" w:cs="Tahoma"/>
      <w:b/>
      <w:bCs/>
      <w:smallCaps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6685</Characters>
  <Application>Microsoft Office Word</Application>
  <DocSecurity>0</DocSecurity>
  <Lines>55</Lines>
  <Paragraphs>15</Paragraphs>
  <ScaleCrop>false</ScaleCrop>
  <Company>OU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Štěpničková</cp:lastModifiedBy>
  <cp:revision>2</cp:revision>
  <dcterms:created xsi:type="dcterms:W3CDTF">2022-03-07T12:30:00Z</dcterms:created>
  <dcterms:modified xsi:type="dcterms:W3CDTF">2022-03-07T12:31:00Z</dcterms:modified>
</cp:coreProperties>
</file>