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124188">
        <w:trPr>
          <w:trHeight w:val="379"/>
          <w:jc w:val="center"/>
        </w:trPr>
        <w:tc>
          <w:tcPr>
            <w:tcW w:w="1365" w:type="pct"/>
            <w:shd w:val="clear" w:color="auto" w:fill="2E74B5"/>
            <w:vAlign w:val="center"/>
          </w:tcPr>
          <w:p w14:paraId="5A0CA983" w14:textId="77777777" w:rsidR="00406509" w:rsidRPr="0019419A" w:rsidRDefault="00406509" w:rsidP="00124188">
            <w:pPr>
              <w:spacing w:after="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rsidP="00124188">
            <w:pPr>
              <w:spacing w:after="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124188">
            <w:pPr>
              <w:spacing w:after="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124188">
        <w:trPr>
          <w:trHeight w:val="379"/>
          <w:jc w:val="center"/>
        </w:trPr>
        <w:tc>
          <w:tcPr>
            <w:tcW w:w="1365" w:type="pct"/>
            <w:shd w:val="clear" w:color="auto" w:fill="2E74B5"/>
            <w:vAlign w:val="center"/>
          </w:tcPr>
          <w:p w14:paraId="4F204CF1" w14:textId="77777777" w:rsidR="00406509" w:rsidRPr="0019419A" w:rsidRDefault="00406509" w:rsidP="00124188">
            <w:pPr>
              <w:spacing w:after="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rsidP="00124188">
            <w:pPr>
              <w:spacing w:after="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124188">
        <w:trPr>
          <w:trHeight w:val="379"/>
          <w:jc w:val="center"/>
        </w:trPr>
        <w:tc>
          <w:tcPr>
            <w:tcW w:w="1365" w:type="pct"/>
            <w:shd w:val="clear" w:color="auto" w:fill="2E74B5"/>
            <w:vAlign w:val="center"/>
          </w:tcPr>
          <w:p w14:paraId="5C48B1AB" w14:textId="1721849F" w:rsidR="00406509" w:rsidRPr="0019419A" w:rsidRDefault="008441B7" w:rsidP="00124188">
            <w:pPr>
              <w:spacing w:after="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61111242" w:rsidR="00406509" w:rsidRPr="0019419A" w:rsidRDefault="00406509" w:rsidP="00124188">
            <w:pPr>
              <w:spacing w:after="0"/>
              <w:jc w:val="center"/>
              <w:rPr>
                <w:rFonts w:cs="Calibri"/>
                <w:szCs w:val="20"/>
              </w:rPr>
            </w:pPr>
          </w:p>
        </w:tc>
      </w:tr>
      <w:tr w:rsidR="00406509" w:rsidRPr="0019419A" w14:paraId="6E138837" w14:textId="77777777" w:rsidTr="00124188">
        <w:trPr>
          <w:trHeight w:val="379"/>
          <w:jc w:val="center"/>
        </w:trPr>
        <w:tc>
          <w:tcPr>
            <w:tcW w:w="1365" w:type="pct"/>
            <w:shd w:val="clear" w:color="auto" w:fill="2E74B5"/>
            <w:vAlign w:val="center"/>
          </w:tcPr>
          <w:p w14:paraId="6F886B6D" w14:textId="77777777" w:rsidR="00406509" w:rsidRPr="0019419A" w:rsidRDefault="00406509" w:rsidP="00124188">
            <w:pPr>
              <w:spacing w:after="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rsidP="00124188">
            <w:pPr>
              <w:spacing w:after="0"/>
              <w:jc w:val="center"/>
              <w:rPr>
                <w:rFonts w:cs="Calibri"/>
                <w:szCs w:val="20"/>
              </w:rPr>
            </w:pPr>
            <w:r w:rsidRPr="0019419A">
              <w:rPr>
                <w:rFonts w:cs="Calibri"/>
                <w:szCs w:val="20"/>
              </w:rPr>
              <w:t>68407700</w:t>
            </w:r>
          </w:p>
        </w:tc>
      </w:tr>
    </w:tbl>
    <w:p w14:paraId="15148EF3" w14:textId="1881EEF9"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7052F0"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7052F0"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7052F0">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7052F0" w14:paraId="298CFBD5" w14:textId="77777777" w:rsidTr="00124188">
        <w:trPr>
          <w:trHeight w:val="379"/>
          <w:jc w:val="center"/>
        </w:trPr>
        <w:tc>
          <w:tcPr>
            <w:tcW w:w="1365" w:type="pct"/>
            <w:shd w:val="clear" w:color="auto" w:fill="2E74B5"/>
            <w:vAlign w:val="center"/>
          </w:tcPr>
          <w:p w14:paraId="74ADB9F1" w14:textId="77777777" w:rsidR="00406509" w:rsidRPr="007052F0" w:rsidRDefault="00406509" w:rsidP="00124188">
            <w:pPr>
              <w:spacing w:after="0"/>
              <w:rPr>
                <w:rFonts w:cs="Calibri"/>
                <w:b/>
                <w:color w:val="FFFFFF"/>
              </w:rPr>
            </w:pPr>
            <w:r w:rsidRPr="007052F0">
              <w:rPr>
                <w:rFonts w:cs="Calibri"/>
                <w:b/>
                <w:color w:val="FFFFFF"/>
              </w:rPr>
              <w:t>NÁZEV:</w:t>
            </w:r>
          </w:p>
        </w:tc>
        <w:tc>
          <w:tcPr>
            <w:tcW w:w="3635" w:type="pct"/>
            <w:shd w:val="clear" w:color="auto" w:fill="auto"/>
            <w:vAlign w:val="center"/>
          </w:tcPr>
          <w:p w14:paraId="47C34724" w14:textId="619E09C4" w:rsidR="00406509" w:rsidRPr="007052F0" w:rsidRDefault="008B5E5A" w:rsidP="008B5E5A">
            <w:pPr>
              <w:spacing w:after="0"/>
              <w:jc w:val="center"/>
              <w:rPr>
                <w:rFonts w:cs="Calibri"/>
                <w:b/>
                <w:bCs/>
                <w:color w:val="000000"/>
              </w:rPr>
            </w:pPr>
            <w:r w:rsidRPr="008B5E5A">
              <w:rPr>
                <w:rFonts w:cs="Calibri"/>
                <w:b/>
                <w:bCs/>
                <w:color w:val="000000"/>
              </w:rPr>
              <w:tab/>
            </w:r>
            <w:r w:rsidR="00D5395B" w:rsidRPr="00D5395B">
              <w:rPr>
                <w:rFonts w:cs="Calibri"/>
                <w:b/>
                <w:bCs/>
                <w:color w:val="000000"/>
              </w:rPr>
              <w:t>CKP Chrudim a.s.</w:t>
            </w:r>
          </w:p>
        </w:tc>
      </w:tr>
      <w:tr w:rsidR="00406509" w:rsidRPr="007052F0" w14:paraId="1A541F13" w14:textId="77777777" w:rsidTr="00124188">
        <w:trPr>
          <w:trHeight w:val="379"/>
          <w:jc w:val="center"/>
        </w:trPr>
        <w:tc>
          <w:tcPr>
            <w:tcW w:w="1365" w:type="pct"/>
            <w:shd w:val="clear" w:color="auto" w:fill="2E74B5"/>
            <w:vAlign w:val="center"/>
          </w:tcPr>
          <w:p w14:paraId="20A5E65C" w14:textId="77777777" w:rsidR="00406509" w:rsidRPr="007052F0" w:rsidRDefault="00406509" w:rsidP="00124188">
            <w:pPr>
              <w:spacing w:after="0"/>
              <w:rPr>
                <w:rFonts w:cs="Calibri"/>
                <w:b/>
                <w:color w:val="FFFFFF"/>
              </w:rPr>
            </w:pPr>
            <w:r w:rsidRPr="007052F0">
              <w:rPr>
                <w:rFonts w:cs="Calibri"/>
                <w:b/>
                <w:color w:val="FFFFFF"/>
              </w:rPr>
              <w:t>SÍDLO:</w:t>
            </w:r>
          </w:p>
        </w:tc>
        <w:tc>
          <w:tcPr>
            <w:tcW w:w="3635" w:type="pct"/>
            <w:shd w:val="clear" w:color="auto" w:fill="auto"/>
            <w:vAlign w:val="center"/>
          </w:tcPr>
          <w:p w14:paraId="178311F2" w14:textId="3CA9D83D" w:rsidR="00406509" w:rsidRPr="007052F0" w:rsidRDefault="00D5395B" w:rsidP="00D5395B">
            <w:pPr>
              <w:spacing w:after="0"/>
              <w:jc w:val="center"/>
              <w:rPr>
                <w:rFonts w:cs="Calibri"/>
                <w:color w:val="000000"/>
              </w:rPr>
            </w:pPr>
            <w:r w:rsidRPr="00D5395B">
              <w:rPr>
                <w:rFonts w:cs="Calibri"/>
                <w:color w:val="000000"/>
              </w:rPr>
              <w:t>Průmyslová 7, Chrudim IV, 537 01 Chrudim</w:t>
            </w:r>
          </w:p>
        </w:tc>
      </w:tr>
      <w:tr w:rsidR="00406509" w:rsidRPr="007052F0" w14:paraId="5A81D328" w14:textId="77777777" w:rsidTr="00124188">
        <w:trPr>
          <w:trHeight w:val="379"/>
          <w:jc w:val="center"/>
        </w:trPr>
        <w:tc>
          <w:tcPr>
            <w:tcW w:w="1365" w:type="pct"/>
            <w:shd w:val="clear" w:color="auto" w:fill="2E74B5"/>
            <w:vAlign w:val="center"/>
          </w:tcPr>
          <w:p w14:paraId="2838CB2F" w14:textId="05F16719" w:rsidR="00406509" w:rsidRPr="007052F0" w:rsidRDefault="00406509" w:rsidP="00124188">
            <w:pPr>
              <w:spacing w:after="0"/>
              <w:rPr>
                <w:rFonts w:cs="Calibri"/>
                <w:b/>
                <w:color w:val="FFFFFF"/>
              </w:rPr>
            </w:pPr>
            <w:r w:rsidRPr="007052F0">
              <w:rPr>
                <w:rFonts w:cs="Calibri"/>
                <w:b/>
                <w:color w:val="FFFFFF"/>
              </w:rPr>
              <w:t>ZASTOUPENÁ</w:t>
            </w:r>
            <w:r w:rsidR="00364BEA" w:rsidRPr="007052F0">
              <w:rPr>
                <w:rFonts w:cs="Calibri"/>
                <w:b/>
                <w:color w:val="FFFFFF"/>
              </w:rPr>
              <w:t>/JEDNAJÍCÍ</w:t>
            </w:r>
            <w:r w:rsidRPr="007052F0">
              <w:rPr>
                <w:rFonts w:cs="Calibri"/>
                <w:b/>
                <w:color w:val="FFFFFF"/>
              </w:rPr>
              <w:t>:</w:t>
            </w:r>
          </w:p>
        </w:tc>
        <w:tc>
          <w:tcPr>
            <w:tcW w:w="3635" w:type="pct"/>
            <w:shd w:val="clear" w:color="auto" w:fill="auto"/>
            <w:vAlign w:val="center"/>
          </w:tcPr>
          <w:p w14:paraId="25D79527" w14:textId="66F66170" w:rsidR="00406509" w:rsidRPr="007052F0" w:rsidRDefault="00406509" w:rsidP="00DB3B6C">
            <w:pPr>
              <w:spacing w:after="0"/>
              <w:jc w:val="center"/>
              <w:rPr>
                <w:rFonts w:cs="Calibri"/>
              </w:rPr>
            </w:pPr>
          </w:p>
        </w:tc>
      </w:tr>
      <w:tr w:rsidR="00406509" w:rsidRPr="007052F0" w14:paraId="10CE8B0C" w14:textId="77777777" w:rsidTr="00124188">
        <w:trPr>
          <w:trHeight w:val="379"/>
          <w:jc w:val="center"/>
        </w:trPr>
        <w:tc>
          <w:tcPr>
            <w:tcW w:w="1365" w:type="pct"/>
            <w:shd w:val="clear" w:color="auto" w:fill="2E74B5"/>
            <w:vAlign w:val="center"/>
          </w:tcPr>
          <w:p w14:paraId="418E8524" w14:textId="77777777" w:rsidR="00406509" w:rsidRPr="007052F0" w:rsidRDefault="00406509" w:rsidP="00124188">
            <w:pPr>
              <w:spacing w:after="0"/>
              <w:rPr>
                <w:rFonts w:cs="Calibri"/>
                <w:b/>
                <w:color w:val="FFFFFF"/>
              </w:rPr>
            </w:pPr>
            <w:r w:rsidRPr="007052F0">
              <w:rPr>
                <w:rFonts w:cs="Calibri"/>
                <w:b/>
                <w:color w:val="FFFFFF"/>
              </w:rPr>
              <w:t>IČO:</w:t>
            </w:r>
          </w:p>
        </w:tc>
        <w:tc>
          <w:tcPr>
            <w:tcW w:w="3635" w:type="pct"/>
            <w:shd w:val="clear" w:color="auto" w:fill="auto"/>
            <w:vAlign w:val="center"/>
          </w:tcPr>
          <w:p w14:paraId="1396873A" w14:textId="7907AA0D" w:rsidR="00406509" w:rsidRPr="00FB7E7A" w:rsidRDefault="00D5395B" w:rsidP="008B5E5A">
            <w:pPr>
              <w:spacing w:after="0"/>
              <w:jc w:val="center"/>
              <w:rPr>
                <w:rFonts w:cs="Calibri"/>
                <w:color w:val="000000"/>
              </w:rPr>
            </w:pPr>
            <w:r w:rsidRPr="00D5395B">
              <w:rPr>
                <w:rFonts w:cs="Calibri"/>
                <w:color w:val="000000"/>
              </w:rPr>
              <w:t>15052532</w:t>
            </w:r>
          </w:p>
        </w:tc>
      </w:tr>
      <w:tr w:rsidR="00406509" w:rsidRPr="007052F0" w14:paraId="2C25C3C0" w14:textId="77777777" w:rsidTr="00124188">
        <w:trPr>
          <w:trHeight w:val="379"/>
          <w:jc w:val="center"/>
        </w:trPr>
        <w:tc>
          <w:tcPr>
            <w:tcW w:w="1365" w:type="pct"/>
            <w:shd w:val="clear" w:color="auto" w:fill="2E74B5"/>
            <w:vAlign w:val="center"/>
          </w:tcPr>
          <w:p w14:paraId="5EB91011" w14:textId="77777777" w:rsidR="00406509" w:rsidRPr="007052F0" w:rsidRDefault="00406509" w:rsidP="00124188">
            <w:pPr>
              <w:spacing w:after="0"/>
              <w:rPr>
                <w:rFonts w:cs="Calibri"/>
                <w:b/>
                <w:color w:val="FFFFFF"/>
              </w:rPr>
            </w:pPr>
            <w:r w:rsidRPr="007052F0">
              <w:rPr>
                <w:rFonts w:cs="Calibri"/>
                <w:b/>
                <w:color w:val="FFFFFF"/>
              </w:rPr>
              <w:t>ČÍSLO BANKOVNÍHO ÚČTU:</w:t>
            </w:r>
          </w:p>
        </w:tc>
        <w:tc>
          <w:tcPr>
            <w:tcW w:w="3635" w:type="pct"/>
            <w:shd w:val="clear" w:color="auto" w:fill="auto"/>
            <w:vAlign w:val="center"/>
          </w:tcPr>
          <w:p w14:paraId="7CAA4BAA" w14:textId="1505025F" w:rsidR="00406509" w:rsidRPr="007052F0" w:rsidRDefault="00406509" w:rsidP="00DB3B6C">
            <w:pPr>
              <w:spacing w:after="0"/>
              <w:jc w:val="center"/>
              <w:rPr>
                <w:rFonts w:cs="Calibri"/>
              </w:rPr>
            </w:pPr>
          </w:p>
        </w:tc>
      </w:tr>
      <w:tr w:rsidR="00406509" w:rsidRPr="007052F0" w14:paraId="6F5F8F7E" w14:textId="77777777" w:rsidTr="00124188">
        <w:trPr>
          <w:trHeight w:val="50"/>
          <w:jc w:val="center"/>
        </w:trPr>
        <w:tc>
          <w:tcPr>
            <w:tcW w:w="1365" w:type="pct"/>
            <w:shd w:val="clear" w:color="auto" w:fill="2E74B5"/>
            <w:vAlign w:val="center"/>
          </w:tcPr>
          <w:p w14:paraId="3FD3747E" w14:textId="77777777" w:rsidR="00406509" w:rsidRPr="007052F0" w:rsidRDefault="00406509" w:rsidP="00124188">
            <w:pPr>
              <w:spacing w:after="0"/>
              <w:rPr>
                <w:rFonts w:cs="Calibri"/>
                <w:b/>
                <w:color w:val="FFFFFF"/>
              </w:rPr>
            </w:pPr>
            <w:r w:rsidRPr="007052F0">
              <w:rPr>
                <w:rFonts w:cs="Calibri"/>
                <w:b/>
                <w:color w:val="FFFFFF"/>
              </w:rPr>
              <w:t>ZAPSANÁ V OR:</w:t>
            </w:r>
          </w:p>
        </w:tc>
        <w:tc>
          <w:tcPr>
            <w:tcW w:w="3635" w:type="pct"/>
            <w:shd w:val="clear" w:color="auto" w:fill="auto"/>
            <w:vAlign w:val="center"/>
          </w:tcPr>
          <w:p w14:paraId="2E28D426" w14:textId="59668086" w:rsidR="00406509" w:rsidRPr="00FB7E7A" w:rsidRDefault="00D5395B" w:rsidP="00FB7E7A">
            <w:pPr>
              <w:spacing w:after="0"/>
              <w:jc w:val="center"/>
              <w:rPr>
                <w:rFonts w:cs="Calibri"/>
                <w:color w:val="000000"/>
              </w:rPr>
            </w:pPr>
            <w:r w:rsidRPr="00D5395B">
              <w:rPr>
                <w:rFonts w:cs="Calibri"/>
                <w:color w:val="000000"/>
              </w:rPr>
              <w:t>vedená u Krajského soudu v Hradci Králové</w:t>
            </w:r>
            <w:r w:rsidR="00FB7E7A">
              <w:rPr>
                <w:rFonts w:cs="Calibri"/>
                <w:color w:val="000000"/>
              </w:rPr>
              <w:t xml:space="preserve">, </w:t>
            </w:r>
            <w:proofErr w:type="spellStart"/>
            <w:r w:rsidR="00FB7E7A">
              <w:rPr>
                <w:rFonts w:cs="Calibri"/>
                <w:color w:val="000000"/>
              </w:rPr>
              <w:t>sp</w:t>
            </w:r>
            <w:proofErr w:type="spellEnd"/>
            <w:r w:rsidR="00FB7E7A">
              <w:rPr>
                <w:rFonts w:cs="Calibri"/>
                <w:color w:val="000000"/>
              </w:rPr>
              <w:t>. zn.:</w:t>
            </w:r>
            <w:r>
              <w:t xml:space="preserve"> </w:t>
            </w:r>
            <w:r w:rsidRPr="00D5395B">
              <w:rPr>
                <w:rFonts w:cs="Calibri"/>
                <w:color w:val="000000"/>
              </w:rPr>
              <w:t>B 2304</w:t>
            </w:r>
          </w:p>
        </w:tc>
      </w:tr>
    </w:tbl>
    <w:p w14:paraId="08296019" w14:textId="00B94DF3"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C3778F">
        <w:rPr>
          <w:rFonts w:eastAsia="Times New Roman" w:cs="Arial"/>
          <w:bCs/>
          <w:color w:val="000000"/>
          <w:lang w:eastAsia="cs-CZ"/>
        </w:rPr>
        <w:t>d</w:t>
      </w:r>
      <w:r w:rsidR="00406509" w:rsidRPr="00C3778F">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1121E7A9"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r w:rsidR="000E5F87">
        <w:rPr>
          <w:rFonts w:eastAsia="Times New Roman" w:cs="Arial"/>
          <w:color w:val="000000"/>
          <w:lang w:eastAsia="cs-CZ"/>
        </w:rPr>
        <w:t>.</w:t>
      </w:r>
    </w:p>
    <w:p w14:paraId="3620B2C5" w14:textId="00D770C8" w:rsidR="00406509" w:rsidRPr="0019419A" w:rsidRDefault="00406509">
      <w:pPr>
        <w:spacing w:after="120"/>
        <w:rPr>
          <w:rFonts w:eastAsia="Times New Roman" w:cs="Arial"/>
          <w:color w:val="000000"/>
          <w:sz w:val="24"/>
          <w:szCs w:val="24"/>
          <w:lang w:eastAsia="cs-CZ"/>
        </w:rPr>
      </w:pPr>
      <w:r w:rsidRPr="0019419A">
        <w:rPr>
          <w:rFonts w:eastAsia="Times New Roman" w:cs="Arial"/>
          <w:color w:val="000000"/>
          <w:sz w:val="24"/>
          <w:szCs w:val="24"/>
          <w:lang w:eastAsia="cs-CZ"/>
        </w:rPr>
        <w:br w:type="page"/>
      </w:r>
    </w:p>
    <w:p w14:paraId="1ED813F3" w14:textId="780C240A" w:rsidR="00406509" w:rsidRDefault="00406509">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Arial"/>
          <w:b/>
          <w:bCs/>
          <w:color w:val="000000"/>
          <w:sz w:val="24"/>
          <w:lang w:eastAsia="cs-CZ"/>
        </w:rPr>
      </w:pPr>
      <w:r w:rsidRPr="0019419A">
        <w:rPr>
          <w:rFonts w:eastAsia="Times New Roman" w:cs="Arial"/>
          <w:b/>
          <w:bCs/>
          <w:color w:val="000000"/>
          <w:sz w:val="24"/>
          <w:lang w:eastAsia="cs-CZ"/>
        </w:rPr>
        <w:lastRenderedPageBreak/>
        <w:t>Preambule</w:t>
      </w:r>
    </w:p>
    <w:p w14:paraId="5C03EF19" w14:textId="77777777" w:rsidR="00CB2E61" w:rsidRPr="0019419A" w:rsidRDefault="00CB2E61" w:rsidP="00CB2E61">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52"/>
        <w:outlineLvl w:val="0"/>
        <w:rPr>
          <w:rFonts w:eastAsia="Times New Roman" w:cs="Arial"/>
          <w:b/>
          <w:bCs/>
          <w:color w:val="000000"/>
          <w:sz w:val="24"/>
          <w:lang w:eastAsia="cs-CZ"/>
        </w:rPr>
      </w:pPr>
    </w:p>
    <w:p w14:paraId="22ECE4EB" w14:textId="1CD546C3" w:rsidR="007C5FC1" w:rsidRPr="00124188" w:rsidRDefault="00960CBB"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60CBB">
        <w:rPr>
          <w:rFonts w:eastAsia="Times New Roman" w:cs="Arial"/>
          <w:color w:val="000000"/>
          <w:lang w:eastAsia="cs-CZ"/>
        </w:rPr>
        <w:t>Smluvní strany uzavírají tuto smlouvu na veřejnou zakázku s názvem „</w:t>
      </w:r>
      <w:r w:rsidR="00D02D8B" w:rsidRPr="000603C4">
        <w:rPr>
          <w:rFonts w:eastAsia="Times New Roman" w:cs="Arial"/>
          <w:b/>
          <w:bCs/>
          <w:color w:val="000000"/>
          <w:lang w:eastAsia="cs-CZ"/>
        </w:rPr>
        <w:t>ČVUT-CIIRC:</w:t>
      </w:r>
      <w:r w:rsidR="008B5E5A" w:rsidRPr="008B5E5A">
        <w:t xml:space="preserve"> </w:t>
      </w:r>
      <w:r w:rsidR="008B5E5A" w:rsidRPr="008B5E5A">
        <w:rPr>
          <w:rFonts w:eastAsia="Times New Roman" w:cs="Arial"/>
          <w:b/>
          <w:bCs/>
          <w:color w:val="000000"/>
          <w:lang w:eastAsia="cs-CZ"/>
        </w:rPr>
        <w:t>Nástrojové držáky s RFID čipy</w:t>
      </w:r>
      <w:r w:rsidRPr="00960CBB">
        <w:rPr>
          <w:rFonts w:eastAsia="Times New Roman" w:cs="Arial"/>
          <w:color w:val="000000"/>
          <w:lang w:eastAsia="cs-CZ"/>
        </w:rPr>
        <w:t>,</w:t>
      </w:r>
      <w:r w:rsidR="000768B7">
        <w:rPr>
          <w:rFonts w:eastAsia="Times New Roman" w:cs="Arial"/>
          <w:color w:val="000000"/>
          <w:lang w:eastAsia="cs-CZ"/>
        </w:rPr>
        <w:t xml:space="preserve"> </w:t>
      </w:r>
      <w:r w:rsidR="000768B7" w:rsidRPr="000768B7">
        <w:rPr>
          <w:rFonts w:eastAsia="Times New Roman" w:cs="Arial"/>
          <w:b/>
          <w:color w:val="000000"/>
          <w:lang w:eastAsia="cs-CZ"/>
        </w:rPr>
        <w:t xml:space="preserve">dílčí část </w:t>
      </w:r>
      <w:r w:rsidR="00D5395B">
        <w:rPr>
          <w:rFonts w:eastAsia="Times New Roman" w:cs="Arial"/>
          <w:b/>
          <w:color w:val="000000"/>
          <w:lang w:eastAsia="cs-CZ"/>
        </w:rPr>
        <w:t>2</w:t>
      </w:r>
      <w:r w:rsidR="000768B7" w:rsidRPr="000768B7">
        <w:rPr>
          <w:rFonts w:eastAsia="Times New Roman" w:cs="Arial"/>
          <w:b/>
          <w:color w:val="000000"/>
          <w:lang w:eastAsia="cs-CZ"/>
        </w:rPr>
        <w:t>:</w:t>
      </w:r>
      <w:r w:rsidR="00D5395B">
        <w:rPr>
          <w:b/>
        </w:rPr>
        <w:t xml:space="preserve"> Mechanické </w:t>
      </w:r>
      <w:r w:rsidR="008B5E5A">
        <w:rPr>
          <w:b/>
        </w:rPr>
        <w:t>upínače</w:t>
      </w:r>
      <w:r w:rsidR="000768B7">
        <w:rPr>
          <w:rFonts w:eastAsia="Times New Roman" w:cs="Arial"/>
          <w:b/>
          <w:color w:val="000000"/>
          <w:lang w:eastAsia="cs-CZ"/>
        </w:rPr>
        <w:t>“</w:t>
      </w:r>
      <w:r w:rsidR="000768B7">
        <w:rPr>
          <w:rFonts w:eastAsia="Times New Roman" w:cs="Arial"/>
          <w:color w:val="000000"/>
          <w:lang w:eastAsia="cs-CZ"/>
        </w:rPr>
        <w:t>,</w:t>
      </w:r>
      <w:r w:rsidRPr="00960CBB">
        <w:rPr>
          <w:rFonts w:eastAsia="Times New Roman" w:cs="Arial"/>
          <w:color w:val="000000"/>
          <w:lang w:eastAsia="cs-CZ"/>
        </w:rPr>
        <w:t xml:space="preserve"> zadávané </w:t>
      </w:r>
      <w:r w:rsidR="00224ED9">
        <w:rPr>
          <w:rFonts w:eastAsia="Times New Roman" w:cs="Arial"/>
          <w:color w:val="000000"/>
          <w:lang w:eastAsia="cs-CZ"/>
        </w:rPr>
        <w:t>jako</w:t>
      </w:r>
      <w:r w:rsidR="000603C4">
        <w:rPr>
          <w:rFonts w:eastAsia="Times New Roman" w:cs="Arial"/>
          <w:color w:val="000000"/>
          <w:lang w:eastAsia="cs-CZ"/>
        </w:rPr>
        <w:t xml:space="preserve"> </w:t>
      </w:r>
      <w:r w:rsidR="00224ED9">
        <w:rPr>
          <w:rFonts w:eastAsia="Times New Roman" w:cs="Arial"/>
          <w:color w:val="000000"/>
          <w:lang w:eastAsia="cs-CZ"/>
        </w:rPr>
        <w:t xml:space="preserve">veřejná zakázka </w:t>
      </w:r>
      <w:r w:rsidR="0097368B">
        <w:rPr>
          <w:rFonts w:eastAsia="Times New Roman" w:cs="Arial"/>
          <w:color w:val="000000"/>
          <w:lang w:eastAsia="cs-CZ"/>
        </w:rPr>
        <w:t>malého rozsahu n</w:t>
      </w:r>
      <w:r w:rsidRPr="00960CBB">
        <w:rPr>
          <w:rFonts w:eastAsia="Times New Roman" w:cs="Arial"/>
          <w:color w:val="000000"/>
          <w:lang w:eastAsia="cs-CZ"/>
        </w:rPr>
        <w:t xml:space="preserve">a dodávky </w:t>
      </w:r>
      <w:r w:rsidR="0097368B">
        <w:rPr>
          <w:rFonts w:eastAsia="Times New Roman" w:cs="Arial"/>
          <w:color w:val="000000"/>
          <w:lang w:eastAsia="cs-CZ"/>
        </w:rPr>
        <w:t xml:space="preserve">mimo režim </w:t>
      </w:r>
      <w:r w:rsidRPr="00960CBB">
        <w:rPr>
          <w:rFonts w:eastAsia="Times New Roman" w:cs="Arial"/>
          <w:color w:val="000000"/>
          <w:lang w:eastAsia="cs-CZ"/>
        </w:rPr>
        <w:t xml:space="preserve">zákona o zadávání veřejných zakázek a </w:t>
      </w:r>
      <w:r w:rsidR="0097368B">
        <w:rPr>
          <w:rFonts w:eastAsia="Times New Roman" w:cs="Arial"/>
          <w:color w:val="000000"/>
          <w:lang w:eastAsia="cs-CZ"/>
        </w:rPr>
        <w:t xml:space="preserve">dle </w:t>
      </w:r>
      <w:r w:rsidRPr="00960CBB">
        <w:rPr>
          <w:rFonts w:eastAsia="Times New Roman" w:cs="Arial"/>
          <w:color w:val="000000"/>
          <w:lang w:eastAsia="cs-CZ"/>
        </w:rPr>
        <w:t>vnitřního předpisu kupujícího.</w:t>
      </w:r>
    </w:p>
    <w:p w14:paraId="5FEF9A84" w14:textId="01795074" w:rsidR="001F2330" w:rsidRPr="009E7D5E" w:rsidRDefault="001F2330"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E7D5E">
        <w:rPr>
          <w:rFonts w:eastAsia="Times New Roman" w:cs="Arial"/>
          <w:color w:val="000000"/>
          <w:lang w:eastAsia="cs-CZ"/>
        </w:rPr>
        <w:t xml:space="preserve">Smluvní strany berou na vědomí, že plnění dle této smlouvy je realizováno v rámci projektu </w:t>
      </w:r>
      <w:r w:rsidR="00253D5B">
        <w:t>RICAIP (Výzkumné a inovační centrum pro pokročilou průmyslovou výrobu) patřícímu k operačnímu programu Výzkum, vývoj a vzdělávání (OP VVV), zajišťovaného Ministerstvem školství, mládeže a tělovýchovy</w:t>
      </w:r>
      <w:r w:rsidRPr="009E7D5E">
        <w:rPr>
          <w:rFonts w:eastAsia="Times New Roman" w:cs="Arial"/>
          <w:color w:val="000000"/>
          <w:lang w:eastAsia="cs-CZ"/>
        </w:rPr>
        <w:t>.</w:t>
      </w:r>
    </w:p>
    <w:p w14:paraId="71BD5BF6" w14:textId="77777777" w:rsidR="002D3247" w:rsidRPr="009E7D5E" w:rsidRDefault="002D3247" w:rsidP="00124188">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2E939262" w14:textId="23B0481F" w:rsidR="001E5ED0" w:rsidRPr="0019419A" w:rsidRDefault="00CC4F3D" w:rsidP="00124188">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5913B1DE" w:rsidR="007C5FC1" w:rsidRDefault="003A57D8" w:rsidP="00124188">
      <w:pPr>
        <w:pStyle w:val="Odstavecseseznamem"/>
        <w:numPr>
          <w:ilvl w:val="0"/>
          <w:numId w:val="45"/>
        </w:numPr>
        <w:spacing w:after="120"/>
        <w:ind w:left="567" w:hanging="567"/>
        <w:contextualSpacing w:val="0"/>
        <w:jc w:val="both"/>
        <w:rPr>
          <w:lang w:eastAsia="cs-CZ"/>
        </w:rPr>
      </w:pPr>
      <w:r>
        <w:rPr>
          <w:rFonts w:eastAsia="Times New Roman" w:cs="Arial"/>
          <w:color w:val="000000"/>
          <w:lang w:eastAsia="cs-CZ"/>
        </w:rPr>
        <w:t>Účelem této smlouvy je</w:t>
      </w:r>
      <w:r w:rsidR="00406509" w:rsidRPr="009E7D5E">
        <w:rPr>
          <w:rFonts w:eastAsia="Times New Roman" w:cs="Arial"/>
          <w:color w:val="000000"/>
          <w:lang w:eastAsia="cs-CZ"/>
        </w:rPr>
        <w:t xml:space="preserve"> </w:t>
      </w:r>
      <w:r w:rsidR="00C55EAB">
        <w:rPr>
          <w:rFonts w:eastAsia="Times New Roman" w:cs="Arial"/>
          <w:color w:val="000000"/>
          <w:lang w:eastAsia="cs-CZ"/>
        </w:rPr>
        <w:t>nákup</w:t>
      </w:r>
      <w:r w:rsidR="00406509" w:rsidRPr="009E7D5E">
        <w:rPr>
          <w:rFonts w:eastAsia="Times New Roman" w:cs="Arial"/>
          <w:color w:val="000000"/>
          <w:lang w:eastAsia="cs-CZ"/>
        </w:rPr>
        <w:t xml:space="preserve"> zboží specifikovaného v této smlouvě a jejích přílohách a umožnění jeho bezproblémového </w:t>
      </w:r>
      <w:r w:rsidR="0055729C">
        <w:rPr>
          <w:rFonts w:eastAsia="Times New Roman" w:cs="Arial"/>
          <w:color w:val="000000"/>
          <w:lang w:eastAsia="cs-CZ"/>
        </w:rPr>
        <w:t>užívání</w:t>
      </w:r>
      <w:r w:rsidR="00406509" w:rsidRPr="009E7D5E">
        <w:rPr>
          <w:rFonts w:eastAsia="Times New Roman" w:cs="Arial"/>
          <w:color w:val="000000"/>
          <w:lang w:eastAsia="cs-CZ"/>
        </w:rPr>
        <w:t>.</w:t>
      </w:r>
    </w:p>
    <w:p w14:paraId="2BFA2E2B" w14:textId="1CCB435A" w:rsidR="000D2B7C" w:rsidRPr="009E7D5E" w:rsidRDefault="00AD334A" w:rsidP="00124188">
      <w:pPr>
        <w:pStyle w:val="Odstavecseseznamem"/>
        <w:numPr>
          <w:ilvl w:val="0"/>
          <w:numId w:val="45"/>
        </w:numPr>
        <w:spacing w:after="120"/>
        <w:ind w:left="567" w:hanging="567"/>
        <w:contextualSpacing w:val="0"/>
        <w:jc w:val="both"/>
        <w:rPr>
          <w:lang w:eastAsia="cs-CZ"/>
        </w:rPr>
      </w:pPr>
      <w:r w:rsidRPr="009E7D5E">
        <w:rPr>
          <w:rFonts w:eastAsia="Times New Roman" w:cs="Arial"/>
          <w:color w:val="000000"/>
          <w:lang w:eastAsia="cs-CZ"/>
        </w:rPr>
        <w:t>P</w:t>
      </w:r>
      <w:r w:rsidR="002D2C1A" w:rsidRPr="00142E1A">
        <w:rPr>
          <w:rFonts w:eastAsia="Times New Roman" w:cs="Arial"/>
          <w:color w:val="000000"/>
          <w:lang w:eastAsia="cs-CZ"/>
        </w:rPr>
        <w:t xml:space="preserve">ředmětem této smlouvy je dodávka </w:t>
      </w:r>
      <w:r w:rsidR="00AB7217">
        <w:rPr>
          <w:rFonts w:eastAsia="Times New Roman" w:cs="Arial"/>
          <w:color w:val="000000"/>
          <w:lang w:eastAsia="cs-CZ"/>
        </w:rPr>
        <w:t xml:space="preserve">mechanických </w:t>
      </w:r>
      <w:r w:rsidR="00CC15DC">
        <w:rPr>
          <w:rFonts w:eastAsia="Times New Roman" w:cs="Arial"/>
          <w:color w:val="000000"/>
          <w:lang w:eastAsia="cs-CZ"/>
        </w:rPr>
        <w:t xml:space="preserve">nástrojových držáků </w:t>
      </w:r>
      <w:r w:rsidR="00F23A88">
        <w:rPr>
          <w:rFonts w:eastAsia="Times New Roman" w:cs="Arial"/>
          <w:color w:val="000000"/>
          <w:lang w:eastAsia="cs-CZ"/>
        </w:rPr>
        <w:t>a souvisejícího plnění</w:t>
      </w:r>
      <w:r w:rsidR="0097368B" w:rsidRPr="0097368B">
        <w:rPr>
          <w:rFonts w:eastAsia="Times New Roman" w:cs="Arial"/>
          <w:color w:val="000000"/>
          <w:lang w:eastAsia="cs-CZ"/>
        </w:rPr>
        <w:t xml:space="preserve"> </w:t>
      </w:r>
      <w:r w:rsidR="002D2C1A" w:rsidRPr="00142E1A">
        <w:rPr>
          <w:rFonts w:eastAsia="Times New Roman" w:cs="Arial"/>
          <w:color w:val="000000"/>
          <w:lang w:eastAsia="cs-CZ"/>
        </w:rPr>
        <w:t>(dále jen „zboží“)</w:t>
      </w:r>
      <w:r w:rsidR="001F2330" w:rsidRPr="00142E1A">
        <w:rPr>
          <w:rFonts w:eastAsia="Times New Roman" w:cs="Arial"/>
          <w:color w:val="000000"/>
          <w:lang w:eastAsia="cs-CZ"/>
        </w:rPr>
        <w:t xml:space="preserve"> blíže specifikované</w:t>
      </w:r>
      <w:r w:rsidR="00C55EAB">
        <w:rPr>
          <w:rFonts w:eastAsia="Times New Roman" w:cs="Arial"/>
          <w:color w:val="000000"/>
          <w:lang w:eastAsia="cs-CZ"/>
        </w:rPr>
        <w:t xml:space="preserve"> v příloze A této smlouvy – t</w:t>
      </w:r>
      <w:r w:rsidR="001F2330" w:rsidRPr="00D72A94">
        <w:rPr>
          <w:rFonts w:eastAsia="Times New Roman" w:cs="Arial"/>
          <w:color w:val="000000"/>
          <w:lang w:eastAsia="cs-CZ"/>
        </w:rPr>
        <w:t>echnické s</w:t>
      </w:r>
      <w:r w:rsidR="00C55EAB">
        <w:rPr>
          <w:rFonts w:eastAsia="Times New Roman" w:cs="Arial"/>
          <w:color w:val="000000"/>
          <w:lang w:eastAsia="cs-CZ"/>
        </w:rPr>
        <w:t>pecifikaci (dále v textu také „t</w:t>
      </w:r>
      <w:r w:rsidR="001F2330" w:rsidRPr="00D72A94">
        <w:rPr>
          <w:rFonts w:eastAsia="Times New Roman" w:cs="Arial"/>
          <w:color w:val="000000"/>
          <w:lang w:eastAsia="cs-CZ"/>
        </w:rPr>
        <w:t>echnická specifikace“)</w:t>
      </w:r>
      <w:r w:rsidR="0097368B">
        <w:rPr>
          <w:rFonts w:eastAsia="Times New Roman" w:cs="Arial"/>
          <w:color w:val="000000"/>
          <w:lang w:eastAsia="cs-CZ"/>
        </w:rPr>
        <w:t xml:space="preserve"> a v příloze B této smlouvy – nabídka č. </w:t>
      </w:r>
      <w:r w:rsidR="00AB7217" w:rsidRPr="00AB7217">
        <w:rPr>
          <w:rFonts w:eastAsia="Times New Roman" w:cs="Arial"/>
          <w:color w:val="000000"/>
          <w:lang w:eastAsia="cs-CZ"/>
        </w:rPr>
        <w:t>22570031</w:t>
      </w:r>
      <w:r w:rsidR="002E3666">
        <w:rPr>
          <w:rFonts w:eastAsia="Times New Roman" w:cs="Arial"/>
          <w:color w:val="000000"/>
          <w:lang w:eastAsia="cs-CZ"/>
        </w:rPr>
        <w:t>.</w:t>
      </w:r>
      <w:r w:rsidR="001F2330" w:rsidRPr="00D72A94">
        <w:rPr>
          <w:rFonts w:eastAsia="Times New Roman" w:cs="Arial"/>
          <w:color w:val="000000"/>
          <w:lang w:eastAsia="cs-CZ"/>
        </w:rPr>
        <w:t xml:space="preserve"> </w:t>
      </w:r>
      <w:r w:rsidR="000768B7">
        <w:rPr>
          <w:rFonts w:eastAsia="Times New Roman" w:cs="Arial"/>
          <w:color w:val="000000"/>
          <w:lang w:eastAsia="cs-CZ"/>
        </w:rPr>
        <w:t xml:space="preserve">Součástí předmětu této smlouvy jsou také plnění a příslušenství dle odst. 3. </w:t>
      </w:r>
      <w:r w:rsidR="00465624">
        <w:rPr>
          <w:lang w:eastAsia="cs-CZ"/>
        </w:rPr>
        <w:t xml:space="preserve">Prodávající se zavazuje </w:t>
      </w:r>
      <w:r w:rsidR="008B7A13">
        <w:rPr>
          <w:lang w:eastAsia="cs-CZ"/>
        </w:rPr>
        <w:t xml:space="preserve">dodat </w:t>
      </w:r>
      <w:r w:rsidR="00465624">
        <w:rPr>
          <w:lang w:eastAsia="cs-CZ"/>
        </w:rPr>
        <w:t xml:space="preserve">zboží </w:t>
      </w:r>
      <w:r w:rsidR="008B7A13">
        <w:rPr>
          <w:lang w:eastAsia="cs-CZ"/>
        </w:rPr>
        <w:t xml:space="preserve">za dodržení podmínek stanovených touto smlouvou a </w:t>
      </w:r>
      <w:r w:rsidR="003A57D8">
        <w:rPr>
          <w:lang w:eastAsia="cs-CZ"/>
        </w:rPr>
        <w:t xml:space="preserve">převést na kupujícího </w:t>
      </w:r>
      <w:r w:rsidR="008B7A13">
        <w:rPr>
          <w:lang w:eastAsia="cs-CZ"/>
        </w:rPr>
        <w:t>vlastnické právo ke zboží. K</w:t>
      </w:r>
      <w:r w:rsidR="00465624">
        <w:rPr>
          <w:lang w:eastAsia="cs-CZ"/>
        </w:rPr>
        <w:t xml:space="preserve">upující se zavazuje </w:t>
      </w:r>
      <w:r w:rsidR="00EA5974">
        <w:rPr>
          <w:lang w:eastAsia="cs-CZ"/>
        </w:rPr>
        <w:t>za ně za</w:t>
      </w:r>
      <w:r w:rsidR="00465624" w:rsidRPr="00AD334A">
        <w:rPr>
          <w:lang w:eastAsia="cs-CZ"/>
        </w:rPr>
        <w:t xml:space="preserve">platit </w:t>
      </w:r>
      <w:r w:rsidR="00EA5974">
        <w:rPr>
          <w:lang w:eastAsia="cs-CZ"/>
        </w:rPr>
        <w:t>cenu v dohodnuté</w:t>
      </w:r>
      <w:r w:rsidR="00465624" w:rsidRPr="00AD334A">
        <w:rPr>
          <w:lang w:eastAsia="cs-CZ"/>
        </w:rPr>
        <w:t xml:space="preserve"> výši a způsobem určeným tout</w:t>
      </w:r>
      <w:r w:rsidR="001F2330">
        <w:rPr>
          <w:lang w:eastAsia="cs-CZ"/>
        </w:rPr>
        <w:t>o smlouvou.</w:t>
      </w:r>
    </w:p>
    <w:p w14:paraId="663BBDB8" w14:textId="504D5A22" w:rsidR="002D2C1A" w:rsidRPr="007F73D2" w:rsidRDefault="00364BEA" w:rsidP="00124188">
      <w:pPr>
        <w:pStyle w:val="Odstavecseseznamem"/>
        <w:numPr>
          <w:ilvl w:val="0"/>
          <w:numId w:val="43"/>
        </w:numPr>
        <w:spacing w:after="120"/>
        <w:ind w:left="567" w:hanging="567"/>
        <w:contextualSpacing w:val="0"/>
        <w:rPr>
          <w:lang w:eastAsia="cs-CZ"/>
        </w:rPr>
      </w:pPr>
      <w:bookmarkStart w:id="0" w:name="_Hlk45698086"/>
      <w:r w:rsidRPr="007F73D2">
        <w:rPr>
          <w:rFonts w:eastAsia="Times New Roman" w:cs="Arial"/>
          <w:color w:val="000000"/>
          <w:lang w:eastAsia="cs-CZ"/>
        </w:rPr>
        <w:t>Nedílnou s</w:t>
      </w:r>
      <w:r w:rsidR="002D2C1A" w:rsidRPr="007F73D2">
        <w:rPr>
          <w:rFonts w:eastAsia="Times New Roman" w:cs="Arial"/>
          <w:color w:val="000000"/>
          <w:lang w:eastAsia="cs-CZ"/>
        </w:rPr>
        <w:t>oučástí dodání zboží</w:t>
      </w:r>
      <w:r w:rsidRPr="007F73D2">
        <w:rPr>
          <w:rFonts w:eastAsia="Times New Roman" w:cs="Arial"/>
          <w:color w:val="000000"/>
          <w:lang w:eastAsia="cs-CZ"/>
        </w:rPr>
        <w:t>, a tedy i předmětem smlouvy</w:t>
      </w:r>
      <w:r w:rsidR="002D2C1A" w:rsidRPr="007F73D2">
        <w:rPr>
          <w:rFonts w:eastAsia="Times New Roman" w:cs="Arial"/>
          <w:color w:val="000000"/>
          <w:lang w:eastAsia="cs-CZ"/>
        </w:rPr>
        <w:t xml:space="preserve"> je:</w:t>
      </w:r>
      <w:bookmarkEnd w:id="0"/>
    </w:p>
    <w:p w14:paraId="7F8E71FD" w14:textId="77777777" w:rsidR="000768B7" w:rsidRPr="000C6023" w:rsidRDefault="000768B7" w:rsidP="00DB3B6C">
      <w:pPr>
        <w:pStyle w:val="Odstavecseseznamem"/>
        <w:numPr>
          <w:ilvl w:val="1"/>
          <w:numId w:val="18"/>
        </w:numPr>
        <w:spacing w:after="120"/>
        <w:ind w:left="1134" w:hanging="283"/>
        <w:contextualSpacing w:val="0"/>
        <w:jc w:val="both"/>
        <w:rPr>
          <w:rFonts w:eastAsia="Times New Roman" w:cs="Arial"/>
          <w:color w:val="000000"/>
          <w:lang w:eastAsia="cs-CZ"/>
        </w:rPr>
      </w:pPr>
      <w:r w:rsidRPr="000C6023">
        <w:rPr>
          <w:rFonts w:eastAsia="Times New Roman" w:cs="Arial"/>
          <w:color w:val="000000"/>
          <w:lang w:eastAsia="cs-CZ"/>
        </w:rPr>
        <w:t>doprava do konkrétní místnosti dle čl. 3. smlouvy;</w:t>
      </w:r>
    </w:p>
    <w:p w14:paraId="16B7EF06" w14:textId="6C9E9C91" w:rsidR="000768B7" w:rsidRDefault="000768B7" w:rsidP="00DB3B6C">
      <w:pPr>
        <w:pStyle w:val="Odstavecseseznamem"/>
        <w:numPr>
          <w:ilvl w:val="1"/>
          <w:numId w:val="18"/>
        </w:numPr>
        <w:spacing w:after="120"/>
        <w:ind w:left="1134" w:hanging="283"/>
        <w:contextualSpacing w:val="0"/>
        <w:jc w:val="both"/>
        <w:rPr>
          <w:rFonts w:eastAsia="Times New Roman" w:cs="Arial"/>
          <w:color w:val="000000"/>
          <w:lang w:eastAsia="cs-CZ"/>
        </w:rPr>
      </w:pPr>
      <w:r w:rsidRPr="000C6023">
        <w:rPr>
          <w:rFonts w:eastAsia="Times New Roman" w:cs="Arial"/>
          <w:color w:val="000000"/>
          <w:lang w:eastAsia="cs-CZ"/>
        </w:rPr>
        <w:t>předání veškeré související dokumentace (certifikát CE, technická dokumentace, pokyny pro údržbu apod.) vztahující se ke zboží, která je potřebná pro nakládání se zbožím a pro jeho provoz, nebo kterou vyžadují příslušné právní předpisy a české a evropské technické normy;</w:t>
      </w:r>
    </w:p>
    <w:p w14:paraId="1BE95FEA" w14:textId="7B6407BB" w:rsidR="00657A50" w:rsidRDefault="00657A50" w:rsidP="00DB3B6C">
      <w:pPr>
        <w:pStyle w:val="Odstavecseseznamem"/>
        <w:numPr>
          <w:ilvl w:val="1"/>
          <w:numId w:val="18"/>
        </w:numPr>
        <w:spacing w:after="120"/>
        <w:ind w:left="1134" w:hanging="283"/>
        <w:contextualSpacing w:val="0"/>
        <w:jc w:val="both"/>
        <w:rPr>
          <w:rFonts w:eastAsia="Times New Roman" w:cs="Arial"/>
          <w:color w:val="000000"/>
          <w:lang w:eastAsia="cs-CZ"/>
        </w:rPr>
      </w:pPr>
      <w:r>
        <w:rPr>
          <w:rFonts w:eastAsia="Times New Roman" w:cs="Arial"/>
          <w:color w:val="000000"/>
          <w:lang w:eastAsia="cs-CZ"/>
        </w:rPr>
        <w:t>instalace v místě dodání;</w:t>
      </w:r>
    </w:p>
    <w:p w14:paraId="47899B40" w14:textId="0B05BF67" w:rsidR="00657A50" w:rsidRDefault="00657A50" w:rsidP="00DB3B6C">
      <w:pPr>
        <w:pStyle w:val="Odstavecseseznamem"/>
        <w:numPr>
          <w:ilvl w:val="1"/>
          <w:numId w:val="18"/>
        </w:numPr>
        <w:spacing w:after="120"/>
        <w:ind w:left="1134" w:hanging="283"/>
        <w:contextualSpacing w:val="0"/>
        <w:jc w:val="both"/>
        <w:rPr>
          <w:rFonts w:eastAsia="Times New Roman" w:cs="Arial"/>
          <w:color w:val="000000"/>
          <w:lang w:eastAsia="cs-CZ"/>
        </w:rPr>
      </w:pPr>
      <w:r w:rsidRPr="00657A50">
        <w:rPr>
          <w:rFonts w:eastAsia="Times New Roman" w:cs="Arial"/>
          <w:color w:val="000000"/>
          <w:lang w:eastAsia="cs-CZ"/>
        </w:rPr>
        <w:t>zprovoznění komunikace se stávajícími systémy</w:t>
      </w:r>
      <w:r>
        <w:rPr>
          <w:rFonts w:eastAsia="Times New Roman" w:cs="Arial"/>
          <w:color w:val="000000"/>
          <w:lang w:eastAsia="cs-CZ"/>
        </w:rPr>
        <w:t>;</w:t>
      </w:r>
    </w:p>
    <w:p w14:paraId="768C7E3F" w14:textId="6044F4BD" w:rsidR="00657A50" w:rsidRPr="000C6023" w:rsidRDefault="00657A50" w:rsidP="00DB3B6C">
      <w:pPr>
        <w:pStyle w:val="Odstavecseseznamem"/>
        <w:numPr>
          <w:ilvl w:val="1"/>
          <w:numId w:val="18"/>
        </w:numPr>
        <w:spacing w:after="120"/>
        <w:ind w:left="1134" w:hanging="283"/>
        <w:contextualSpacing w:val="0"/>
        <w:jc w:val="both"/>
        <w:rPr>
          <w:rFonts w:eastAsia="Times New Roman" w:cs="Arial"/>
          <w:color w:val="000000"/>
          <w:lang w:eastAsia="cs-CZ"/>
        </w:rPr>
      </w:pPr>
      <w:r w:rsidRPr="00657A50">
        <w:rPr>
          <w:rFonts w:eastAsia="Times New Roman" w:cs="Arial"/>
          <w:color w:val="000000"/>
          <w:lang w:eastAsia="cs-CZ"/>
        </w:rPr>
        <w:t>zaškolení pracovníků pro použití</w:t>
      </w:r>
      <w:r>
        <w:rPr>
          <w:rFonts w:eastAsia="Times New Roman" w:cs="Arial"/>
          <w:color w:val="000000"/>
          <w:lang w:eastAsia="cs-CZ"/>
        </w:rPr>
        <w:t>;</w:t>
      </w:r>
    </w:p>
    <w:p w14:paraId="29597340" w14:textId="77777777" w:rsidR="000768B7" w:rsidRPr="000C6023" w:rsidRDefault="000768B7" w:rsidP="00DB3B6C">
      <w:pPr>
        <w:pStyle w:val="Odstavecseseznamem"/>
        <w:widowControl w:val="0"/>
        <w:numPr>
          <w:ilvl w:val="1"/>
          <w:numId w:val="18"/>
        </w:numPr>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5" w:hanging="284"/>
        <w:contextualSpacing w:val="0"/>
        <w:jc w:val="both"/>
        <w:rPr>
          <w:rFonts w:eastAsia="Times New Roman" w:cs="Arial"/>
          <w:color w:val="000000"/>
          <w:lang w:eastAsia="cs-CZ"/>
        </w:rPr>
      </w:pPr>
      <w:r w:rsidRPr="000C6023">
        <w:rPr>
          <w:rFonts w:eastAsia="Times New Roman" w:cs="Arial"/>
          <w:color w:val="000000"/>
          <w:lang w:eastAsia="cs-CZ"/>
        </w:rPr>
        <w:t>poskytování souvisejících služeb a servisu dle čl. V. této smlouvy.</w:t>
      </w:r>
    </w:p>
    <w:p w14:paraId="6EBF9CD3" w14:textId="326FC7D8" w:rsidR="00C46C71" w:rsidRPr="009E7D5E" w:rsidRDefault="00364BEA" w:rsidP="000768B7">
      <w:pPr>
        <w:pStyle w:val="Odstavecseseznamem"/>
        <w:numPr>
          <w:ilvl w:val="0"/>
          <w:numId w:val="17"/>
        </w:numPr>
        <w:spacing w:before="120" w:after="120"/>
        <w:ind w:left="1701" w:hanging="6"/>
        <w:contextualSpacing w:val="0"/>
        <w:jc w:val="center"/>
        <w:rPr>
          <w:b/>
          <w:sz w:val="24"/>
          <w:szCs w:val="24"/>
          <w:lang w:eastAsia="cs-CZ"/>
        </w:rPr>
      </w:pPr>
      <w:r w:rsidRPr="009E7D5E">
        <w:rPr>
          <w:b/>
          <w:sz w:val="24"/>
          <w:szCs w:val="24"/>
          <w:lang w:eastAsia="cs-CZ"/>
        </w:rPr>
        <w:t>Podmínky d</w:t>
      </w:r>
      <w:r w:rsidR="00484F6E" w:rsidRPr="009E7D5E">
        <w:rPr>
          <w:b/>
          <w:sz w:val="24"/>
          <w:szCs w:val="24"/>
          <w:lang w:eastAsia="cs-CZ"/>
        </w:rPr>
        <w:t>odání zboží, doba a místo plnění</w:t>
      </w:r>
    </w:p>
    <w:p w14:paraId="33F2C419" w14:textId="56572ED6"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50266C40" w:rsidR="00CB2E61" w:rsidRPr="00124188" w:rsidRDefault="00364BEA"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06CEF760"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5B594512" w14:textId="3F4371FD" w:rsidR="005467F0" w:rsidRPr="00124188" w:rsidRDefault="00502350" w:rsidP="00124188">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Arial"/>
          <w:color w:val="000000" w:themeColor="text1"/>
        </w:rPr>
      </w:pPr>
      <w:bookmarkStart w:id="1"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totiž pro jeho fyzickou přepravu do místa plnění</w:t>
      </w:r>
      <w:r w:rsidR="00A534AA">
        <w:rPr>
          <w:rFonts w:cs="Arial"/>
          <w:color w:val="000000" w:themeColor="text1"/>
        </w:rPr>
        <w:t>,</w:t>
      </w:r>
      <w:r w:rsidR="0071714B" w:rsidRPr="00D72A94">
        <w:rPr>
          <w:rFonts w:cs="Arial"/>
          <w:color w:val="000000" w:themeColor="text1"/>
        </w:rPr>
        <w:t xml:space="preserve"> </w:t>
      </w:r>
      <w:r w:rsidRPr="00D72A94">
        <w:rPr>
          <w:rFonts w:cs="Arial"/>
          <w:color w:val="000000" w:themeColor="text1"/>
        </w:rPr>
        <w:t xml:space="preserve">činí </w:t>
      </w:r>
      <w:r w:rsidRPr="00CB2E61">
        <w:rPr>
          <w:rFonts w:cs="Arial"/>
          <w:color w:val="000000" w:themeColor="text1"/>
        </w:rPr>
        <w:t xml:space="preserve">nejvýše </w:t>
      </w:r>
      <w:r w:rsidR="00E036B3">
        <w:rPr>
          <w:rFonts w:cs="Arial"/>
          <w:b/>
          <w:color w:val="000000" w:themeColor="text1"/>
        </w:rPr>
        <w:t>30</w:t>
      </w:r>
      <w:r w:rsidR="00C262E7" w:rsidRPr="000768B7">
        <w:rPr>
          <w:rFonts w:cs="Arial"/>
          <w:b/>
          <w:color w:val="000000" w:themeColor="text1"/>
        </w:rPr>
        <w:t xml:space="preserve"> dnů</w:t>
      </w:r>
      <w:r w:rsidRPr="00CB2E61">
        <w:rPr>
          <w:rFonts w:cs="Arial"/>
          <w:color w:val="000000" w:themeColor="text1"/>
        </w:rPr>
        <w:t xml:space="preserve"> od</w:t>
      </w:r>
      <w:r w:rsidR="00C262E7" w:rsidRPr="00CB2E61">
        <w:rPr>
          <w:rFonts w:cs="Arial"/>
          <w:color w:val="000000" w:themeColor="text1"/>
        </w:rPr>
        <w:t>e</w:t>
      </w:r>
      <w:r w:rsidR="00C262E7" w:rsidRPr="00142E1A">
        <w:rPr>
          <w:rFonts w:cs="Arial"/>
          <w:color w:val="000000" w:themeColor="text1"/>
        </w:rPr>
        <w:t xml:space="preserve"> </w:t>
      </w:r>
      <w:r w:rsidR="000768B7">
        <w:rPr>
          <w:rFonts w:cs="Arial"/>
          <w:color w:val="000000" w:themeColor="text1"/>
        </w:rPr>
        <w:lastRenderedPageBreak/>
        <w:t>dne účinnosti této smlouvy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 pracovních dní </w:t>
      </w:r>
      <w:r w:rsidR="000450AB">
        <w:rPr>
          <w:rFonts w:cs="Arial"/>
          <w:color w:val="000000" w:themeColor="text1"/>
        </w:rPr>
        <w:t>před</w:t>
      </w:r>
      <w:r w:rsidRPr="009E7D5E">
        <w:rPr>
          <w:rFonts w:cs="Arial"/>
          <w:color w:val="000000" w:themeColor="text1"/>
        </w:rPr>
        <w:t xml:space="preserve"> dodání</w:t>
      </w:r>
      <w:bookmarkEnd w:id="1"/>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8A12E5E" w:rsidR="00502350" w:rsidRPr="0019419A" w:rsidRDefault="00502350" w:rsidP="000603C4">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jc w:val="both"/>
        <w:rPr>
          <w:rFonts w:cs="Arial"/>
          <w:color w:val="000000" w:themeColor="text1"/>
        </w:rPr>
      </w:pPr>
      <w:r w:rsidRPr="0019419A">
        <w:rPr>
          <w:rFonts w:cs="Arial"/>
          <w:color w:val="000000" w:themeColor="text1"/>
        </w:rPr>
        <w:t xml:space="preserve">Osobami pověřenými jednat za smluvní strany </w:t>
      </w:r>
      <w:r w:rsidR="004B7339">
        <w:rPr>
          <w:rFonts w:cs="Arial"/>
          <w:color w:val="000000" w:themeColor="text1"/>
        </w:rPr>
        <w:t xml:space="preserve">ve věci </w:t>
      </w:r>
      <w:r w:rsidRPr="0019419A">
        <w:rPr>
          <w:rFonts w:cs="Arial"/>
          <w:color w:val="000000" w:themeColor="text1"/>
        </w:rPr>
        <w:t>dodání</w:t>
      </w:r>
      <w:r w:rsidR="004B7339">
        <w:rPr>
          <w:rFonts w:cs="Arial"/>
          <w:color w:val="000000" w:themeColor="text1"/>
        </w:rPr>
        <w:t xml:space="preserve"> zboží</w:t>
      </w:r>
      <w:r w:rsidRPr="0019419A">
        <w:rPr>
          <w:rFonts w:cs="Arial"/>
          <w:color w:val="000000" w:themeColor="text1"/>
        </w:rPr>
        <w:t xml:space="preserve"> jsou: </w:t>
      </w:r>
    </w:p>
    <w:p w14:paraId="5BEB5915" w14:textId="77777777" w:rsidR="004B7339" w:rsidRDefault="004B7339"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EF2712" w14:textId="264E1008" w:rsidR="0099749C" w:rsidRPr="00E036B3" w:rsidRDefault="00502350" w:rsidP="00E036B3">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za stranu kupujícího:</w:t>
      </w:r>
      <w:r w:rsidR="00E036B3" w:rsidRPr="00E036B3">
        <w:t xml:space="preserve"> </w:t>
      </w:r>
    </w:p>
    <w:p w14:paraId="155FAA01" w14:textId="77777777" w:rsidR="00033C22" w:rsidRDefault="00033C22" w:rsidP="0025665A">
      <w:pPr>
        <w:pStyle w:val="Odstavecseseznamem"/>
        <w:widowControl w:val="0"/>
        <w:tabs>
          <w:tab w:val="left" w:pos="709"/>
          <w:tab w:val="left" w:pos="1200"/>
        </w:tabs>
        <w:autoSpaceDE w:val="0"/>
        <w:autoSpaceDN w:val="0"/>
        <w:adjustRightInd w:val="0"/>
        <w:spacing w:after="120" w:line="240" w:lineRule="auto"/>
        <w:ind w:left="1134" w:hanging="283"/>
        <w:jc w:val="both"/>
      </w:pPr>
    </w:p>
    <w:p w14:paraId="2D8E5EA7" w14:textId="7C38B393" w:rsidR="00C76BD6" w:rsidRPr="00C26BBD" w:rsidRDefault="00502350" w:rsidP="00C26BBD">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w:t>
      </w:r>
      <w:r w:rsidR="00603B8B">
        <w:rPr>
          <w:rFonts w:cs="Arial"/>
          <w:color w:val="000000" w:themeColor="text1"/>
        </w:rPr>
        <w:t xml:space="preserve"> </w:t>
      </w:r>
    </w:p>
    <w:p w14:paraId="73F8D0C9" w14:textId="4399E67A" w:rsidR="00CD5FEE" w:rsidRPr="0019419A" w:rsidRDefault="00CD5FE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66777F97" w:rsidR="000450AB"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Místem plnění se rozumí budova </w:t>
      </w:r>
      <w:r w:rsidRPr="00CD5FEE">
        <w:rPr>
          <w:rFonts w:cs="Arial"/>
          <w:b/>
          <w:color w:val="000000" w:themeColor="text1"/>
        </w:rPr>
        <w:t xml:space="preserve">ČVUT – CIIRC, Jugoslávských partyzánů 3, 160 00 Praha 6 – Dejvice, </w:t>
      </w:r>
      <w:r w:rsidR="0028563F" w:rsidRPr="00CD5FEE">
        <w:rPr>
          <w:rFonts w:cs="Arial"/>
          <w:b/>
          <w:color w:val="000000" w:themeColor="text1"/>
        </w:rPr>
        <w:t xml:space="preserve">budova </w:t>
      </w:r>
      <w:r w:rsidR="0028563F" w:rsidRPr="000450AB">
        <w:rPr>
          <w:rFonts w:cs="Arial"/>
          <w:b/>
          <w:color w:val="000000" w:themeColor="text1"/>
        </w:rPr>
        <w:t xml:space="preserve">B, </w:t>
      </w:r>
      <w:r w:rsidRPr="000450AB">
        <w:rPr>
          <w:rFonts w:cs="Arial"/>
          <w:b/>
          <w:color w:val="000000" w:themeColor="text1"/>
        </w:rPr>
        <w:t xml:space="preserve">místnost </w:t>
      </w:r>
      <w:r w:rsidR="000450AB" w:rsidRPr="000450AB">
        <w:rPr>
          <w:b/>
        </w:rPr>
        <w:t>CIIRC</w:t>
      </w:r>
      <w:r w:rsidR="00124188">
        <w:rPr>
          <w:b/>
        </w:rPr>
        <w:t xml:space="preserve"> </w:t>
      </w:r>
      <w:r w:rsidR="000768B7" w:rsidRPr="000768B7">
        <w:rPr>
          <w:b/>
        </w:rPr>
        <w:t>B.1</w:t>
      </w:r>
      <w:bookmarkStart w:id="2" w:name="_GoBack"/>
      <w:bookmarkEnd w:id="2"/>
      <w:r w:rsidR="000768B7" w:rsidRPr="000768B7">
        <w:rPr>
          <w:b/>
        </w:rPr>
        <w:t>.</w:t>
      </w:r>
      <w:r w:rsidR="00E036B3">
        <w:rPr>
          <w:b/>
        </w:rPr>
        <w:t>06</w:t>
      </w:r>
      <w:r w:rsidR="000768B7" w:rsidRPr="000768B7">
        <w:rPr>
          <w:b/>
        </w:rPr>
        <w:t xml:space="preserve"> </w:t>
      </w:r>
      <w:r w:rsidRPr="000450AB">
        <w:rPr>
          <w:rFonts w:cs="Arial"/>
          <w:color w:val="000000" w:themeColor="text1"/>
        </w:rPr>
        <w:t>(dále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4B08AF" w14:textId="3D07B2D8" w:rsidR="00AC3BD5" w:rsidRPr="000603C4" w:rsidRDefault="00502350" w:rsidP="000768B7">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pPr>
      <w:r w:rsidRPr="009E7D5E">
        <w:rPr>
          <w:rFonts w:cs="Arial"/>
          <w:color w:val="000000"/>
          <w:lang w:eastAsia="cs-CZ"/>
        </w:rPr>
        <w:t>Součástí řádného dodá</w:t>
      </w:r>
      <w:r w:rsidR="00484F6E" w:rsidRPr="009E7D5E">
        <w:rPr>
          <w:rFonts w:cs="Arial"/>
          <w:color w:val="000000"/>
          <w:lang w:eastAsia="cs-CZ"/>
        </w:rPr>
        <w:t>ní je i dop</w:t>
      </w:r>
      <w:r w:rsidR="00276B26">
        <w:rPr>
          <w:rFonts w:cs="Arial"/>
          <w:color w:val="000000"/>
          <w:lang w:eastAsia="cs-CZ"/>
        </w:rPr>
        <w:t xml:space="preserve">rava na místo dodání dle odst. </w:t>
      </w:r>
      <w:r w:rsidR="0025665A">
        <w:rPr>
          <w:rFonts w:cs="Arial"/>
          <w:color w:val="000000"/>
          <w:lang w:eastAsia="cs-CZ"/>
        </w:rPr>
        <w:t>6</w:t>
      </w:r>
      <w:r w:rsidR="00484F6E" w:rsidRPr="009E7D5E">
        <w:rPr>
          <w:rFonts w:cs="Arial"/>
          <w:color w:val="000000"/>
          <w:lang w:eastAsia="cs-CZ"/>
        </w:rPr>
        <w:t xml:space="preserve"> </w:t>
      </w:r>
      <w:r w:rsidR="00384371" w:rsidRPr="009E7D5E">
        <w:rPr>
          <w:rFonts w:cs="Arial"/>
          <w:color w:val="000000"/>
          <w:lang w:eastAsia="cs-CZ"/>
        </w:rPr>
        <w:t>tohoto článku</w:t>
      </w:r>
      <w:r w:rsidR="000768B7">
        <w:rPr>
          <w:rFonts w:cs="Arial"/>
          <w:color w:val="000000"/>
          <w:lang w:eastAsia="cs-CZ"/>
        </w:rPr>
        <w:t>.</w:t>
      </w:r>
    </w:p>
    <w:p w14:paraId="5B8C8849" w14:textId="18A57501" w:rsidR="007C5FC1" w:rsidRPr="00124188"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25665A">
        <w:rPr>
          <w:rFonts w:cs="Arial"/>
          <w:color w:val="000000" w:themeColor="text1"/>
        </w:rPr>
        <w:t>Vlastnické právo k předmětu plnění, jakož i nebezpečí škody na věci</w:t>
      </w:r>
      <w:r w:rsidR="00CC30AD" w:rsidRPr="0025665A">
        <w:rPr>
          <w:rFonts w:cs="Arial"/>
          <w:color w:val="000000" w:themeColor="text1"/>
        </w:rPr>
        <w:t>,</w:t>
      </w:r>
      <w:r w:rsidRPr="0025665A">
        <w:rPr>
          <w:rFonts w:cs="Arial"/>
          <w:color w:val="000000" w:themeColor="text1"/>
        </w:rPr>
        <w:t xml:space="preserve"> přechází</w:t>
      </w:r>
      <w:r w:rsidR="00384371" w:rsidRPr="0025665A">
        <w:rPr>
          <w:rFonts w:cs="Arial"/>
          <w:color w:val="000000" w:themeColor="text1"/>
        </w:rPr>
        <w:t xml:space="preserve"> z prodávajícího</w:t>
      </w:r>
      <w:r w:rsidRPr="00436629">
        <w:rPr>
          <w:rFonts w:cs="Arial"/>
          <w:color w:val="000000" w:themeColor="text1"/>
        </w:rPr>
        <w:t xml:space="preserve"> na kupujícího okamžikem převzetí věci</w:t>
      </w:r>
      <w:r w:rsidR="00384371" w:rsidRPr="00436629">
        <w:rPr>
          <w:rFonts w:cs="Arial"/>
          <w:color w:val="000000" w:themeColor="text1"/>
        </w:rPr>
        <w:t xml:space="preserve"> kupujícím v místě dodání</w:t>
      </w:r>
      <w:r w:rsidR="00436629">
        <w:rPr>
          <w:rFonts w:cs="Arial"/>
          <w:color w:val="000000" w:themeColor="text1"/>
        </w:rPr>
        <w:t>.</w:t>
      </w:r>
      <w:r w:rsidR="009D56E9">
        <w:rPr>
          <w:rFonts w:cs="Arial"/>
          <w:color w:val="000000" w:themeColor="text1"/>
        </w:rPr>
        <w:t xml:space="preserve"> </w:t>
      </w:r>
      <w:r w:rsidRPr="009D56E9">
        <w:rPr>
          <w:rFonts w:cs="Arial"/>
          <w:color w:val="000000" w:themeColor="text1"/>
        </w:rPr>
        <w:t xml:space="preserve">Převzetí </w:t>
      </w:r>
      <w:r w:rsidR="002D3247" w:rsidRPr="009D56E9">
        <w:rPr>
          <w:rFonts w:cs="Arial"/>
          <w:color w:val="000000" w:themeColor="text1"/>
        </w:rPr>
        <w:t>zboží</w:t>
      </w:r>
      <w:r w:rsidR="00384371" w:rsidRPr="009D56E9">
        <w:rPr>
          <w:rFonts w:cs="Arial"/>
          <w:color w:val="000000" w:themeColor="text1"/>
        </w:rPr>
        <w:t xml:space="preserve"> kupujícím</w:t>
      </w:r>
      <w:r w:rsidRPr="009D56E9">
        <w:rPr>
          <w:rFonts w:cs="Arial"/>
          <w:color w:val="000000" w:themeColor="text1"/>
        </w:rPr>
        <w:t xml:space="preserve"> proběhne až po jeho řádném dodání.</w:t>
      </w:r>
      <w:r w:rsidR="00384371" w:rsidRPr="009D56E9">
        <w:rPr>
          <w:rFonts w:cs="Arial"/>
          <w:color w:val="000000" w:themeColor="text1"/>
        </w:rPr>
        <w:t xml:space="preserve"> Kupující vystaví prodávajícímu </w:t>
      </w:r>
      <w:r w:rsidR="00465624" w:rsidRPr="009D56E9">
        <w:rPr>
          <w:rFonts w:cs="Arial"/>
          <w:color w:val="000000" w:themeColor="text1"/>
        </w:rPr>
        <w:t xml:space="preserve">po úspěšném převzetí </w:t>
      </w:r>
      <w:r w:rsidR="001F2330" w:rsidRPr="009D56E9">
        <w:rPr>
          <w:rFonts w:cs="Arial"/>
          <w:color w:val="000000" w:themeColor="text1"/>
        </w:rPr>
        <w:t>zboží</w:t>
      </w:r>
      <w:r w:rsidR="00465624" w:rsidRPr="009D56E9">
        <w:rPr>
          <w:rFonts w:cs="Arial"/>
          <w:color w:val="000000" w:themeColor="text1"/>
        </w:rPr>
        <w:t xml:space="preserve"> </w:t>
      </w:r>
      <w:r w:rsidR="00384371" w:rsidRPr="009D56E9">
        <w:rPr>
          <w:rFonts w:cs="Arial"/>
          <w:color w:val="000000" w:themeColor="text1"/>
        </w:rPr>
        <w:t>za tím</w:t>
      </w:r>
      <w:r w:rsidR="0073739B" w:rsidRPr="009D56E9">
        <w:rPr>
          <w:rFonts w:cs="Arial"/>
          <w:color w:val="000000" w:themeColor="text1"/>
        </w:rPr>
        <w:t>to</w:t>
      </w:r>
      <w:r w:rsidR="00384371" w:rsidRPr="009D56E9">
        <w:rPr>
          <w:rFonts w:cs="Arial"/>
          <w:color w:val="000000" w:themeColor="text1"/>
        </w:rPr>
        <w:t xml:space="preserve"> účelem </w:t>
      </w:r>
      <w:r w:rsidR="00380C01" w:rsidRPr="009D56E9">
        <w:rPr>
          <w:rFonts w:cs="Arial"/>
          <w:color w:val="000000" w:themeColor="text1"/>
        </w:rPr>
        <w:t xml:space="preserve">akceptační </w:t>
      </w:r>
      <w:r w:rsidR="00384371" w:rsidRPr="009D56E9">
        <w:rPr>
          <w:rFonts w:cs="Arial"/>
          <w:color w:val="000000" w:themeColor="text1"/>
        </w:rPr>
        <w:t>protokol, případně prodávající vystaví dodací list</w:t>
      </w:r>
      <w:r w:rsidR="00465624" w:rsidRPr="009D56E9">
        <w:rPr>
          <w:rFonts w:cs="Arial"/>
          <w:color w:val="000000" w:themeColor="text1"/>
        </w:rPr>
        <w:t xml:space="preserve"> kupujícímu</w:t>
      </w:r>
      <w:r w:rsidR="00380C01" w:rsidRPr="009D56E9">
        <w:rPr>
          <w:rFonts w:cs="Arial"/>
          <w:color w:val="000000" w:themeColor="text1"/>
        </w:rPr>
        <w:t xml:space="preserve"> a kupující na něj poznačí, že plnění akceptuje, pokud nastaly akceptační podmínky pro převzetí zboží</w:t>
      </w:r>
      <w:r w:rsidR="00B609C0" w:rsidRPr="009D56E9">
        <w:rPr>
          <w:rFonts w:cs="Arial"/>
          <w:color w:val="000000" w:themeColor="text1"/>
        </w:rPr>
        <w:t xml:space="preserve"> dle této smlouvy, zboží je kompletní</w:t>
      </w:r>
      <w:r w:rsidR="00935D15" w:rsidRPr="009D56E9">
        <w:rPr>
          <w:rFonts w:cs="Arial"/>
          <w:color w:val="000000" w:themeColor="text1"/>
        </w:rPr>
        <w:t xml:space="preserve"> a </w:t>
      </w:r>
      <w:r w:rsidR="00B609C0" w:rsidRPr="009D56E9">
        <w:rPr>
          <w:rFonts w:cs="Arial"/>
          <w:color w:val="000000" w:themeColor="text1"/>
        </w:rPr>
        <w:t>prosté</w:t>
      </w:r>
      <w:r w:rsidR="00935D15" w:rsidRPr="009D56E9">
        <w:rPr>
          <w:rFonts w:cs="Arial"/>
          <w:color w:val="000000" w:themeColor="text1"/>
        </w:rPr>
        <w:t xml:space="preserve"> vad.</w:t>
      </w:r>
    </w:p>
    <w:p w14:paraId="718CF615" w14:textId="44343F05" w:rsidR="00DA6D69" w:rsidRPr="000768B7" w:rsidRDefault="00D820AF" w:rsidP="000768B7">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9E7D5E">
        <w:rPr>
          <w:rFonts w:cs="Arial"/>
          <w:color w:val="000000" w:themeColor="text1"/>
        </w:rPr>
        <w:t>Kupující výsl</w:t>
      </w:r>
      <w:r w:rsidR="00DA6D69">
        <w:rPr>
          <w:rFonts w:cs="Arial"/>
          <w:color w:val="000000" w:themeColor="text1"/>
        </w:rPr>
        <w:t xml:space="preserve">ovně prohlašuje, že si je vědom, </w:t>
      </w:r>
      <w:r w:rsidRPr="009E7D5E">
        <w:rPr>
          <w:rFonts w:cs="Arial"/>
          <w:color w:val="000000" w:themeColor="text1"/>
        </w:rPr>
        <w:t xml:space="preserve">okamžik přechodu odpovědnosti za škodu a </w:t>
      </w:r>
      <w:r w:rsidR="00DA6D69">
        <w:rPr>
          <w:rFonts w:cs="Arial"/>
          <w:color w:val="000000" w:themeColor="text1"/>
        </w:rPr>
        <w:t xml:space="preserve">okamžik řádného předání věci </w:t>
      </w:r>
      <w:r w:rsidR="00245614">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245614">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2B0FA7C8" w14:textId="508B1A87" w:rsidR="00502350" w:rsidRPr="009E7D5E" w:rsidRDefault="00502350" w:rsidP="000768B7">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3549"/>
        <w:contextualSpacing w:val="0"/>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1D94E6E9" w14:textId="2F2D0C95" w:rsidR="00E408E3" w:rsidRPr="000768B7" w:rsidRDefault="00484F6E" w:rsidP="000768B7">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4946B0">
        <w:rPr>
          <w:rFonts w:cstheme="minorHAnsi"/>
          <w:color w:val="000000" w:themeColor="text1"/>
        </w:rPr>
        <w:t>Celková cena za plnění dle této smlouvy</w:t>
      </w:r>
      <w:r w:rsidR="00465624">
        <w:rPr>
          <w:rFonts w:cstheme="minorHAnsi"/>
          <w:color w:val="000000" w:themeColor="text1"/>
        </w:rPr>
        <w:t>, tj. za</w:t>
      </w:r>
      <w:r w:rsidR="001F2330">
        <w:rPr>
          <w:rFonts w:cstheme="minorHAnsi"/>
          <w:color w:val="000000" w:themeColor="text1"/>
        </w:rPr>
        <w:t xml:space="preserve"> zboží</w:t>
      </w:r>
      <w:r w:rsidR="00380C01">
        <w:rPr>
          <w:rFonts w:cstheme="minorHAnsi"/>
          <w:color w:val="000000" w:themeColor="text1"/>
        </w:rPr>
        <w:t>, jeho příslušenství a všechno</w:t>
      </w:r>
      <w:r w:rsidR="001E4316">
        <w:rPr>
          <w:rFonts w:cstheme="minorHAnsi"/>
          <w:color w:val="000000" w:themeColor="text1"/>
        </w:rPr>
        <w:t xml:space="preserve"> </w:t>
      </w:r>
      <w:r w:rsidR="00380C01">
        <w:rPr>
          <w:rFonts w:cstheme="minorHAnsi"/>
          <w:color w:val="000000" w:themeColor="text1"/>
        </w:rPr>
        <w:t>ostatní plnění, jež poskytuje prodávající kupujícímu dle podmínek této smlouvy</w:t>
      </w:r>
      <w:r w:rsidRPr="004946B0">
        <w:rPr>
          <w:rFonts w:cstheme="minorHAnsi"/>
          <w:color w:val="000000" w:themeColor="text1"/>
        </w:rPr>
        <w:t xml:space="preserve"> je:</w:t>
      </w:r>
    </w:p>
    <w:tbl>
      <w:tblPr>
        <w:tblStyle w:val="Mkatabulky"/>
        <w:tblW w:w="8549" w:type="dxa"/>
        <w:tblInd w:w="512" w:type="dxa"/>
        <w:tblLook w:val="04A0" w:firstRow="1" w:lastRow="0" w:firstColumn="1" w:lastColumn="0" w:noHBand="0" w:noVBand="1"/>
      </w:tblPr>
      <w:tblGrid>
        <w:gridCol w:w="2728"/>
        <w:gridCol w:w="3046"/>
        <w:gridCol w:w="2775"/>
      </w:tblGrid>
      <w:tr w:rsidR="00781695" w:rsidRPr="004946B0" w14:paraId="45BC2E7D" w14:textId="7103D0E4" w:rsidTr="00781695">
        <w:tc>
          <w:tcPr>
            <w:tcW w:w="2728" w:type="dxa"/>
          </w:tcPr>
          <w:p w14:paraId="3DF7B865" w14:textId="77777777" w:rsidR="00781695" w:rsidRPr="004946B0" w:rsidRDefault="00781695"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3046" w:type="dxa"/>
          </w:tcPr>
          <w:p w14:paraId="6369BF66" w14:textId="77777777" w:rsidR="00781695" w:rsidRPr="004946B0" w:rsidRDefault="00781695"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2775" w:type="dxa"/>
          </w:tcPr>
          <w:p w14:paraId="3A71B0EA" w14:textId="0163C3F1" w:rsidR="00781695" w:rsidRPr="004946B0" w:rsidRDefault="00781695" w:rsidP="002217F8">
            <w:pPr>
              <w:widowControl w:val="0"/>
              <w:tabs>
                <w:tab w:val="left" w:pos="567"/>
                <w:tab w:val="left" w:pos="679"/>
              </w:tabs>
              <w:autoSpaceDE w:val="0"/>
              <w:autoSpaceDN w:val="0"/>
              <w:adjustRightInd w:val="0"/>
              <w:spacing w:after="120"/>
              <w:ind w:left="567" w:hanging="567"/>
              <w:jc w:val="both"/>
              <w:rPr>
                <w:rFonts w:cstheme="minorHAnsi"/>
                <w:b/>
                <w:color w:val="000000"/>
              </w:rPr>
            </w:pPr>
            <w:r w:rsidRPr="00781695">
              <w:rPr>
                <w:rFonts w:asciiTheme="minorHAnsi" w:hAnsiTheme="minorHAnsi" w:cstheme="minorHAnsi"/>
                <w:b/>
                <w:color w:val="000000"/>
                <w:sz w:val="22"/>
                <w:szCs w:val="22"/>
              </w:rPr>
              <w:t>částka slovy:</w:t>
            </w:r>
          </w:p>
        </w:tc>
      </w:tr>
      <w:tr w:rsidR="00781695" w:rsidRPr="004946B0" w14:paraId="16EFEE2D" w14:textId="369CE50A" w:rsidTr="00ED6534">
        <w:tc>
          <w:tcPr>
            <w:tcW w:w="2728" w:type="dxa"/>
          </w:tcPr>
          <w:p w14:paraId="5F504926" w14:textId="77777777" w:rsidR="00781695" w:rsidRPr="000603C4" w:rsidRDefault="00781695"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bez DPH:</w:t>
            </w:r>
          </w:p>
        </w:tc>
        <w:tc>
          <w:tcPr>
            <w:tcW w:w="3046" w:type="dxa"/>
            <w:shd w:val="clear" w:color="auto" w:fill="FFFFFF" w:themeFill="background1"/>
          </w:tcPr>
          <w:p w14:paraId="26132B8B" w14:textId="4840A8DE" w:rsidR="00781695" w:rsidRPr="00ED6534" w:rsidRDefault="002A672D" w:rsidP="00ED6534">
            <w:pPr>
              <w:widowControl w:val="0"/>
              <w:tabs>
                <w:tab w:val="left" w:pos="567"/>
                <w:tab w:val="left" w:pos="679"/>
              </w:tabs>
              <w:autoSpaceDE w:val="0"/>
              <w:autoSpaceDN w:val="0"/>
              <w:adjustRightInd w:val="0"/>
              <w:spacing w:after="120"/>
              <w:rPr>
                <w:rFonts w:asciiTheme="minorHAnsi" w:hAnsiTheme="minorHAnsi" w:cstheme="minorHAnsi"/>
                <w:color w:val="000000"/>
                <w:sz w:val="22"/>
                <w:szCs w:val="22"/>
              </w:rPr>
            </w:pPr>
            <w:r w:rsidRPr="002A672D">
              <w:rPr>
                <w:rFonts w:asciiTheme="minorHAnsi" w:hAnsiTheme="minorHAnsi" w:cstheme="minorHAnsi"/>
                <w:color w:val="000000"/>
                <w:sz w:val="22"/>
                <w:szCs w:val="22"/>
              </w:rPr>
              <w:t xml:space="preserve">148 810,30 </w:t>
            </w:r>
          </w:p>
        </w:tc>
        <w:tc>
          <w:tcPr>
            <w:tcW w:w="2775" w:type="dxa"/>
            <w:shd w:val="clear" w:color="auto" w:fill="FFFFFF" w:themeFill="background1"/>
          </w:tcPr>
          <w:p w14:paraId="3C0B76EB" w14:textId="3B0FEB2B" w:rsidR="00781695" w:rsidRPr="00781695" w:rsidRDefault="002A672D" w:rsidP="00ED6534">
            <w:pPr>
              <w:widowControl w:val="0"/>
              <w:tabs>
                <w:tab w:val="left" w:pos="567"/>
                <w:tab w:val="left" w:pos="679"/>
              </w:tabs>
              <w:autoSpaceDE w:val="0"/>
              <w:autoSpaceDN w:val="0"/>
              <w:adjustRightInd w:val="0"/>
              <w:spacing w:after="120"/>
              <w:rPr>
                <w:rFonts w:asciiTheme="majorHAnsi" w:hAnsiTheme="majorHAnsi" w:cstheme="majorHAnsi"/>
                <w:color w:val="000000"/>
                <w:sz w:val="22"/>
                <w:szCs w:val="22"/>
              </w:rPr>
            </w:pPr>
            <w:r w:rsidRPr="002A672D">
              <w:rPr>
                <w:rFonts w:asciiTheme="minorHAnsi" w:hAnsiTheme="minorHAnsi" w:cstheme="minorHAnsi"/>
                <w:color w:val="000000"/>
                <w:sz w:val="22"/>
                <w:szCs w:val="22"/>
              </w:rPr>
              <w:t>jedno sto čtyřicet osm tisíc osm set deset korun českých třicet haléřů</w:t>
            </w:r>
          </w:p>
        </w:tc>
      </w:tr>
      <w:tr w:rsidR="00781695" w:rsidRPr="004946B0" w14:paraId="1D082FD0" w14:textId="1EDDD763" w:rsidTr="00ED6534">
        <w:tc>
          <w:tcPr>
            <w:tcW w:w="2728" w:type="dxa"/>
          </w:tcPr>
          <w:p w14:paraId="0D90EF9F" w14:textId="77777777" w:rsidR="00781695" w:rsidRPr="000603C4" w:rsidRDefault="00781695"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s DPH:</w:t>
            </w:r>
          </w:p>
        </w:tc>
        <w:tc>
          <w:tcPr>
            <w:tcW w:w="3046" w:type="dxa"/>
            <w:shd w:val="clear" w:color="auto" w:fill="FFFFFF" w:themeFill="background1"/>
          </w:tcPr>
          <w:p w14:paraId="0C454DE1" w14:textId="75FDB35E" w:rsidR="00781695" w:rsidRPr="00781695" w:rsidRDefault="002A672D" w:rsidP="00ED6534">
            <w:pPr>
              <w:widowControl w:val="0"/>
              <w:tabs>
                <w:tab w:val="left" w:pos="567"/>
                <w:tab w:val="left" w:pos="679"/>
              </w:tabs>
              <w:autoSpaceDE w:val="0"/>
              <w:autoSpaceDN w:val="0"/>
              <w:adjustRightInd w:val="0"/>
              <w:spacing w:after="120"/>
              <w:rPr>
                <w:rFonts w:asciiTheme="minorHAnsi" w:hAnsiTheme="minorHAnsi" w:cstheme="minorHAnsi"/>
                <w:color w:val="000000"/>
                <w:sz w:val="22"/>
                <w:szCs w:val="22"/>
              </w:rPr>
            </w:pPr>
            <w:r w:rsidRPr="002A672D">
              <w:rPr>
                <w:rFonts w:asciiTheme="minorHAnsi" w:hAnsiTheme="minorHAnsi" w:cstheme="minorHAnsi"/>
                <w:color w:val="000000"/>
                <w:sz w:val="22"/>
                <w:szCs w:val="22"/>
              </w:rPr>
              <w:t>180</w:t>
            </w:r>
            <w:r>
              <w:rPr>
                <w:rFonts w:asciiTheme="minorHAnsi" w:hAnsiTheme="minorHAnsi" w:cstheme="minorHAnsi"/>
                <w:color w:val="000000"/>
                <w:sz w:val="22"/>
                <w:szCs w:val="22"/>
              </w:rPr>
              <w:t> </w:t>
            </w:r>
            <w:r w:rsidRPr="002A672D">
              <w:rPr>
                <w:rFonts w:asciiTheme="minorHAnsi" w:hAnsiTheme="minorHAnsi" w:cstheme="minorHAnsi"/>
                <w:color w:val="000000"/>
                <w:sz w:val="22"/>
                <w:szCs w:val="22"/>
              </w:rPr>
              <w:t>060</w:t>
            </w:r>
            <w:r>
              <w:rPr>
                <w:rFonts w:asciiTheme="minorHAnsi" w:hAnsiTheme="minorHAnsi" w:cstheme="minorHAnsi"/>
                <w:color w:val="000000"/>
                <w:sz w:val="22"/>
                <w:szCs w:val="22"/>
              </w:rPr>
              <w:t>,</w:t>
            </w:r>
            <w:r w:rsidRPr="002A672D">
              <w:rPr>
                <w:rFonts w:asciiTheme="minorHAnsi" w:hAnsiTheme="minorHAnsi" w:cstheme="minorHAnsi"/>
                <w:color w:val="000000"/>
                <w:sz w:val="22"/>
                <w:szCs w:val="22"/>
              </w:rPr>
              <w:t>46</w:t>
            </w:r>
          </w:p>
        </w:tc>
        <w:tc>
          <w:tcPr>
            <w:tcW w:w="2775" w:type="dxa"/>
            <w:shd w:val="clear" w:color="auto" w:fill="FFFFFF" w:themeFill="background1"/>
          </w:tcPr>
          <w:p w14:paraId="3F9CA56A" w14:textId="29136CB8" w:rsidR="00781695" w:rsidRPr="00ED6534" w:rsidRDefault="002A672D" w:rsidP="000768B7">
            <w:pPr>
              <w:widowControl w:val="0"/>
              <w:tabs>
                <w:tab w:val="left" w:pos="567"/>
                <w:tab w:val="left" w:pos="679"/>
              </w:tabs>
              <w:autoSpaceDE w:val="0"/>
              <w:autoSpaceDN w:val="0"/>
              <w:adjustRightInd w:val="0"/>
              <w:spacing w:after="120"/>
              <w:rPr>
                <w:rFonts w:asciiTheme="minorHAnsi" w:hAnsiTheme="minorHAnsi" w:cstheme="minorHAnsi"/>
                <w:color w:val="000000"/>
                <w:sz w:val="22"/>
                <w:szCs w:val="22"/>
              </w:rPr>
            </w:pPr>
            <w:r w:rsidRPr="002A672D">
              <w:rPr>
                <w:rFonts w:asciiTheme="minorHAnsi" w:hAnsiTheme="minorHAnsi" w:cstheme="minorHAnsi"/>
                <w:color w:val="000000"/>
                <w:sz w:val="22"/>
                <w:szCs w:val="22"/>
              </w:rPr>
              <w:t>jedno sto osmdesát tisíc šedesát korun českých čtyřicet šest haléřů</w:t>
            </w:r>
          </w:p>
        </w:tc>
      </w:tr>
      <w:tr w:rsidR="00781695" w:rsidRPr="004946B0" w14:paraId="613B8EB7" w14:textId="7782B30A" w:rsidTr="00ED6534">
        <w:tc>
          <w:tcPr>
            <w:tcW w:w="2728" w:type="dxa"/>
          </w:tcPr>
          <w:p w14:paraId="5E1EF555" w14:textId="77777777" w:rsidR="00781695" w:rsidRPr="000603C4" w:rsidRDefault="00781695"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DPH v Kč:</w:t>
            </w:r>
          </w:p>
        </w:tc>
        <w:tc>
          <w:tcPr>
            <w:tcW w:w="3046" w:type="dxa"/>
            <w:shd w:val="clear" w:color="auto" w:fill="FFFFFF" w:themeFill="background1"/>
          </w:tcPr>
          <w:p w14:paraId="64B6B59D" w14:textId="60C233BF" w:rsidR="00781695" w:rsidRPr="00781695" w:rsidRDefault="002A672D" w:rsidP="00ED6534">
            <w:pPr>
              <w:widowControl w:val="0"/>
              <w:tabs>
                <w:tab w:val="left" w:pos="567"/>
                <w:tab w:val="left" w:pos="679"/>
              </w:tabs>
              <w:autoSpaceDE w:val="0"/>
              <w:autoSpaceDN w:val="0"/>
              <w:adjustRightInd w:val="0"/>
              <w:spacing w:after="120"/>
              <w:rPr>
                <w:rFonts w:asciiTheme="minorHAnsi" w:hAnsiTheme="minorHAnsi" w:cstheme="minorHAnsi"/>
                <w:color w:val="000000"/>
                <w:sz w:val="22"/>
                <w:szCs w:val="22"/>
              </w:rPr>
            </w:pPr>
            <w:r w:rsidRPr="002A672D">
              <w:rPr>
                <w:rFonts w:asciiTheme="minorHAnsi" w:hAnsiTheme="minorHAnsi" w:cstheme="minorHAnsi"/>
                <w:color w:val="000000"/>
                <w:sz w:val="22"/>
                <w:szCs w:val="22"/>
              </w:rPr>
              <w:t>31</w:t>
            </w:r>
            <w:r>
              <w:rPr>
                <w:rFonts w:asciiTheme="minorHAnsi" w:hAnsiTheme="minorHAnsi" w:cstheme="minorHAnsi"/>
                <w:color w:val="000000"/>
                <w:sz w:val="22"/>
                <w:szCs w:val="22"/>
              </w:rPr>
              <w:t xml:space="preserve"> </w:t>
            </w:r>
            <w:r w:rsidRPr="002A672D">
              <w:rPr>
                <w:rFonts w:asciiTheme="minorHAnsi" w:hAnsiTheme="minorHAnsi" w:cstheme="minorHAnsi"/>
                <w:color w:val="000000"/>
                <w:sz w:val="22"/>
                <w:szCs w:val="22"/>
              </w:rPr>
              <w:t>250</w:t>
            </w:r>
            <w:r>
              <w:rPr>
                <w:rFonts w:asciiTheme="minorHAnsi" w:hAnsiTheme="minorHAnsi" w:cstheme="minorHAnsi"/>
                <w:color w:val="000000"/>
                <w:sz w:val="22"/>
                <w:szCs w:val="22"/>
              </w:rPr>
              <w:t>,</w:t>
            </w:r>
            <w:r w:rsidRPr="002A672D">
              <w:rPr>
                <w:rFonts w:asciiTheme="minorHAnsi" w:hAnsiTheme="minorHAnsi" w:cstheme="minorHAnsi"/>
                <w:color w:val="000000"/>
                <w:sz w:val="22"/>
                <w:szCs w:val="22"/>
              </w:rPr>
              <w:t>16</w:t>
            </w:r>
          </w:p>
        </w:tc>
        <w:tc>
          <w:tcPr>
            <w:tcW w:w="2775" w:type="dxa"/>
            <w:shd w:val="clear" w:color="auto" w:fill="FFFFFF" w:themeFill="background1"/>
          </w:tcPr>
          <w:p w14:paraId="6C1B772C" w14:textId="15CCD9F5" w:rsidR="00781695" w:rsidRPr="00ED6534" w:rsidRDefault="002A672D" w:rsidP="000768B7">
            <w:pPr>
              <w:widowControl w:val="0"/>
              <w:tabs>
                <w:tab w:val="left" w:pos="567"/>
                <w:tab w:val="left" w:pos="679"/>
              </w:tabs>
              <w:autoSpaceDE w:val="0"/>
              <w:autoSpaceDN w:val="0"/>
              <w:adjustRightInd w:val="0"/>
              <w:spacing w:after="120"/>
              <w:rPr>
                <w:rFonts w:asciiTheme="minorHAnsi" w:hAnsiTheme="minorHAnsi" w:cstheme="minorHAnsi"/>
                <w:color w:val="000000"/>
                <w:sz w:val="22"/>
                <w:szCs w:val="22"/>
              </w:rPr>
            </w:pPr>
            <w:r w:rsidRPr="002A672D">
              <w:rPr>
                <w:rFonts w:asciiTheme="minorHAnsi" w:hAnsiTheme="minorHAnsi" w:cstheme="minorHAnsi"/>
                <w:color w:val="000000"/>
                <w:sz w:val="22"/>
                <w:szCs w:val="22"/>
              </w:rPr>
              <w:t>třicet jedna tisíc dvě stě padesát korun českých šestnáct haléřů</w:t>
            </w:r>
          </w:p>
        </w:tc>
      </w:tr>
    </w:tbl>
    <w:p w14:paraId="0116E773" w14:textId="77777777" w:rsidR="007C5FC1" w:rsidRPr="00967451" w:rsidRDefault="007C5FC1" w:rsidP="00967451">
      <w:pPr>
        <w:widowControl w:val="0"/>
        <w:shd w:val="clear" w:color="auto" w:fill="FFFFFF"/>
        <w:tabs>
          <w:tab w:val="left" w:pos="567"/>
        </w:tabs>
        <w:autoSpaceDE w:val="0"/>
        <w:autoSpaceDN w:val="0"/>
        <w:adjustRightInd w:val="0"/>
        <w:spacing w:after="120"/>
        <w:jc w:val="both"/>
        <w:rPr>
          <w:rFonts w:cs="Arial"/>
          <w:color w:val="000000" w:themeColor="text1"/>
        </w:rPr>
      </w:pPr>
    </w:p>
    <w:p w14:paraId="215E9F08" w14:textId="77777777" w:rsidR="000768B7" w:rsidRPr="00967451" w:rsidRDefault="000768B7" w:rsidP="000768B7">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25665A">
        <w:rPr>
          <w:rFonts w:cs="Arial"/>
          <w:color w:val="000000" w:themeColor="text1"/>
        </w:rPr>
        <w:t xml:space="preserve">Celková cena za dodání </w:t>
      </w:r>
      <w:r w:rsidRPr="000603C4">
        <w:rPr>
          <w:rFonts w:cs="Arial"/>
          <w:color w:val="000000" w:themeColor="text1"/>
        </w:rPr>
        <w:t>zboží a jeho příslušenství této</w:t>
      </w:r>
      <w:r w:rsidRPr="00687B14">
        <w:rPr>
          <w:rFonts w:cs="Arial"/>
          <w:color w:val="000000" w:themeColor="text1"/>
        </w:rPr>
        <w:t xml:space="preserve"> smlouvy</w:t>
      </w:r>
      <w:r>
        <w:rPr>
          <w:rFonts w:cs="Arial"/>
          <w:color w:val="000000" w:themeColor="text1"/>
        </w:rPr>
        <w:t xml:space="preserve"> </w:t>
      </w:r>
      <w:r w:rsidRPr="00687B14">
        <w:rPr>
          <w:rFonts w:cs="Arial"/>
          <w:color w:val="000000" w:themeColor="text1"/>
        </w:rPr>
        <w:t>bude uhrazena oproti faktuře. Taková faktura může být vystavena teprve po podepsání předávacího, resp. akceptačního protokolu</w:t>
      </w:r>
      <w:r>
        <w:rPr>
          <w:rFonts w:cs="Arial"/>
          <w:color w:val="000000" w:themeColor="text1"/>
        </w:rPr>
        <w:t>.</w:t>
      </w:r>
    </w:p>
    <w:p w14:paraId="48FB3A70" w14:textId="4317D950" w:rsidR="002217F8" w:rsidRPr="009E7D5E" w:rsidRDefault="00380C01" w:rsidP="00124188">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w:t>
      </w:r>
      <w:r w:rsidRPr="009E7D5E">
        <w:rPr>
          <w:rFonts w:cstheme="minorHAnsi"/>
        </w:rPr>
        <w:lastRenderedPageBreak/>
        <w:t>vystavena na položky předmětu plnění neinvestičního charakteru.</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2BBB2ACC" w14:textId="77777777" w:rsidR="000768B7" w:rsidRPr="00FD76A3" w:rsidRDefault="000768B7" w:rsidP="000768B7">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FD76A3">
        <w:rPr>
          <w:rFonts w:cs="Arial"/>
          <w:i/>
          <w:color w:val="000000" w:themeColor="text1"/>
        </w:rPr>
        <w:t>Výzkumné a inovační centrum pro pokročilou průmyslovou výrobu</w:t>
      </w:r>
    </w:p>
    <w:p w14:paraId="466592F9" w14:textId="77777777" w:rsidR="000768B7" w:rsidRPr="00FD76A3" w:rsidRDefault="000768B7" w:rsidP="000768B7">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FD76A3">
        <w:rPr>
          <w:rFonts w:cs="Arial"/>
          <w:i/>
          <w:color w:val="000000" w:themeColor="text1"/>
        </w:rPr>
        <w:t>reg</w:t>
      </w:r>
      <w:proofErr w:type="spellEnd"/>
      <w:r w:rsidRPr="00FD76A3">
        <w:rPr>
          <w:rFonts w:cs="Arial"/>
          <w:i/>
          <w:color w:val="000000" w:themeColor="text1"/>
        </w:rPr>
        <w:t>. č. CZ.02.1.01/0.0/0.0/17_043/0010085.</w:t>
      </w:r>
    </w:p>
    <w:p w14:paraId="469DD28D" w14:textId="4D4B8F77" w:rsidR="00CB55E9" w:rsidRPr="009E7D5E" w:rsidRDefault="002217F8" w:rsidP="0025665A">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6089CE26" w:rsidR="00484F6E" w:rsidRPr="0019419A" w:rsidRDefault="00484F6E">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967451"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252120C1" w14:textId="4607B05A" w:rsidR="00124188" w:rsidRPr="00AD334A" w:rsidRDefault="00994559" w:rsidP="000768B7">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0768B7">
      <w:pPr>
        <w:pStyle w:val="Odstavecseseznamem"/>
        <w:widowControl w:val="0"/>
        <w:numPr>
          <w:ilvl w:val="0"/>
          <w:numId w:val="17"/>
        </w:numPr>
        <w:tabs>
          <w:tab w:val="left" w:pos="284"/>
          <w:tab w:val="left" w:pos="567"/>
        </w:tabs>
        <w:autoSpaceDE w:val="0"/>
        <w:autoSpaceDN w:val="0"/>
        <w:adjustRightInd w:val="0"/>
        <w:spacing w:before="120" w:after="120" w:line="240" w:lineRule="auto"/>
        <w:ind w:left="567" w:firstLine="567"/>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7CCEA505" w14:textId="4E073727" w:rsidR="00B22568" w:rsidRPr="0019419A" w:rsidRDefault="00B22568" w:rsidP="00B22568">
      <w:pPr>
        <w:pStyle w:val="Odstavecseseznamem"/>
        <w:widowControl w:val="0"/>
        <w:numPr>
          <w:ilvl w:val="0"/>
          <w:numId w:val="56"/>
        </w:numPr>
        <w:shd w:val="clear" w:color="auto" w:fill="FFFFFF"/>
        <w:tabs>
          <w:tab w:val="left" w:pos="567"/>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AE5383">
        <w:rPr>
          <w:rFonts w:cs="Arial"/>
          <w:color w:val="000000" w:themeColor="text1"/>
        </w:rPr>
        <w:t xml:space="preserve">Na </w:t>
      </w:r>
      <w:r>
        <w:rPr>
          <w:rFonts w:cs="Arial"/>
          <w:color w:val="000000" w:themeColor="text1"/>
        </w:rPr>
        <w:t xml:space="preserve">veškeré </w:t>
      </w:r>
      <w:r w:rsidRPr="00986520">
        <w:rPr>
          <w:rFonts w:cs="Arial"/>
          <w:color w:val="000000" w:themeColor="text1"/>
        </w:rPr>
        <w:t xml:space="preserve">plnění poskytuje prodávající záruku za jakost v trvání </w:t>
      </w:r>
      <w:r w:rsidR="00FB343D">
        <w:rPr>
          <w:rFonts w:cs="Arial"/>
          <w:color w:val="000000" w:themeColor="text1"/>
        </w:rPr>
        <w:t>1</w:t>
      </w:r>
      <w:r>
        <w:t>2 měsíců</w:t>
      </w:r>
      <w:r w:rsidRPr="00986520">
        <w:t>.</w:t>
      </w:r>
      <w:r w:rsidRPr="00986520">
        <w:rPr>
          <w:rFonts w:cs="Arial"/>
          <w:color w:val="000000" w:themeColor="text1"/>
        </w:rPr>
        <w:t xml:space="preserve"> Záruční</w:t>
      </w:r>
      <w:r w:rsidRPr="007F4C3F">
        <w:rPr>
          <w:rFonts w:cs="Arial"/>
          <w:color w:val="000000" w:themeColor="text1"/>
        </w:rPr>
        <w:t xml:space="preserve"> doba počíná běžet</w:t>
      </w:r>
      <w:r w:rsidRPr="0019419A">
        <w:rPr>
          <w:rFonts w:cs="Arial"/>
          <w:color w:val="000000" w:themeColor="text1"/>
        </w:rPr>
        <w:t xml:space="preserve"> okamžikem </w:t>
      </w:r>
      <w:r>
        <w:rPr>
          <w:rFonts w:cs="Arial"/>
          <w:color w:val="000000" w:themeColor="text1"/>
        </w:rPr>
        <w:t>převzetí zboží</w:t>
      </w:r>
      <w:r w:rsidRPr="0019419A">
        <w:rPr>
          <w:rFonts w:cs="Arial"/>
          <w:color w:val="000000" w:themeColor="text1"/>
        </w:rPr>
        <w:t xml:space="preserve"> </w:t>
      </w:r>
      <w:r w:rsidRPr="00AE5383">
        <w:rPr>
          <w:rFonts w:cs="Arial"/>
          <w:color w:val="000000" w:themeColor="text1"/>
        </w:rPr>
        <w:t xml:space="preserve">dle čl. III odst. </w:t>
      </w:r>
      <w:r>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1E9DB764" w14:textId="77777777" w:rsidR="00B22568" w:rsidRPr="001C6DA7" w:rsidRDefault="00B22568" w:rsidP="00B22568">
      <w:pPr>
        <w:pStyle w:val="Odstavecseseznamem"/>
        <w:widowControl w:val="0"/>
        <w:numPr>
          <w:ilvl w:val="0"/>
          <w:numId w:val="5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Reklamaci případné vady kupující zašle prodávajícímu písemně, tj. výslovně i elektronickou poštou</w:t>
      </w:r>
      <w:r>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 </w:t>
      </w:r>
      <w:r>
        <w:rPr>
          <w:rFonts w:eastAsia="Times New Roman" w:cs="Arial"/>
          <w:color w:val="000000"/>
          <w:lang w:eastAsia="cs-CZ"/>
        </w:rPr>
        <w:t xml:space="preserve">nebo i ústně (včetně telefonického nahlášení) </w:t>
      </w:r>
      <w:r w:rsidRPr="009E7D5E">
        <w:rPr>
          <w:rFonts w:eastAsia="Times New Roman" w:cs="Arial"/>
          <w:color w:val="000000"/>
          <w:lang w:eastAsia="cs-CZ"/>
        </w:rPr>
        <w:t>(dále v textu jen „nahlášení vady“).</w:t>
      </w:r>
    </w:p>
    <w:p w14:paraId="5D0339EE" w14:textId="0B5779B2" w:rsidR="00B22568" w:rsidRPr="00B22568" w:rsidRDefault="00B22568" w:rsidP="006121DD">
      <w:pPr>
        <w:pStyle w:val="Odstavecseseznamem"/>
        <w:widowControl w:val="0"/>
        <w:numPr>
          <w:ilvl w:val="0"/>
          <w:numId w:val="5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B22568">
        <w:rPr>
          <w:rFonts w:eastAsia="Times New Roman" w:cs="Arial"/>
          <w:color w:val="000000"/>
          <w:lang w:eastAsia="cs-CZ"/>
        </w:rPr>
        <w:t xml:space="preserve">Prodávající se zavazuje po nahlášení vady kupujícím zajistit možnost </w:t>
      </w:r>
      <w:r>
        <w:rPr>
          <w:rFonts w:eastAsia="Times New Roman" w:cs="Arial"/>
          <w:color w:val="000000"/>
          <w:lang w:eastAsia="cs-CZ"/>
        </w:rPr>
        <w:t xml:space="preserve">vzdálené </w:t>
      </w:r>
      <w:r w:rsidRPr="00B22568">
        <w:rPr>
          <w:rFonts w:eastAsia="Times New Roman" w:cs="Arial"/>
          <w:color w:val="000000"/>
          <w:lang w:eastAsia="cs-CZ"/>
        </w:rPr>
        <w:t xml:space="preserve">komunikace kupujícího se servisním technikem prodávajícího v češtině či angličtině. </w:t>
      </w:r>
      <w:r>
        <w:rPr>
          <w:rFonts w:eastAsia="Times New Roman" w:cs="Arial"/>
          <w:color w:val="000000"/>
          <w:lang w:eastAsia="cs-CZ"/>
        </w:rPr>
        <w:t xml:space="preserve">Prodávající se zavazuje odstranit vadu do </w:t>
      </w:r>
      <w:r w:rsidR="004508F2">
        <w:rPr>
          <w:rFonts w:eastAsia="Times New Roman" w:cs="Arial"/>
          <w:color w:val="000000"/>
          <w:lang w:eastAsia="cs-CZ"/>
        </w:rPr>
        <w:t>30</w:t>
      </w:r>
      <w:r>
        <w:rPr>
          <w:rFonts w:eastAsia="Times New Roman" w:cs="Arial"/>
          <w:color w:val="000000"/>
          <w:lang w:eastAsia="cs-CZ"/>
        </w:rPr>
        <w:t xml:space="preserve"> dnů od nahlášení vady. </w:t>
      </w:r>
      <w:r w:rsidRPr="00B22568">
        <w:rPr>
          <w:rFonts w:eastAsia="Times New Roman" w:cs="Arial"/>
          <w:color w:val="000000"/>
          <w:lang w:eastAsia="cs-CZ"/>
        </w:rPr>
        <w:t>Umožňuje-li to povaha opravy, provede technik úkony záručního servisu (opravu) na místě.</w:t>
      </w:r>
      <w:r>
        <w:rPr>
          <w:rFonts w:eastAsia="Times New Roman" w:cs="Arial"/>
          <w:color w:val="000000"/>
          <w:lang w:eastAsia="cs-CZ"/>
        </w:rPr>
        <w:t xml:space="preserve"> </w:t>
      </w:r>
      <w:r w:rsidRPr="00B22568">
        <w:rPr>
          <w:rFonts w:eastAsia="Times New Roman" w:cs="Arial"/>
          <w:color w:val="000000"/>
          <w:lang w:eastAsia="cs-CZ"/>
        </w:rPr>
        <w:t>Neumožňuje-li to povaha opravy zboží a je nutné zboží transportovat z místa dodání k záruční opravě a zpět, provede nebo zajistí transport zboží na své náklady a odpovědnost prodávající</w:t>
      </w:r>
      <w:r>
        <w:rPr>
          <w:rFonts w:eastAsia="Times New Roman" w:cs="Arial"/>
          <w:color w:val="000000"/>
          <w:lang w:eastAsia="cs-CZ"/>
        </w:rPr>
        <w:t xml:space="preserve">. </w:t>
      </w:r>
    </w:p>
    <w:p w14:paraId="5FD25925" w14:textId="77777777" w:rsidR="00B22568" w:rsidRPr="0028563F" w:rsidRDefault="00B22568" w:rsidP="00B22568">
      <w:pPr>
        <w:pStyle w:val="Odstavecseseznamem"/>
        <w:widowControl w:val="0"/>
        <w:numPr>
          <w:ilvl w:val="0"/>
          <w:numId w:val="5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Dojde-li v záruční době k poruše nebo nefunkčnosti zboží z důvodů na straně kupujícího nebo z důvodů, které nelze přičítat prodávajícímu, platí pro prodávajícího závazky dle odst. 2 a 3 tohoto článku smlouvy s tím, že nebude užito odst. 6 tohoto článku.</w:t>
      </w:r>
    </w:p>
    <w:p w14:paraId="59A80C92" w14:textId="77777777" w:rsidR="00B22568" w:rsidRPr="00B22568" w:rsidRDefault="00B22568" w:rsidP="00B22568">
      <w:pPr>
        <w:pStyle w:val="Odstavecseseznamem"/>
        <w:widowControl w:val="0"/>
        <w:numPr>
          <w:ilvl w:val="0"/>
          <w:numId w:val="5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Pr>
          <w:color w:val="000000" w:themeColor="text1"/>
        </w:rPr>
        <w:t>, případně celého plnění za bezvadné, a to na náklady p</w:t>
      </w:r>
      <w:r w:rsidRPr="0019419A">
        <w:rPr>
          <w:color w:val="000000" w:themeColor="text1"/>
        </w:rPr>
        <w:t>rodávajícího.</w:t>
      </w:r>
    </w:p>
    <w:p w14:paraId="081324C7" w14:textId="683E0BAA" w:rsidR="00B22568" w:rsidRPr="0019419A" w:rsidRDefault="00B22568" w:rsidP="00B22568">
      <w:pPr>
        <w:pStyle w:val="Odstavecseseznamem"/>
        <w:widowControl w:val="0"/>
        <w:numPr>
          <w:ilvl w:val="0"/>
          <w:numId w:val="5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Pr>
          <w:rFonts w:cs="Calibri"/>
          <w:szCs w:val="24"/>
        </w:rPr>
        <w:t>Nahlášení chybového stavu kupující</w:t>
      </w:r>
      <w:r w:rsidRPr="004E445C">
        <w:rPr>
          <w:rFonts w:cs="Calibri"/>
          <w:szCs w:val="24"/>
        </w:rPr>
        <w:t xml:space="preserve"> zašle </w:t>
      </w:r>
      <w:r>
        <w:rPr>
          <w:rFonts w:cs="Calibri"/>
          <w:szCs w:val="24"/>
        </w:rPr>
        <w:t>prodávající</w:t>
      </w:r>
      <w:r w:rsidRPr="004E445C">
        <w:rPr>
          <w:rFonts w:cs="Calibri"/>
          <w:szCs w:val="24"/>
        </w:rPr>
        <w:t xml:space="preserve"> písemně, tj. výslovně i elektronickou poštou, a to i bez elektronického podpisu, </w:t>
      </w:r>
      <w:r>
        <w:rPr>
          <w:rFonts w:cs="Calibri"/>
          <w:szCs w:val="24"/>
        </w:rPr>
        <w:t>s popisem chybového stavu</w:t>
      </w:r>
      <w:r w:rsidRPr="004E445C">
        <w:rPr>
          <w:rFonts w:cs="Calibri"/>
          <w:szCs w:val="24"/>
        </w:rPr>
        <w:t xml:space="preserve"> nebo i ústně (včetně telefonického nahlášení).</w:t>
      </w:r>
      <w:r>
        <w:rPr>
          <w:rFonts w:cs="Calibri"/>
          <w:szCs w:val="24"/>
        </w:rPr>
        <w:t xml:space="preserve"> </w:t>
      </w:r>
      <w:r w:rsidR="00690A10">
        <w:rPr>
          <w:rFonts w:cs="Calibri"/>
          <w:szCs w:val="24"/>
        </w:rPr>
        <w:t>Prodávající</w:t>
      </w:r>
      <w:r>
        <w:rPr>
          <w:rFonts w:cs="Calibri"/>
          <w:szCs w:val="24"/>
        </w:rPr>
        <w:t xml:space="preserve"> se zavazuje odstranit chybový stav do 30 dnů od jeho nahlášení.</w:t>
      </w:r>
    </w:p>
    <w:p w14:paraId="1A8A2EDE" w14:textId="02A482E4" w:rsidR="00B22568" w:rsidRPr="0019419A" w:rsidRDefault="00B22568" w:rsidP="00B22568">
      <w:pPr>
        <w:pStyle w:val="Odstavecseseznamem"/>
        <w:widowControl w:val="0"/>
        <w:numPr>
          <w:ilvl w:val="0"/>
          <w:numId w:val="5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Pr>
          <w:rFonts w:cs="Arial"/>
          <w:color w:val="000000" w:themeColor="text1"/>
        </w:rPr>
        <w:t>, náklady na přepravu vadného zboží k opravě a zpět, pojištění, prodávajícího nebo jím pověřené osoby, veškeré další náklady, které p</w:t>
      </w:r>
      <w:r w:rsidRPr="0019419A">
        <w:rPr>
          <w:rFonts w:cs="Arial"/>
          <w:color w:val="000000" w:themeColor="text1"/>
        </w:rPr>
        <w:t>rodávajícímu vzniknou v souvislosti s odstraňováním vad</w:t>
      </w:r>
      <w:r>
        <w:rPr>
          <w:rFonts w:cs="Arial"/>
          <w:color w:val="000000" w:themeColor="text1"/>
        </w:rPr>
        <w:t>, nese v plné výši p</w:t>
      </w:r>
      <w:r w:rsidRPr="0019419A">
        <w:rPr>
          <w:rFonts w:cs="Arial"/>
          <w:color w:val="000000" w:themeColor="text1"/>
        </w:rPr>
        <w:t>rodávající.</w:t>
      </w:r>
    </w:p>
    <w:p w14:paraId="4234A848" w14:textId="298787E9" w:rsidR="00B22568" w:rsidRDefault="00B22568" w:rsidP="00B22568">
      <w:pPr>
        <w:pStyle w:val="Odstavecseseznamem"/>
        <w:widowControl w:val="0"/>
        <w:numPr>
          <w:ilvl w:val="0"/>
          <w:numId w:val="5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lastRenderedPageBreak/>
        <w:t xml:space="preserve">Jestliže prodávající </w:t>
      </w:r>
      <w:r>
        <w:rPr>
          <w:rFonts w:cs="Arial"/>
          <w:color w:val="000000" w:themeColor="text1"/>
        </w:rPr>
        <w:t>neodstraní nahlášené</w:t>
      </w:r>
      <w:r w:rsidR="00690A10">
        <w:rPr>
          <w:rFonts w:cs="Arial"/>
          <w:color w:val="000000" w:themeColor="text1"/>
        </w:rPr>
        <w:t xml:space="preserve"> vady</w:t>
      </w:r>
      <w:r w:rsidRPr="0019419A">
        <w:rPr>
          <w:rFonts w:cs="Arial"/>
          <w:color w:val="000000" w:themeColor="text1"/>
        </w:rPr>
        <w:t xml:space="preserve"> ve lhůtách dle této smlouvy, může kupující v zájmu bezpečnosti a zachování plynulého provozního chodu zajistit odstranění vady jak</w:t>
      </w:r>
      <w:r>
        <w:rPr>
          <w:rFonts w:cs="Arial"/>
          <w:color w:val="000000" w:themeColor="text1"/>
        </w:rPr>
        <w:t>ýmkoliv</w:t>
      </w:r>
      <w:r w:rsidRPr="0019419A">
        <w:rPr>
          <w:rFonts w:cs="Arial"/>
          <w:color w:val="000000" w:themeColor="text1"/>
        </w:rPr>
        <w:t xml:space="preserve"> jiným způsobem dle svého výběru, a to na náklady prodávajícího. Takový postup přitom není důvodem ke ztrátě záruky a rovněž nezaniká právo kupujícího na uplatnění sankcí.</w:t>
      </w:r>
    </w:p>
    <w:p w14:paraId="1FF18588" w14:textId="53A350B9" w:rsidR="00502350" w:rsidRPr="0019419A" w:rsidRDefault="00502350"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607D27A5"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40E438D1"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p>
    <w:p w14:paraId="5360A378" w14:textId="51BA4C52" w:rsidR="00690A10" w:rsidRPr="003107A2" w:rsidRDefault="00690A10" w:rsidP="00690A10">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Pr>
          <w:rFonts w:eastAsia="Times New Roman" w:cs="Arial"/>
          <w:color w:val="000000"/>
          <w:lang w:eastAsia="cs-CZ"/>
        </w:rPr>
        <w:t xml:space="preserve">poskytnutí </w:t>
      </w:r>
      <w:r w:rsidRPr="003107A2">
        <w:rPr>
          <w:rFonts w:eastAsia="Times New Roman" w:cs="Arial"/>
          <w:color w:val="000000"/>
          <w:lang w:eastAsia="cs-CZ"/>
        </w:rPr>
        <w:t>servisu po předchozím řádném nahlášení vady kupujícím prodávajícímu</w:t>
      </w:r>
      <w:r>
        <w:rPr>
          <w:rFonts w:eastAsia="Times New Roman" w:cs="Arial"/>
          <w:color w:val="000000"/>
          <w:lang w:eastAsia="cs-CZ"/>
        </w:rPr>
        <w:t xml:space="preserve"> </w:t>
      </w:r>
      <w:r w:rsidRPr="003107A2">
        <w:rPr>
          <w:rFonts w:eastAsia="Times New Roman" w:cs="Arial"/>
          <w:color w:val="000000"/>
          <w:lang w:eastAsia="cs-CZ"/>
        </w:rPr>
        <w:t xml:space="preserve">je prodávající povinen uhradit kupujícímu smluvní pokutu ve výši </w:t>
      </w:r>
      <w:r>
        <w:rPr>
          <w:rFonts w:eastAsia="Times New Roman" w:cs="Arial"/>
          <w:color w:val="000000"/>
          <w:lang w:eastAsia="cs-CZ"/>
        </w:rPr>
        <w:t>1.0</w:t>
      </w:r>
      <w:r w:rsidRPr="003107A2">
        <w:rPr>
          <w:rFonts w:eastAsia="Times New Roman" w:cs="Arial"/>
          <w:color w:val="000000"/>
          <w:lang w:eastAsia="cs-CZ"/>
        </w:rPr>
        <w:t>00,-</w:t>
      </w:r>
      <w:r>
        <w:rPr>
          <w:rFonts w:eastAsia="Times New Roman" w:cs="Arial"/>
          <w:color w:val="000000"/>
          <w:lang w:eastAsia="cs-CZ"/>
        </w:rPr>
        <w:t> </w:t>
      </w:r>
      <w:r w:rsidRPr="003107A2">
        <w:rPr>
          <w:rFonts w:eastAsia="Times New Roman" w:cs="Arial"/>
          <w:color w:val="000000"/>
          <w:lang w:eastAsia="cs-CZ"/>
        </w:rPr>
        <w:t>Kč za každý započatý den prodlení dle tohoto ustanovení.</w:t>
      </w:r>
      <w:r>
        <w:rPr>
          <w:rFonts w:eastAsia="Times New Roman" w:cs="Arial"/>
          <w:color w:val="000000"/>
          <w:lang w:eastAsia="cs-CZ"/>
        </w:rPr>
        <w:t xml:space="preserve"> Tímto není dotčeno právo kupujícího požadovat případnou náhradu vzniklé škody, která převyšuje výši smluvní pokuty za veškeré dny prodlení v jednotlivých případech prodlení.</w:t>
      </w:r>
    </w:p>
    <w:p w14:paraId="195B62E4" w14:textId="35566508" w:rsidR="00142E1A" w:rsidRPr="00690A10" w:rsidRDefault="007F28E3" w:rsidP="00690A10">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499EF1FA" w14:textId="77777777" w:rsidR="00CA408D" w:rsidRPr="009E7D5E" w:rsidRDefault="00CA408D" w:rsidP="009E7D5E">
      <w:pPr>
        <w:pStyle w:val="Odstavecseseznamem"/>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eastAsia="Times New Roman" w:cs="Arial"/>
          <w:color w:val="000000"/>
          <w:lang w:eastAsia="cs-CZ"/>
        </w:rPr>
      </w:pPr>
    </w:p>
    <w:p w14:paraId="57AE1E1D" w14:textId="17895C2F" w:rsidR="00B44A61" w:rsidRPr="009E7D5E" w:rsidRDefault="007F28E3"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72DFD8CC"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se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541174AB" w14:textId="425F0679" w:rsidR="00545B5C" w:rsidRPr="008D3A98" w:rsidRDefault="007F28E3" w:rsidP="00545B5C">
      <w:pPr>
        <w:pStyle w:val="textindent"/>
      </w:pPr>
      <w:r w:rsidRPr="000603C4">
        <w:rPr>
          <w:rStyle w:val="textindentChar"/>
          <w:rFonts w:eastAsiaTheme="minorHAnsi"/>
        </w:rPr>
        <w:t>Prodávající je oprávněn od této smlouvy odstoupit ze zákonných důvodů, zejména pak v případě, jestliže</w:t>
      </w:r>
      <w:r w:rsidRPr="0025665A">
        <w:t xml:space="preserve"> je kupující v prodlení se zaplacením faktury větším ne</w:t>
      </w:r>
      <w:r w:rsidR="00496855" w:rsidRPr="0025665A">
        <w:t xml:space="preserve">ž </w:t>
      </w:r>
      <w:r w:rsidR="00690A10">
        <w:t>6</w:t>
      </w:r>
      <w:r w:rsidR="00B609C0" w:rsidRPr="0025665A">
        <w:t>0</w:t>
      </w:r>
      <w:r w:rsidR="00496855" w:rsidRPr="0025665A">
        <w:t xml:space="preserve"> dnů v návaznosti na čl. IV </w:t>
      </w:r>
      <w:r w:rsidR="00B609C0" w:rsidRPr="000603C4">
        <w:t>této smlouvy.</w:t>
      </w:r>
    </w:p>
    <w:p w14:paraId="0C76B0F0" w14:textId="77777777" w:rsidR="00545B5C" w:rsidRPr="00C26BBD" w:rsidRDefault="00545B5C"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color w:val="000000"/>
          <w:sz w:val="24"/>
          <w:szCs w:val="20"/>
          <w:lang w:eastAsia="cs-CZ"/>
        </w:rPr>
      </w:pPr>
      <w:r w:rsidRPr="00C26BBD">
        <w:rPr>
          <w:rFonts w:eastAsia="Times New Roman" w:cs="Arial"/>
          <w:b/>
          <w:color w:val="000000"/>
          <w:sz w:val="24"/>
          <w:szCs w:val="20"/>
          <w:lang w:eastAsia="cs-CZ"/>
        </w:rPr>
        <w:t xml:space="preserve">  </w:t>
      </w:r>
      <w:bookmarkStart w:id="3" w:name="_Toc522775762"/>
      <w:r w:rsidRPr="00C26BBD">
        <w:rPr>
          <w:rFonts w:eastAsia="Times New Roman" w:cs="Arial"/>
          <w:b/>
          <w:color w:val="000000"/>
          <w:sz w:val="24"/>
          <w:szCs w:val="20"/>
          <w:lang w:eastAsia="cs-CZ"/>
        </w:rPr>
        <w:t>Vyšší moc</w:t>
      </w:r>
      <w:bookmarkEnd w:id="3"/>
    </w:p>
    <w:p w14:paraId="60634B5F" w14:textId="45E0F748" w:rsidR="00690A10" w:rsidRPr="00690A10" w:rsidRDefault="00690A10" w:rsidP="00690A10">
      <w:pPr>
        <w:widowControl w:val="0"/>
        <w:numPr>
          <w:ilvl w:val="0"/>
          <w:numId w:val="54"/>
        </w:numPr>
        <w:tabs>
          <w:tab w:val="left" w:pos="720"/>
          <w:tab w:val="left" w:pos="851"/>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sidRPr="00690A10">
        <w:rPr>
          <w:rFonts w:eastAsia="Times New Roman" w:cs="Arial"/>
          <w:color w:val="000000"/>
          <w:lang w:eastAsia="cs-CZ"/>
        </w:rPr>
        <w:t>Je-li neplnění některého závazku prodávajícího způsobeno mimořádnými, nepředvídatelnými, neodvratitelnými překážkami nebo okolnostmi, na které prodávající nemá a nemůže mít vliv („vyšší moc“) a které mají přímý negativní dopad na prodávajícího nebo některé jeho poddodavatele, kteří se účastní plnění smlouvy, je neplnění Smlouvy ze strany prodávajícího prominuto a prodávající za ně nenese odpovědnost, pokud jsou splněny podmínky odst. 3.</w:t>
      </w:r>
    </w:p>
    <w:p w14:paraId="5C4F617D" w14:textId="77777777" w:rsidR="00690A10" w:rsidRPr="00690A10" w:rsidRDefault="00690A10" w:rsidP="00690A10">
      <w:pPr>
        <w:widowControl w:val="0"/>
        <w:numPr>
          <w:ilvl w:val="0"/>
          <w:numId w:val="54"/>
        </w:numPr>
        <w:tabs>
          <w:tab w:val="left" w:pos="720"/>
          <w:tab w:val="left" w:pos="851"/>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sidRPr="00690A10">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p>
    <w:p w14:paraId="13795E92" w14:textId="71AFAF83" w:rsidR="002217F8" w:rsidRPr="00690A10" w:rsidRDefault="00690A10" w:rsidP="00690A10">
      <w:pPr>
        <w:widowControl w:val="0"/>
        <w:numPr>
          <w:ilvl w:val="0"/>
          <w:numId w:val="54"/>
        </w:numPr>
        <w:tabs>
          <w:tab w:val="left" w:pos="720"/>
          <w:tab w:val="left" w:pos="851"/>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sidRPr="00690A10">
        <w:rPr>
          <w:rFonts w:eastAsia="Times New Roman" w:cs="Arial"/>
          <w:color w:val="000000"/>
          <w:lang w:eastAsia="cs-CZ"/>
        </w:rPr>
        <w:t xml:space="preserve">Jestliže se prodávající hodlá dožadovat prominutí svých povinností kvůli vyšší moci, předloží </w:t>
      </w:r>
      <w:r w:rsidRPr="00690A10">
        <w:rPr>
          <w:rFonts w:eastAsia="Times New Roman" w:cs="Arial"/>
          <w:color w:val="000000"/>
          <w:lang w:eastAsia="cs-CZ"/>
        </w:rPr>
        <w:lastRenderedPageBreak/>
        <w:t xml:space="preserve">kupujícímu bez zbytečného prodlení písemné oznámení, kde bude uveden důvod, na jehož základě odkazuje na vyšší moc, a odhadovaná doba působení vyšší moci. V případě vyšší moci má prodávající nárok na odpovídající úpravu smlouvy, zejména na prodloužení lhůty pro dodání zboží o dobu působení vyšší moci a jejích následků. Smluvní strany jsou oprávněny odstoupit od této smlouvy, působila-li vyšší moc v úhrnu po dobu delší 30 dnů. </w:t>
      </w:r>
    </w:p>
    <w:p w14:paraId="589BE4C6" w14:textId="124E807C" w:rsidR="006C636C" w:rsidRPr="0019419A" w:rsidRDefault="00502350" w:rsidP="007052F0">
      <w:pPr>
        <w:pStyle w:val="Odstavecseseznamem"/>
        <w:keepNext/>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left="3549" w:hanging="3124"/>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w:t>
      </w:r>
      <w:proofErr w:type="gramStart"/>
      <w:r w:rsidRPr="0019419A">
        <w:rPr>
          <w:rFonts w:cstheme="minorHAnsi"/>
        </w:rPr>
        <w:t>89a</w:t>
      </w:r>
      <w:proofErr w:type="gramEnd"/>
      <w:r w:rsidRPr="0019419A">
        <w:rPr>
          <w:rFonts w:cstheme="minorHAnsi"/>
        </w:rPr>
        <w:t xml:space="preserve">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6DFD841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0D8CEF14"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a </w:t>
      </w:r>
      <w:r w:rsidR="00603B8B">
        <w:rPr>
          <w:rFonts w:eastAsia="Times New Roman" w:cs="Arial"/>
          <w:color w:val="000000"/>
          <w:lang w:eastAsia="cs-CZ"/>
        </w:rPr>
        <w:t xml:space="preserve">přílohou A – </w:t>
      </w:r>
      <w:r w:rsidR="00940EBA">
        <w:rPr>
          <w:rFonts w:eastAsia="Times New Roman" w:cs="Arial"/>
          <w:color w:val="000000"/>
          <w:lang w:eastAsia="cs-CZ"/>
        </w:rPr>
        <w:t xml:space="preserve">technickou </w:t>
      </w:r>
      <w:r w:rsidR="0088620C">
        <w:rPr>
          <w:rFonts w:eastAsia="Times New Roman" w:cs="Arial"/>
          <w:color w:val="000000"/>
          <w:lang w:eastAsia="cs-CZ"/>
        </w:rPr>
        <w:t>specifikací</w:t>
      </w:r>
      <w:r w:rsidRPr="0019419A">
        <w:rPr>
          <w:rFonts w:eastAsia="Times New Roman" w:cs="Arial"/>
          <w:color w:val="000000"/>
          <w:lang w:eastAsia="cs-CZ"/>
        </w:rPr>
        <w:t xml:space="preserve"> </w:t>
      </w:r>
      <w:r>
        <w:rPr>
          <w:rFonts w:eastAsia="Times New Roman" w:cs="Arial"/>
          <w:color w:val="000000"/>
          <w:lang w:eastAsia="cs-CZ"/>
        </w:rPr>
        <w:t>má přednost t</w:t>
      </w:r>
      <w:r w:rsidRPr="0019419A">
        <w:rPr>
          <w:rFonts w:eastAsia="Times New Roman" w:cs="Arial"/>
          <w:color w:val="000000"/>
          <w:lang w:eastAsia="cs-CZ"/>
        </w:rPr>
        <w:t>echnická specifikace před touto smlouvou</w:t>
      </w:r>
      <w:r w:rsidR="0088620C">
        <w:rPr>
          <w:rFonts w:eastAsia="Times New Roman" w:cs="Arial"/>
          <w:color w:val="000000"/>
          <w:lang w:eastAsia="cs-CZ"/>
        </w:rPr>
        <w:t>.</w:t>
      </w:r>
      <w:r w:rsidRPr="0019419A">
        <w:rPr>
          <w:rFonts w:eastAsia="Times New Roman" w:cs="Arial"/>
          <w:color w:val="000000"/>
          <w:lang w:eastAsia="cs-CZ"/>
        </w:rPr>
        <w:t xml:space="preserve"> </w:t>
      </w:r>
      <w:r w:rsidR="00603B8B">
        <w:rPr>
          <w:rFonts w:eastAsia="Times New Roman" w:cs="Arial"/>
          <w:color w:val="000000"/>
          <w:lang w:eastAsia="cs-CZ"/>
        </w:rPr>
        <w:t xml:space="preserve">V případě rozporu mezi ustanoveními smlouvy a přílohou B – </w:t>
      </w:r>
      <w:r w:rsidR="00603B8B" w:rsidRPr="00603B8B">
        <w:rPr>
          <w:rFonts w:eastAsia="Times New Roman" w:cs="Arial"/>
          <w:color w:val="000000"/>
          <w:lang w:eastAsia="cs-CZ"/>
        </w:rPr>
        <w:t xml:space="preserve">nabídka č. </w:t>
      </w:r>
      <w:r w:rsidR="00C471B9" w:rsidRPr="00C471B9">
        <w:rPr>
          <w:rFonts w:eastAsia="Times New Roman" w:cs="Arial"/>
          <w:color w:val="000000"/>
          <w:lang w:eastAsia="cs-CZ"/>
        </w:rPr>
        <w:t>22570031</w:t>
      </w:r>
      <w:r w:rsidR="00603B8B">
        <w:rPr>
          <w:rFonts w:eastAsia="Times New Roman" w:cs="Arial"/>
          <w:color w:val="000000"/>
          <w:lang w:eastAsia="cs-CZ"/>
        </w:rPr>
        <w:t>, mají přednost ustanovení této smlouvy.</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7A0641D1"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proofErr w:type="spellStart"/>
      <w:r w:rsidR="0019419A" w:rsidRPr="0019419A">
        <w:t>metadat</w:t>
      </w:r>
      <w:proofErr w:type="spellEnd"/>
      <w:r w:rsidR="0019419A" w:rsidRPr="0019419A">
        <w:t xml:space="preserve">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25ACB439" w14:textId="6112C8CE" w:rsidR="00496855" w:rsidRPr="00D751A6" w:rsidRDefault="00496855" w:rsidP="009E7D5E">
      <w:pPr>
        <w:widowControl w:val="0"/>
        <w:numPr>
          <w:ilvl w:val="0"/>
          <w:numId w:val="3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Nedílnou součástí této smlouvy </w:t>
      </w:r>
      <w:r w:rsidR="00D751A6">
        <w:rPr>
          <w:rFonts w:eastAsia="Times New Roman" w:cs="Arial"/>
          <w:noProof/>
          <w:lang w:eastAsia="cs-CZ"/>
        </w:rPr>
        <w:t xml:space="preserve">je její </w:t>
      </w:r>
      <w:r w:rsidR="00603B8B">
        <w:rPr>
          <w:rFonts w:eastAsia="Times New Roman" w:cs="Arial"/>
          <w:noProof/>
          <w:lang w:eastAsia="cs-CZ"/>
        </w:rPr>
        <w:t>p</w:t>
      </w:r>
      <w:r w:rsidR="001E5ED0" w:rsidRPr="00D751A6">
        <w:rPr>
          <w:rFonts w:eastAsia="Times New Roman" w:cs="Arial"/>
          <w:noProof/>
          <w:lang w:eastAsia="cs-CZ"/>
        </w:rPr>
        <w:t xml:space="preserve">říloha A – </w:t>
      </w:r>
      <w:r w:rsidR="00C55EAB">
        <w:rPr>
          <w:rFonts w:eastAsia="Times New Roman" w:cs="Arial"/>
          <w:noProof/>
          <w:lang w:eastAsia="cs-CZ"/>
        </w:rPr>
        <w:t>t</w:t>
      </w:r>
      <w:r w:rsidR="001E5ED0" w:rsidRPr="00D751A6">
        <w:rPr>
          <w:rFonts w:eastAsia="Times New Roman" w:cs="Arial"/>
          <w:noProof/>
          <w:lang w:eastAsia="cs-CZ"/>
        </w:rPr>
        <w:t xml:space="preserve">echnická </w:t>
      </w:r>
      <w:r w:rsidR="001E5ED0" w:rsidRPr="009F29A3">
        <w:rPr>
          <w:rFonts w:eastAsia="Times New Roman" w:cs="Arial"/>
          <w:noProof/>
          <w:lang w:eastAsia="cs-CZ"/>
        </w:rPr>
        <w:t>specifikace</w:t>
      </w:r>
      <w:r w:rsidR="00603B8B">
        <w:rPr>
          <w:rFonts w:eastAsia="Times New Roman" w:cs="Arial"/>
          <w:noProof/>
          <w:lang w:eastAsia="cs-CZ"/>
        </w:rPr>
        <w:t xml:space="preserve"> a příloha B – </w:t>
      </w:r>
      <w:r w:rsidR="00603B8B">
        <w:rPr>
          <w:rFonts w:eastAsia="Times New Roman" w:cs="Arial"/>
          <w:color w:val="000000"/>
          <w:lang w:eastAsia="cs-CZ"/>
        </w:rPr>
        <w:t>nabídka č.</w:t>
      </w:r>
      <w:r w:rsidR="00603B8B">
        <w:t> </w:t>
      </w:r>
      <w:r w:rsidR="00C471B9" w:rsidRPr="00C471B9">
        <w:rPr>
          <w:rFonts w:eastAsia="Times New Roman" w:cs="Arial"/>
          <w:color w:val="000000"/>
          <w:lang w:eastAsia="cs-CZ"/>
        </w:rPr>
        <w:t>22570031</w:t>
      </w:r>
      <w:r w:rsidR="00B53CFA">
        <w:rPr>
          <w:rFonts w:cs="Arial"/>
          <w:color w:val="000000" w:themeColor="text1"/>
        </w:rPr>
        <w:t>.</w:t>
      </w:r>
    </w:p>
    <w:p w14:paraId="5A52434E" w14:textId="77777777" w:rsidR="00D02DB5" w:rsidRPr="0019419A" w:rsidRDefault="00D02DB5" w:rsidP="00B86BEB">
      <w:pPr>
        <w:widowControl w:val="0"/>
        <w:shd w:val="clear" w:color="auto" w:fill="FFFFFF"/>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Arial"/>
          <w:color w:val="000000"/>
          <w:lang w:eastAsia="cs-CZ"/>
        </w:rPr>
      </w:pPr>
    </w:p>
    <w:p w14:paraId="5CE04DE2" w14:textId="176E19AC"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75DB8B5C" w14:textId="7543BA22" w:rsidR="00BE7710" w:rsidRDefault="00BE7710">
      <w:pPr>
        <w:rPr>
          <w:rFonts w:eastAsia="Times New Roman" w:cs="Arial"/>
          <w:color w:val="000000"/>
          <w:lang w:eastAsia="cs-CZ"/>
        </w:rPr>
      </w:pPr>
    </w:p>
    <w:p w14:paraId="560AAA02" w14:textId="77777777" w:rsidR="00483F32" w:rsidRPr="0019419A" w:rsidRDefault="00483F32"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2663D51A"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267867E3" w14:textId="77777777" w:rsidR="00320A6E" w:rsidRDefault="00320A6E"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28770EA6" w14:textId="25CB0F3D" w:rsidR="00E5638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006836E2">
        <w:rPr>
          <w:rFonts w:eastAsia="Times New Roman" w:cs="Arial"/>
          <w:color w:val="000000"/>
          <w:lang w:eastAsia="cs-CZ"/>
        </w:rPr>
        <w:t xml:space="preserve"> </w:t>
      </w:r>
    </w:p>
    <w:p w14:paraId="72A9EFD2" w14:textId="77777777" w:rsidR="00772FA9" w:rsidRPr="00D10D2A" w:rsidRDefault="00772FA9" w:rsidP="00772FA9">
      <w:pPr>
        <w:keepNext/>
        <w:pageBreakBefore/>
        <w:spacing w:after="0" w:line="240" w:lineRule="auto"/>
        <w:jc w:val="center"/>
        <w:rPr>
          <w:rFonts w:ascii="Calibri" w:eastAsia="Times New Roman" w:hAnsi="Calibri" w:cs="Calibri"/>
          <w:sz w:val="16"/>
          <w:szCs w:val="18"/>
          <w:lang w:eastAsia="cs-CZ"/>
        </w:rPr>
      </w:pPr>
      <w:r w:rsidRPr="0025665A">
        <w:rPr>
          <w:rFonts w:ascii="Calibri" w:eastAsia="Times New Roman" w:hAnsi="Calibri" w:cs="Calibri"/>
          <w:b/>
          <w:sz w:val="28"/>
          <w:szCs w:val="32"/>
          <w:lang w:eastAsia="cs-CZ"/>
        </w:rPr>
        <w:lastRenderedPageBreak/>
        <w:t xml:space="preserve">Příloha A – </w:t>
      </w:r>
      <w:r w:rsidRPr="00D10D2A">
        <w:rPr>
          <w:rFonts w:ascii="Calibri" w:eastAsia="Times New Roman" w:hAnsi="Calibri" w:cs="Calibri"/>
          <w:b/>
          <w:sz w:val="28"/>
          <w:szCs w:val="32"/>
          <w:lang w:eastAsia="cs-CZ"/>
        </w:rPr>
        <w:t>Technická specifikace</w:t>
      </w:r>
    </w:p>
    <w:p w14:paraId="7C62335C" w14:textId="77777777" w:rsidR="00772FA9" w:rsidRPr="00D10D2A" w:rsidRDefault="00772FA9" w:rsidP="00772FA9">
      <w:pPr>
        <w:suppressAutoHyphens/>
        <w:autoSpaceDN w:val="0"/>
        <w:spacing w:before="240" w:after="0" w:line="240" w:lineRule="auto"/>
        <w:jc w:val="center"/>
        <w:textAlignment w:val="baseline"/>
        <w:rPr>
          <w:rFonts w:ascii="Calibri" w:eastAsia="Times New Roman" w:hAnsi="Calibri" w:cs="Calibri"/>
          <w:b/>
          <w:color w:val="00000A"/>
          <w:kern w:val="3"/>
          <w:lang w:eastAsia="cs-CZ"/>
        </w:rPr>
      </w:pPr>
      <w:r w:rsidRPr="00D10D2A">
        <w:rPr>
          <w:rFonts w:ascii="Calibri" w:eastAsia="Times New Roman" w:hAnsi="Calibri" w:cs="Calibri"/>
          <w:b/>
          <w:color w:val="00000A"/>
          <w:kern w:val="3"/>
          <w:lang w:eastAsia="cs-CZ"/>
        </w:rPr>
        <w:t>Technické parametry vybavení</w:t>
      </w:r>
    </w:p>
    <w:tbl>
      <w:tblPr>
        <w:tblStyle w:val="Mkatabulky1"/>
        <w:tblpPr w:leftFromText="141" w:rightFromText="141" w:vertAnchor="page" w:horzAnchor="margin" w:tblpY="2581"/>
        <w:tblW w:w="0" w:type="auto"/>
        <w:tblCellMar>
          <w:bottom w:w="57" w:type="dxa"/>
        </w:tblCellMar>
        <w:tblLook w:val="04A0" w:firstRow="1" w:lastRow="0" w:firstColumn="1" w:lastColumn="0" w:noHBand="0" w:noVBand="1"/>
      </w:tblPr>
      <w:tblGrid>
        <w:gridCol w:w="2091"/>
        <w:gridCol w:w="6970"/>
      </w:tblGrid>
      <w:tr w:rsidR="00C3062C" w:rsidRPr="00D10D2A" w14:paraId="78398D87" w14:textId="77777777" w:rsidTr="00C3062C">
        <w:trPr>
          <w:trHeight w:val="454"/>
        </w:trPr>
        <w:tc>
          <w:tcPr>
            <w:tcW w:w="0" w:type="auto"/>
            <w:shd w:val="clear" w:color="auto" w:fill="E7E6E6"/>
            <w:vAlign w:val="center"/>
          </w:tcPr>
          <w:p w14:paraId="5E595C29" w14:textId="679B59EE" w:rsidR="00772FA9" w:rsidRPr="00690A10" w:rsidRDefault="00772FA9" w:rsidP="007F5AF7">
            <w:pPr>
              <w:jc w:val="both"/>
              <w:rPr>
                <w:b/>
                <w:bCs/>
                <w:lang w:val="cs-CZ"/>
              </w:rPr>
            </w:pPr>
            <w:r w:rsidRPr="00690A10">
              <w:rPr>
                <w:b/>
                <w:bCs/>
                <w:lang w:val="cs-CZ"/>
              </w:rPr>
              <w:t xml:space="preserve">Název </w:t>
            </w:r>
            <w:r w:rsidR="00690A10" w:rsidRPr="00690A10">
              <w:rPr>
                <w:b/>
                <w:bCs/>
                <w:lang w:val="cs-CZ"/>
              </w:rPr>
              <w:t>technologie:</w:t>
            </w:r>
          </w:p>
        </w:tc>
        <w:tc>
          <w:tcPr>
            <w:tcW w:w="0" w:type="auto"/>
            <w:vAlign w:val="center"/>
          </w:tcPr>
          <w:p w14:paraId="253187F5" w14:textId="6BE3E527" w:rsidR="00772FA9" w:rsidRPr="000B3636" w:rsidRDefault="00890F7F" w:rsidP="007F5AF7">
            <w:pPr>
              <w:jc w:val="both"/>
              <w:rPr>
                <w:b/>
                <w:bCs/>
                <w:lang w:val="cs-CZ"/>
              </w:rPr>
            </w:pPr>
            <w:r w:rsidRPr="000B3636">
              <w:rPr>
                <w:rFonts w:eastAsia="Times New Roman" w:cs="Arial"/>
                <w:b/>
                <w:bCs/>
                <w:color w:val="000000"/>
                <w:lang w:val="cs-CZ" w:eastAsia="cs-CZ"/>
              </w:rPr>
              <w:t>Nástrojové držáky s RFID čipy</w:t>
            </w:r>
            <w:r w:rsidRPr="000B3636">
              <w:rPr>
                <w:rFonts w:eastAsia="Times New Roman" w:cs="Arial"/>
                <w:color w:val="000000"/>
                <w:lang w:val="cs-CZ" w:eastAsia="cs-CZ"/>
              </w:rPr>
              <w:t xml:space="preserve">, </w:t>
            </w:r>
            <w:r w:rsidRPr="000B3636">
              <w:rPr>
                <w:rFonts w:eastAsia="Times New Roman" w:cs="Arial"/>
                <w:b/>
                <w:color w:val="000000"/>
                <w:lang w:val="cs-CZ" w:eastAsia="cs-CZ"/>
              </w:rPr>
              <w:t xml:space="preserve">dílčí část </w:t>
            </w:r>
            <w:r w:rsidR="00C471B9">
              <w:rPr>
                <w:rFonts w:eastAsia="Times New Roman" w:cs="Arial"/>
                <w:b/>
                <w:color w:val="000000"/>
                <w:lang w:val="cs-CZ" w:eastAsia="cs-CZ"/>
              </w:rPr>
              <w:t>2</w:t>
            </w:r>
            <w:r w:rsidRPr="000B3636">
              <w:rPr>
                <w:rFonts w:eastAsia="Times New Roman" w:cs="Arial"/>
                <w:b/>
                <w:color w:val="000000"/>
                <w:lang w:val="cs-CZ" w:eastAsia="cs-CZ"/>
              </w:rPr>
              <w:t xml:space="preserve">: </w:t>
            </w:r>
            <w:r w:rsidR="00C471B9">
              <w:rPr>
                <w:b/>
                <w:lang w:val="cs-CZ"/>
              </w:rPr>
              <w:t xml:space="preserve">Mechanické </w:t>
            </w:r>
            <w:r w:rsidRPr="000B3636">
              <w:rPr>
                <w:b/>
                <w:lang w:val="cs-CZ"/>
              </w:rPr>
              <w:t>upínače</w:t>
            </w:r>
          </w:p>
        </w:tc>
      </w:tr>
      <w:tr w:rsidR="00D10D2A" w:rsidRPr="00D10D2A" w14:paraId="18562C9B" w14:textId="77777777" w:rsidTr="00C3062C">
        <w:trPr>
          <w:trHeight w:val="741"/>
        </w:trPr>
        <w:tc>
          <w:tcPr>
            <w:tcW w:w="0" w:type="auto"/>
            <w:tcBorders>
              <w:bottom w:val="single" w:sz="4" w:space="0" w:color="auto"/>
            </w:tcBorders>
            <w:shd w:val="clear" w:color="auto" w:fill="E7E6E6"/>
            <w:vAlign w:val="center"/>
          </w:tcPr>
          <w:p w14:paraId="7ABD606C" w14:textId="783E880A" w:rsidR="00772FA9" w:rsidRPr="000603C4" w:rsidRDefault="00690A10" w:rsidP="007F5AF7">
            <w:pPr>
              <w:jc w:val="both"/>
              <w:rPr>
                <w:b/>
                <w:bCs/>
                <w:lang w:val="cs-CZ"/>
              </w:rPr>
            </w:pPr>
            <w:r w:rsidRPr="00690A10">
              <w:rPr>
                <w:b/>
                <w:bCs/>
                <w:lang w:val="cs-CZ"/>
              </w:rPr>
              <w:t>Odborná charakteristika pořizovaného vybavení</w:t>
            </w:r>
          </w:p>
        </w:tc>
        <w:tc>
          <w:tcPr>
            <w:tcW w:w="0" w:type="auto"/>
            <w:tcBorders>
              <w:bottom w:val="single" w:sz="4" w:space="0" w:color="auto"/>
            </w:tcBorders>
          </w:tcPr>
          <w:p w14:paraId="5C84DA95" w14:textId="77777777" w:rsidR="00890F7F" w:rsidRPr="00890F7F" w:rsidRDefault="00890F7F" w:rsidP="00890F7F">
            <w:pPr>
              <w:jc w:val="both"/>
              <w:rPr>
                <w:lang w:val="cs-CZ"/>
              </w:rPr>
            </w:pPr>
            <w:r w:rsidRPr="00890F7F">
              <w:rPr>
                <w:lang w:val="cs-CZ"/>
              </w:rPr>
              <w:t>Nástrojové držáky s RFID čipy jsou určeny pro obrábění rotačními nástroji (především operacemi frézování, vrtání, vyvrtávání) s možností zaznamenávání informací o čísle (ID), rozměrech, stavu a době použití nástroje na paměťové médium – čip. Tento způsob přenosu a uchovávání informací ve výrobě je moderním přístupem, jak snížit nebo zcela eliminovat chyby lidské činnosti spojené se zadáváním těchto informací výrobnímu stroji. Dále je možné trvaleji uchovávat informace o proběhlých procesech a stavech nástroje, aby bylo možné přesně stanovit a hlídat optimální využití nástroje.</w:t>
            </w:r>
          </w:p>
          <w:p w14:paraId="4E290FF6" w14:textId="0E44A624" w:rsidR="00772FA9" w:rsidRPr="000603C4" w:rsidRDefault="00890F7F" w:rsidP="00890F7F">
            <w:pPr>
              <w:jc w:val="both"/>
              <w:rPr>
                <w:lang w:val="cs-CZ"/>
              </w:rPr>
            </w:pPr>
            <w:r w:rsidRPr="00890F7F">
              <w:rPr>
                <w:lang w:val="cs-CZ"/>
              </w:rPr>
              <w:t xml:space="preserve">Tento přístup úpravy a monitoringu řezných nástrojů je jedním z klíčových prvků digitalizace, </w:t>
            </w:r>
            <w:proofErr w:type="spellStart"/>
            <w:r w:rsidRPr="00890F7F">
              <w:rPr>
                <w:lang w:val="cs-CZ"/>
              </w:rPr>
              <w:t>bezobslužnosti</w:t>
            </w:r>
            <w:proofErr w:type="spellEnd"/>
            <w:r w:rsidRPr="00890F7F">
              <w:rPr>
                <w:lang w:val="cs-CZ"/>
              </w:rPr>
              <w:t xml:space="preserve"> a spolehlivosti obráběcích procesů. Požadavkem na dodavatele je, aby vybavení bylo kompletní (nástroje s již nainstalovanými čipy) a v rámci dodávky byla i zprovozněna komunikace s existující technologií na straně objednatele. Kromě funkčnosti přenosu a uchování dat prostřednictvím technologie RFID je nezbytné, aby byly dodávané upínače vybavené systémem pro středové chlazení procesu.</w:t>
            </w:r>
          </w:p>
        </w:tc>
      </w:tr>
      <w:tr w:rsidR="00C3062C" w:rsidRPr="00D10D2A" w14:paraId="56E302C6" w14:textId="77777777" w:rsidTr="00C3062C">
        <w:trPr>
          <w:trHeight w:val="1408"/>
        </w:trPr>
        <w:tc>
          <w:tcPr>
            <w:tcW w:w="0" w:type="auto"/>
            <w:shd w:val="clear" w:color="auto" w:fill="E7E6E6"/>
            <w:vAlign w:val="center"/>
          </w:tcPr>
          <w:p w14:paraId="3CFA00CA" w14:textId="77777777" w:rsidR="00772FA9" w:rsidRPr="000603C4" w:rsidRDefault="00772FA9" w:rsidP="007F5AF7">
            <w:pPr>
              <w:jc w:val="both"/>
              <w:rPr>
                <w:b/>
                <w:bCs/>
                <w:lang w:val="cs-CZ"/>
              </w:rPr>
            </w:pPr>
            <w:r w:rsidRPr="000603C4">
              <w:rPr>
                <w:b/>
                <w:bCs/>
                <w:lang w:val="cs-CZ"/>
              </w:rPr>
              <w:t>Účel požadovaného vybavení (zařízení)</w:t>
            </w:r>
          </w:p>
          <w:p w14:paraId="5DFD0DFD" w14:textId="77777777" w:rsidR="00772FA9" w:rsidRPr="000603C4" w:rsidRDefault="00772FA9" w:rsidP="007F5AF7">
            <w:pPr>
              <w:jc w:val="both"/>
              <w:rPr>
                <w:b/>
                <w:bCs/>
                <w:lang w:val="cs-CZ"/>
              </w:rPr>
            </w:pPr>
          </w:p>
        </w:tc>
        <w:tc>
          <w:tcPr>
            <w:tcW w:w="0" w:type="auto"/>
          </w:tcPr>
          <w:p w14:paraId="58C6E9D8" w14:textId="77777777" w:rsidR="00890F7F" w:rsidRPr="00890F7F" w:rsidRDefault="00890F7F" w:rsidP="00890F7F">
            <w:pPr>
              <w:jc w:val="both"/>
              <w:rPr>
                <w:lang w:val="cs-CZ"/>
              </w:rPr>
            </w:pPr>
            <w:r w:rsidRPr="00890F7F">
              <w:rPr>
                <w:lang w:val="cs-CZ"/>
              </w:rPr>
              <w:t>Vybavení je pořizováno za účelem výzkumu v oblasti digitálního přenosu a uchování informací v souvislosti s vlastnostmi řezného nástroje před, v průběhu a po obrábění. Bude tak realizován výzkum v oblastech: digitálních dvojčat výrobních strojů a robotů; řezného procesu těžkoobrobitelných a nekonvenčních materiálů; výzkum interakce procesu se strojem a robotem; výzkum inteligentní výrobní automatizace.</w:t>
            </w:r>
          </w:p>
          <w:p w14:paraId="6205F4D5" w14:textId="77777777" w:rsidR="00890F7F" w:rsidRPr="00890F7F" w:rsidRDefault="00890F7F" w:rsidP="00890F7F">
            <w:pPr>
              <w:jc w:val="both"/>
              <w:rPr>
                <w:lang w:val="cs-CZ"/>
              </w:rPr>
            </w:pPr>
            <w:r w:rsidRPr="00890F7F">
              <w:rPr>
                <w:lang w:val="cs-CZ"/>
              </w:rPr>
              <w:t>Nástroje s čipy RFID budou sloužit jako prostředek pro zaznamenání, uchování a přenos informací o nástroji a procesu v digitální formě.</w:t>
            </w:r>
          </w:p>
          <w:p w14:paraId="198E88C4" w14:textId="77777777" w:rsidR="00890F7F" w:rsidRPr="00890F7F" w:rsidRDefault="00890F7F" w:rsidP="00890F7F">
            <w:pPr>
              <w:jc w:val="both"/>
              <w:rPr>
                <w:lang w:val="cs-CZ"/>
              </w:rPr>
            </w:pPr>
            <w:r w:rsidRPr="00890F7F">
              <w:rPr>
                <w:lang w:val="cs-CZ"/>
              </w:rPr>
              <w:t>Komunikace a interakce pořizovaného vybavení bude interagovat s již pořízeným vybavením a technologiemi. Dodržení této funkcionality dodavatelem je zásadní.</w:t>
            </w:r>
          </w:p>
          <w:p w14:paraId="500E7D20" w14:textId="7CE7A5CF" w:rsidR="00772FA9" w:rsidRPr="000603C4" w:rsidRDefault="00890F7F" w:rsidP="00890F7F">
            <w:pPr>
              <w:jc w:val="both"/>
              <w:rPr>
                <w:lang w:val="cs-CZ"/>
              </w:rPr>
            </w:pPr>
            <w:r w:rsidRPr="00890F7F">
              <w:rPr>
                <w:lang w:val="cs-CZ"/>
              </w:rPr>
              <w:t xml:space="preserve">V současné době takové vybavení není na pracovišti k dispozici. Výsledky výzkumu a vzniklé know-how s použitím tohoto vybavení budou jednak charakteru vědeckých publikací v prestižních </w:t>
            </w:r>
            <w:proofErr w:type="spellStart"/>
            <w:r w:rsidRPr="00890F7F">
              <w:rPr>
                <w:lang w:val="cs-CZ"/>
              </w:rPr>
              <w:t>journalech</w:t>
            </w:r>
            <w:proofErr w:type="spellEnd"/>
            <w:r w:rsidRPr="00890F7F">
              <w:rPr>
                <w:lang w:val="cs-CZ"/>
              </w:rPr>
              <w:t xml:space="preserve"> a pak také formou nabídky ucelených znalostí firmám formou </w:t>
            </w:r>
            <w:proofErr w:type="spellStart"/>
            <w:r w:rsidRPr="00890F7F">
              <w:rPr>
                <w:lang w:val="cs-CZ"/>
              </w:rPr>
              <w:t>kolaborativního</w:t>
            </w:r>
            <w:proofErr w:type="spellEnd"/>
            <w:r w:rsidRPr="00890F7F">
              <w:rPr>
                <w:lang w:val="cs-CZ"/>
              </w:rPr>
              <w:t xml:space="preserve"> nebo smluvního výzkumu. </w:t>
            </w:r>
          </w:p>
        </w:tc>
      </w:tr>
    </w:tbl>
    <w:p w14:paraId="5DEE5113" w14:textId="77777777" w:rsidR="00772FA9" w:rsidRPr="00D10D2A" w:rsidRDefault="00772FA9" w:rsidP="00772FA9">
      <w:pPr>
        <w:suppressAutoHyphens/>
        <w:autoSpaceDN w:val="0"/>
        <w:spacing w:after="0" w:line="240" w:lineRule="auto"/>
        <w:textAlignment w:val="baseline"/>
        <w:rPr>
          <w:rFonts w:ascii="Calibri" w:eastAsia="Times New Roman" w:hAnsi="Calibri" w:cs="Calibri"/>
          <w:b/>
          <w:color w:val="00000A"/>
          <w:kern w:val="3"/>
          <w:sz w:val="20"/>
          <w:szCs w:val="20"/>
          <w:lang w:eastAsia="cs-CZ"/>
        </w:rPr>
      </w:pPr>
    </w:p>
    <w:tbl>
      <w:tblPr>
        <w:tblStyle w:val="Mkatabulky1"/>
        <w:tblW w:w="5000" w:type="pct"/>
        <w:tblCellMar>
          <w:bottom w:w="57" w:type="dxa"/>
        </w:tblCellMar>
        <w:tblLook w:val="04A0" w:firstRow="1" w:lastRow="0" w:firstColumn="1" w:lastColumn="0" w:noHBand="0" w:noVBand="1"/>
      </w:tblPr>
      <w:tblGrid>
        <w:gridCol w:w="4531"/>
        <w:gridCol w:w="1395"/>
        <w:gridCol w:w="3135"/>
      </w:tblGrid>
      <w:tr w:rsidR="00585FFF" w:rsidRPr="00967451" w14:paraId="223074CF" w14:textId="77777777" w:rsidTr="00585FFF">
        <w:tc>
          <w:tcPr>
            <w:tcW w:w="5000" w:type="pct"/>
            <w:gridSpan w:val="3"/>
            <w:shd w:val="clear" w:color="auto" w:fill="FFFFFF" w:themeFill="background1"/>
          </w:tcPr>
          <w:p w14:paraId="75B0FEEB" w14:textId="4A1AA538" w:rsidR="00585FFF" w:rsidRPr="00967451" w:rsidRDefault="00585FFF" w:rsidP="007F5AF7">
            <w:pPr>
              <w:jc w:val="center"/>
              <w:rPr>
                <w:b/>
                <w:bCs/>
              </w:rPr>
            </w:pPr>
            <w:proofErr w:type="spellStart"/>
            <w:r>
              <w:rPr>
                <w:i/>
                <w:sz w:val="20"/>
                <w:szCs w:val="20"/>
              </w:rPr>
              <w:t>Technologie</w:t>
            </w:r>
            <w:proofErr w:type="spellEnd"/>
            <w:r>
              <w:rPr>
                <w:i/>
                <w:sz w:val="20"/>
                <w:szCs w:val="20"/>
              </w:rPr>
              <w:t xml:space="preserve"> RFID</w:t>
            </w:r>
          </w:p>
        </w:tc>
      </w:tr>
      <w:tr w:rsidR="00585FFF" w:rsidRPr="00967451" w14:paraId="12E1C14A" w14:textId="3D5883E5" w:rsidTr="00585FFF">
        <w:tc>
          <w:tcPr>
            <w:tcW w:w="2500" w:type="pct"/>
            <w:shd w:val="clear" w:color="auto" w:fill="E7E6E6"/>
          </w:tcPr>
          <w:p w14:paraId="1AA93C5E" w14:textId="77777777" w:rsidR="00585FFF" w:rsidRPr="00967451" w:rsidRDefault="00585FFF" w:rsidP="007F5AF7">
            <w:pPr>
              <w:jc w:val="center"/>
              <w:rPr>
                <w:b/>
                <w:bCs/>
                <w:lang w:val="cs-CZ"/>
              </w:rPr>
            </w:pPr>
            <w:r w:rsidRPr="00967451">
              <w:rPr>
                <w:b/>
                <w:bCs/>
                <w:lang w:val="cs-CZ"/>
              </w:rPr>
              <w:t>Popis parametru:</w:t>
            </w:r>
          </w:p>
        </w:tc>
        <w:tc>
          <w:tcPr>
            <w:tcW w:w="2500" w:type="pct"/>
            <w:gridSpan w:val="2"/>
            <w:shd w:val="clear" w:color="auto" w:fill="E7E6E6"/>
          </w:tcPr>
          <w:p w14:paraId="697D9C4A" w14:textId="0772ED02" w:rsidR="00585FFF" w:rsidRPr="00967451" w:rsidRDefault="00585FFF" w:rsidP="007F5AF7">
            <w:pPr>
              <w:jc w:val="center"/>
              <w:rPr>
                <w:b/>
                <w:bCs/>
                <w:lang w:val="cs-CZ"/>
              </w:rPr>
            </w:pPr>
            <w:r w:rsidRPr="00967451">
              <w:rPr>
                <w:b/>
                <w:bCs/>
                <w:lang w:val="cs-CZ"/>
              </w:rPr>
              <w:t>Požadovaná hodnota</w:t>
            </w:r>
          </w:p>
        </w:tc>
      </w:tr>
      <w:tr w:rsidR="00585FFF" w:rsidRPr="00967451" w14:paraId="182EA695" w14:textId="77777777" w:rsidTr="00585FFF">
        <w:tc>
          <w:tcPr>
            <w:tcW w:w="2500" w:type="pct"/>
            <w:shd w:val="clear" w:color="auto" w:fill="FFFFFF" w:themeFill="background1"/>
          </w:tcPr>
          <w:p w14:paraId="5B851ADB" w14:textId="23013260" w:rsidR="00585FFF" w:rsidRPr="00585FFF" w:rsidRDefault="00585FFF" w:rsidP="00585FFF">
            <w:pPr>
              <w:jc w:val="both"/>
              <w:rPr>
                <w:b/>
                <w:bCs/>
                <w:lang w:val="cs-CZ"/>
              </w:rPr>
            </w:pPr>
            <w:r w:rsidRPr="00585FFF">
              <w:rPr>
                <w:lang w:val="cs-CZ"/>
              </w:rPr>
              <w:t xml:space="preserve">Vyhotovené osazení nástrojových upínačů čipy </w:t>
            </w:r>
          </w:p>
        </w:tc>
        <w:tc>
          <w:tcPr>
            <w:tcW w:w="2500" w:type="pct"/>
            <w:gridSpan w:val="2"/>
            <w:shd w:val="clear" w:color="auto" w:fill="FFFFFF" w:themeFill="background1"/>
          </w:tcPr>
          <w:p w14:paraId="4B019E9C" w14:textId="7FF658B3" w:rsidR="00585FFF" w:rsidRPr="00967451" w:rsidRDefault="00585FFF" w:rsidP="00585FFF">
            <w:pPr>
              <w:jc w:val="center"/>
              <w:rPr>
                <w:b/>
                <w:bCs/>
              </w:rPr>
            </w:pPr>
            <w:r w:rsidRPr="00CC448B">
              <w:t>ANO</w:t>
            </w:r>
          </w:p>
        </w:tc>
      </w:tr>
      <w:tr w:rsidR="00585FFF" w:rsidRPr="00967451" w14:paraId="6E9787B3" w14:textId="77777777" w:rsidTr="00585FFF">
        <w:tc>
          <w:tcPr>
            <w:tcW w:w="2500" w:type="pct"/>
            <w:shd w:val="clear" w:color="auto" w:fill="FFFFFF" w:themeFill="background1"/>
          </w:tcPr>
          <w:p w14:paraId="6F4185B8" w14:textId="28B5C457" w:rsidR="00585FFF" w:rsidRPr="00585FFF" w:rsidRDefault="00585FFF" w:rsidP="00585FFF">
            <w:pPr>
              <w:jc w:val="both"/>
              <w:rPr>
                <w:b/>
                <w:bCs/>
                <w:lang w:val="cs-CZ"/>
              </w:rPr>
            </w:pPr>
            <w:r w:rsidRPr="00585FFF">
              <w:rPr>
                <w:lang w:val="cs-CZ"/>
              </w:rPr>
              <w:t>Technologie BALLUFF</w:t>
            </w:r>
          </w:p>
        </w:tc>
        <w:tc>
          <w:tcPr>
            <w:tcW w:w="2500" w:type="pct"/>
            <w:gridSpan w:val="2"/>
            <w:shd w:val="clear" w:color="auto" w:fill="FFFFFF" w:themeFill="background1"/>
          </w:tcPr>
          <w:p w14:paraId="3FB3C4F3" w14:textId="6039F414" w:rsidR="00585FFF" w:rsidRPr="00967451" w:rsidRDefault="00585FFF" w:rsidP="00585FFF">
            <w:pPr>
              <w:jc w:val="center"/>
              <w:rPr>
                <w:b/>
                <w:bCs/>
              </w:rPr>
            </w:pPr>
            <w:r w:rsidRPr="00CC448B">
              <w:t>ANO</w:t>
            </w:r>
          </w:p>
        </w:tc>
      </w:tr>
      <w:tr w:rsidR="00585FFF" w:rsidRPr="00967451" w14:paraId="17DF2DCD" w14:textId="77777777" w:rsidTr="00585FFF">
        <w:tc>
          <w:tcPr>
            <w:tcW w:w="2500" w:type="pct"/>
            <w:shd w:val="clear" w:color="auto" w:fill="FFFFFF" w:themeFill="background1"/>
          </w:tcPr>
          <w:p w14:paraId="6BBAEE1A" w14:textId="2A557F21" w:rsidR="00585FFF" w:rsidRPr="00585FFF" w:rsidRDefault="00585FFF" w:rsidP="00585FFF">
            <w:pPr>
              <w:jc w:val="both"/>
              <w:rPr>
                <w:b/>
                <w:bCs/>
                <w:lang w:val="cs-CZ"/>
              </w:rPr>
            </w:pPr>
            <w:r w:rsidRPr="00585FFF">
              <w:rPr>
                <w:lang w:val="cs-CZ"/>
              </w:rPr>
              <w:t>Komunikační frekvence RFID [MHz]</w:t>
            </w:r>
          </w:p>
        </w:tc>
        <w:tc>
          <w:tcPr>
            <w:tcW w:w="2500" w:type="pct"/>
            <w:gridSpan w:val="2"/>
            <w:shd w:val="clear" w:color="auto" w:fill="FFFFFF" w:themeFill="background1"/>
          </w:tcPr>
          <w:p w14:paraId="7D4D41B8" w14:textId="2CFAE2FD" w:rsidR="00585FFF" w:rsidRPr="00967451" w:rsidRDefault="00585FFF" w:rsidP="00585FFF">
            <w:pPr>
              <w:jc w:val="center"/>
              <w:rPr>
                <w:b/>
                <w:bCs/>
              </w:rPr>
            </w:pPr>
            <w:r w:rsidRPr="00CC448B">
              <w:t>13,56</w:t>
            </w:r>
          </w:p>
        </w:tc>
      </w:tr>
      <w:tr w:rsidR="00585FFF" w:rsidRPr="00967451" w14:paraId="1D11574C" w14:textId="77777777" w:rsidTr="00585FFF">
        <w:tc>
          <w:tcPr>
            <w:tcW w:w="2500" w:type="pct"/>
            <w:shd w:val="clear" w:color="auto" w:fill="FFFFFF" w:themeFill="background1"/>
          </w:tcPr>
          <w:p w14:paraId="604B8FA4" w14:textId="2FE2E11F" w:rsidR="00585FFF" w:rsidRPr="00585FFF" w:rsidRDefault="00585FFF" w:rsidP="00585FFF">
            <w:pPr>
              <w:jc w:val="both"/>
              <w:rPr>
                <w:b/>
                <w:bCs/>
                <w:lang w:val="cs-CZ"/>
              </w:rPr>
            </w:pPr>
            <w:r w:rsidRPr="00585FFF">
              <w:rPr>
                <w:lang w:val="cs-CZ"/>
              </w:rPr>
              <w:t>Kapacita každého z čipů [Byte]</w:t>
            </w:r>
          </w:p>
        </w:tc>
        <w:tc>
          <w:tcPr>
            <w:tcW w:w="2500" w:type="pct"/>
            <w:gridSpan w:val="2"/>
            <w:shd w:val="clear" w:color="auto" w:fill="FFFFFF" w:themeFill="background1"/>
          </w:tcPr>
          <w:p w14:paraId="4DD26FA1" w14:textId="2DE33A9B" w:rsidR="00585FFF" w:rsidRPr="00967451" w:rsidRDefault="00585FFF" w:rsidP="00585FFF">
            <w:pPr>
              <w:jc w:val="center"/>
              <w:rPr>
                <w:b/>
                <w:bCs/>
              </w:rPr>
            </w:pPr>
            <w:r w:rsidRPr="00CC448B">
              <w:t>Min. 511 Byte</w:t>
            </w:r>
          </w:p>
        </w:tc>
      </w:tr>
      <w:tr w:rsidR="00585FFF" w:rsidRPr="00967451" w14:paraId="7B62FE53" w14:textId="77777777" w:rsidTr="00585FFF">
        <w:tc>
          <w:tcPr>
            <w:tcW w:w="2500" w:type="pct"/>
            <w:shd w:val="clear" w:color="auto" w:fill="FFFFFF" w:themeFill="background1"/>
          </w:tcPr>
          <w:p w14:paraId="4ECF0935" w14:textId="014C05B5" w:rsidR="00585FFF" w:rsidRPr="00585FFF" w:rsidRDefault="00585FFF" w:rsidP="00585FFF">
            <w:pPr>
              <w:jc w:val="both"/>
              <w:rPr>
                <w:b/>
                <w:bCs/>
                <w:lang w:val="cs-CZ"/>
              </w:rPr>
            </w:pPr>
            <w:r w:rsidRPr="00585FFF">
              <w:rPr>
                <w:lang w:val="cs-CZ"/>
              </w:rPr>
              <w:t>IP ochrana 68</w:t>
            </w:r>
          </w:p>
        </w:tc>
        <w:tc>
          <w:tcPr>
            <w:tcW w:w="2500" w:type="pct"/>
            <w:gridSpan w:val="2"/>
            <w:shd w:val="clear" w:color="auto" w:fill="FFFFFF" w:themeFill="background1"/>
          </w:tcPr>
          <w:p w14:paraId="77A12059" w14:textId="5C83A979" w:rsidR="00585FFF" w:rsidRPr="00967451" w:rsidRDefault="00585FFF" w:rsidP="00585FFF">
            <w:pPr>
              <w:jc w:val="center"/>
              <w:rPr>
                <w:b/>
                <w:bCs/>
              </w:rPr>
            </w:pPr>
            <w:r w:rsidRPr="00CC448B">
              <w:t>ANO</w:t>
            </w:r>
          </w:p>
        </w:tc>
      </w:tr>
      <w:tr w:rsidR="00C471B9" w:rsidRPr="00967451" w14:paraId="608D825B" w14:textId="77777777" w:rsidTr="00C471B9">
        <w:tc>
          <w:tcPr>
            <w:tcW w:w="5000" w:type="pct"/>
            <w:gridSpan w:val="3"/>
          </w:tcPr>
          <w:p w14:paraId="13C3FB54" w14:textId="39C22B75" w:rsidR="00C471B9" w:rsidRPr="00C471B9" w:rsidRDefault="00C471B9" w:rsidP="00890F7F">
            <w:pPr>
              <w:jc w:val="center"/>
              <w:rPr>
                <w:sz w:val="20"/>
                <w:szCs w:val="20"/>
                <w:lang w:val="cs-CZ"/>
              </w:rPr>
            </w:pPr>
            <w:r w:rsidRPr="00C471B9">
              <w:rPr>
                <w:i/>
                <w:sz w:val="20"/>
                <w:szCs w:val="20"/>
                <w:lang w:val="cs-CZ"/>
              </w:rPr>
              <w:t>Kleštinové upínače s RFID čipy a sady kleštin</w:t>
            </w:r>
          </w:p>
        </w:tc>
      </w:tr>
      <w:tr w:rsidR="00585FFF" w:rsidRPr="00967451" w14:paraId="0820AD64" w14:textId="77777777" w:rsidTr="00585FFF">
        <w:tc>
          <w:tcPr>
            <w:tcW w:w="2500" w:type="pct"/>
            <w:shd w:val="clear" w:color="auto" w:fill="E7E6E6" w:themeFill="background2"/>
          </w:tcPr>
          <w:p w14:paraId="3B15322F" w14:textId="3BBA1E71" w:rsidR="00585FFF" w:rsidRPr="00C471B9" w:rsidRDefault="00585FFF" w:rsidP="00585FFF">
            <w:pPr>
              <w:jc w:val="both"/>
              <w:rPr>
                <w:color w:val="000000" w:themeColor="text1"/>
                <w:sz w:val="20"/>
                <w:szCs w:val="20"/>
              </w:rPr>
            </w:pPr>
            <w:r w:rsidRPr="00967451">
              <w:rPr>
                <w:b/>
                <w:bCs/>
                <w:lang w:val="cs-CZ"/>
              </w:rPr>
              <w:lastRenderedPageBreak/>
              <w:t>Popis parametru:</w:t>
            </w:r>
          </w:p>
        </w:tc>
        <w:tc>
          <w:tcPr>
            <w:tcW w:w="770" w:type="pct"/>
            <w:shd w:val="clear" w:color="auto" w:fill="E7E6E6" w:themeFill="background2"/>
          </w:tcPr>
          <w:p w14:paraId="3732FC8F" w14:textId="6E2EA931" w:rsidR="00585FFF" w:rsidRPr="00C471B9" w:rsidRDefault="00585FFF" w:rsidP="00585FFF">
            <w:pPr>
              <w:jc w:val="center"/>
              <w:rPr>
                <w:sz w:val="20"/>
                <w:szCs w:val="20"/>
              </w:rPr>
            </w:pPr>
            <w:r w:rsidRPr="000B3636">
              <w:rPr>
                <w:b/>
                <w:bCs/>
                <w:lang w:val="cs-CZ"/>
              </w:rPr>
              <w:t>Počet</w:t>
            </w:r>
            <w:r>
              <w:rPr>
                <w:b/>
                <w:bCs/>
              </w:rPr>
              <w:t xml:space="preserve"> </w:t>
            </w:r>
            <w:r w:rsidRPr="000B3636">
              <w:rPr>
                <w:b/>
                <w:bCs/>
                <w:lang w:val="cs-CZ"/>
              </w:rPr>
              <w:t>ks</w:t>
            </w:r>
          </w:p>
        </w:tc>
        <w:tc>
          <w:tcPr>
            <w:tcW w:w="1730" w:type="pct"/>
            <w:shd w:val="clear" w:color="auto" w:fill="E7E6E6" w:themeFill="background2"/>
          </w:tcPr>
          <w:p w14:paraId="3A0FB85D" w14:textId="0F1DBC55" w:rsidR="00585FFF" w:rsidRPr="00C471B9" w:rsidRDefault="00585FFF" w:rsidP="00585FFF">
            <w:pPr>
              <w:jc w:val="center"/>
              <w:rPr>
                <w:sz w:val="20"/>
                <w:szCs w:val="20"/>
              </w:rPr>
            </w:pPr>
            <w:r w:rsidRPr="00967451">
              <w:rPr>
                <w:b/>
                <w:bCs/>
                <w:lang w:val="cs-CZ"/>
              </w:rPr>
              <w:t>Požadovaná hodnota</w:t>
            </w:r>
          </w:p>
        </w:tc>
      </w:tr>
      <w:tr w:rsidR="00C471B9" w:rsidRPr="00967451" w14:paraId="18F9B63E" w14:textId="396719FF" w:rsidTr="000B3636">
        <w:tc>
          <w:tcPr>
            <w:tcW w:w="2500" w:type="pct"/>
          </w:tcPr>
          <w:p w14:paraId="79C0F7C4" w14:textId="6D2B5D1D" w:rsidR="00C471B9" w:rsidRPr="00C471B9" w:rsidRDefault="00C471B9" w:rsidP="00C471B9">
            <w:pPr>
              <w:jc w:val="both"/>
              <w:rPr>
                <w:lang w:val="cs-CZ"/>
              </w:rPr>
            </w:pPr>
            <w:r w:rsidRPr="00C471B9">
              <w:rPr>
                <w:color w:val="000000" w:themeColor="text1"/>
                <w:sz w:val="20"/>
                <w:szCs w:val="20"/>
                <w:lang w:val="cs-CZ"/>
              </w:rPr>
              <w:t>Upínací průměr 3, 4, 5, 6, 7, 8, 9, 10, 11, 12, 13, 14, 15 a 16 mm; pro kleštinu velikosti ER25; rozhraní HSK63A; maximální délka upínače od vřetene 75</w:t>
            </w:r>
            <w:r w:rsidRPr="00C471B9">
              <w:rPr>
                <w:rFonts w:ascii="Calibri" w:hAnsi="Calibri" w:cs="Calibri"/>
                <w:sz w:val="20"/>
                <w:szCs w:val="20"/>
                <w:lang w:val="cs-CZ"/>
              </w:rPr>
              <w:t>±</w:t>
            </w:r>
            <w:r w:rsidRPr="00C471B9">
              <w:rPr>
                <w:sz w:val="20"/>
                <w:szCs w:val="20"/>
                <w:lang w:val="cs-CZ"/>
              </w:rPr>
              <w:t>5</w:t>
            </w:r>
            <w:r w:rsidRPr="00C471B9">
              <w:rPr>
                <w:color w:val="000000" w:themeColor="text1"/>
                <w:sz w:val="20"/>
                <w:szCs w:val="20"/>
                <w:lang w:val="cs-CZ"/>
              </w:rPr>
              <w:t xml:space="preserve"> mm; maximální průměr upínače v části pro upnutí nástroje 42</w:t>
            </w:r>
            <w:r w:rsidRPr="00C471B9">
              <w:rPr>
                <w:rFonts w:ascii="Calibri" w:hAnsi="Calibri" w:cs="Calibri"/>
                <w:sz w:val="20"/>
                <w:szCs w:val="20"/>
                <w:lang w:val="cs-CZ"/>
              </w:rPr>
              <w:t>±</w:t>
            </w:r>
            <w:r w:rsidRPr="00C471B9">
              <w:rPr>
                <w:sz w:val="20"/>
                <w:szCs w:val="20"/>
                <w:lang w:val="cs-CZ"/>
              </w:rPr>
              <w:t>5</w:t>
            </w:r>
            <w:r w:rsidRPr="00C471B9">
              <w:rPr>
                <w:color w:val="000000" w:themeColor="text1"/>
                <w:sz w:val="20"/>
                <w:szCs w:val="20"/>
                <w:lang w:val="cs-CZ"/>
              </w:rPr>
              <w:t xml:space="preserve"> mm; systém středového chlazení; sada upínacích kleštin pro středové chlazení s pracovním tlakem kapaliny min 20 bar</w:t>
            </w:r>
          </w:p>
        </w:tc>
        <w:tc>
          <w:tcPr>
            <w:tcW w:w="770" w:type="pct"/>
          </w:tcPr>
          <w:p w14:paraId="4656F0F9" w14:textId="13D872A3" w:rsidR="00C471B9" w:rsidRPr="00C471B9" w:rsidRDefault="00C471B9" w:rsidP="00C471B9">
            <w:pPr>
              <w:jc w:val="center"/>
              <w:rPr>
                <w:sz w:val="20"/>
                <w:szCs w:val="20"/>
                <w:lang w:val="cs-CZ"/>
              </w:rPr>
            </w:pPr>
            <w:r w:rsidRPr="00C471B9">
              <w:rPr>
                <w:sz w:val="20"/>
                <w:szCs w:val="20"/>
                <w:lang w:val="cs-CZ"/>
              </w:rPr>
              <w:t>1</w:t>
            </w:r>
            <w:r>
              <w:rPr>
                <w:sz w:val="20"/>
                <w:szCs w:val="20"/>
                <w:lang w:val="cs-CZ"/>
              </w:rPr>
              <w:t xml:space="preserve"> (se sadou kleštin)</w:t>
            </w:r>
          </w:p>
        </w:tc>
        <w:tc>
          <w:tcPr>
            <w:tcW w:w="1730" w:type="pct"/>
          </w:tcPr>
          <w:p w14:paraId="7AEE09C5" w14:textId="648B12A3" w:rsidR="00C471B9" w:rsidRPr="00C471B9" w:rsidRDefault="00C471B9" w:rsidP="00C471B9">
            <w:pPr>
              <w:jc w:val="center"/>
              <w:rPr>
                <w:lang w:val="cs-CZ"/>
              </w:rPr>
            </w:pPr>
            <w:r w:rsidRPr="00C471B9">
              <w:rPr>
                <w:sz w:val="20"/>
                <w:szCs w:val="20"/>
                <w:lang w:val="cs-CZ"/>
              </w:rPr>
              <w:t>ANO</w:t>
            </w:r>
          </w:p>
        </w:tc>
      </w:tr>
      <w:tr w:rsidR="00C471B9" w:rsidRPr="00967451" w14:paraId="3C6FABC8" w14:textId="6614DAC5" w:rsidTr="000B3636">
        <w:tc>
          <w:tcPr>
            <w:tcW w:w="2500" w:type="pct"/>
          </w:tcPr>
          <w:p w14:paraId="3ED11CC0" w14:textId="08254A1F" w:rsidR="00C471B9" w:rsidRPr="00C471B9" w:rsidRDefault="00C471B9" w:rsidP="00C471B9">
            <w:pPr>
              <w:jc w:val="both"/>
              <w:rPr>
                <w:lang w:val="cs-CZ"/>
              </w:rPr>
            </w:pPr>
            <w:r w:rsidRPr="00C471B9">
              <w:rPr>
                <w:color w:val="000000" w:themeColor="text1"/>
                <w:sz w:val="20"/>
                <w:szCs w:val="20"/>
                <w:lang w:val="cs-CZ"/>
              </w:rPr>
              <w:t>Upínací průměr 3, 4, 5, 6, 7, 8, 9, 10, 11, 12, 13, 14, 15 a 16 mm; pro kleštinu velikosti ER25; rozhraní HSK63A; maximální délka upínače od vřetene 100</w:t>
            </w:r>
            <w:r w:rsidRPr="00C471B9">
              <w:rPr>
                <w:rFonts w:ascii="Calibri" w:hAnsi="Calibri" w:cs="Calibri"/>
                <w:sz w:val="20"/>
                <w:szCs w:val="20"/>
                <w:lang w:val="cs-CZ"/>
              </w:rPr>
              <w:t>±</w:t>
            </w:r>
            <w:r w:rsidRPr="00C471B9">
              <w:rPr>
                <w:sz w:val="20"/>
                <w:szCs w:val="20"/>
                <w:lang w:val="cs-CZ"/>
              </w:rPr>
              <w:t>10</w:t>
            </w:r>
            <w:r w:rsidRPr="00C471B9">
              <w:rPr>
                <w:color w:val="000000" w:themeColor="text1"/>
                <w:sz w:val="20"/>
                <w:szCs w:val="20"/>
                <w:lang w:val="cs-CZ"/>
              </w:rPr>
              <w:t xml:space="preserve"> mm; maximální průměr upínače v části pro upnutí nástroje 42</w:t>
            </w:r>
            <w:r w:rsidRPr="00C471B9">
              <w:rPr>
                <w:rFonts w:ascii="Calibri" w:hAnsi="Calibri" w:cs="Calibri"/>
                <w:sz w:val="20"/>
                <w:szCs w:val="20"/>
                <w:lang w:val="cs-CZ"/>
              </w:rPr>
              <w:t>±</w:t>
            </w:r>
            <w:r w:rsidRPr="00C471B9">
              <w:rPr>
                <w:sz w:val="20"/>
                <w:szCs w:val="20"/>
                <w:lang w:val="cs-CZ"/>
              </w:rPr>
              <w:t>5</w:t>
            </w:r>
            <w:r w:rsidRPr="00C471B9">
              <w:rPr>
                <w:color w:val="000000" w:themeColor="text1"/>
                <w:sz w:val="20"/>
                <w:szCs w:val="20"/>
                <w:lang w:val="cs-CZ"/>
              </w:rPr>
              <w:t xml:space="preserve"> mm; systém středového chlazení; sada upínacích kleštin pro středové chlazení s minimálním pracovním tlakem kapaliny min 110 bar</w:t>
            </w:r>
          </w:p>
        </w:tc>
        <w:tc>
          <w:tcPr>
            <w:tcW w:w="770" w:type="pct"/>
          </w:tcPr>
          <w:p w14:paraId="68F43C49" w14:textId="25BEB9FC" w:rsidR="00C471B9" w:rsidRPr="00C471B9" w:rsidRDefault="00C471B9" w:rsidP="00C471B9">
            <w:pPr>
              <w:jc w:val="center"/>
              <w:rPr>
                <w:sz w:val="20"/>
                <w:szCs w:val="20"/>
                <w:lang w:val="cs-CZ"/>
              </w:rPr>
            </w:pPr>
            <w:r w:rsidRPr="00C471B9">
              <w:rPr>
                <w:sz w:val="20"/>
                <w:szCs w:val="20"/>
                <w:lang w:val="cs-CZ"/>
              </w:rPr>
              <w:t>1</w:t>
            </w:r>
          </w:p>
        </w:tc>
        <w:tc>
          <w:tcPr>
            <w:tcW w:w="1730" w:type="pct"/>
          </w:tcPr>
          <w:p w14:paraId="7748BC60" w14:textId="106760AB" w:rsidR="00C471B9" w:rsidRPr="00C471B9" w:rsidRDefault="00C471B9" w:rsidP="00C471B9">
            <w:pPr>
              <w:jc w:val="center"/>
              <w:rPr>
                <w:lang w:val="cs-CZ"/>
              </w:rPr>
            </w:pPr>
            <w:r w:rsidRPr="00C471B9">
              <w:rPr>
                <w:sz w:val="20"/>
                <w:szCs w:val="20"/>
                <w:lang w:val="cs-CZ"/>
              </w:rPr>
              <w:t>ANO</w:t>
            </w:r>
          </w:p>
        </w:tc>
      </w:tr>
      <w:tr w:rsidR="00C471B9" w:rsidRPr="00967451" w14:paraId="5FC7E7F5" w14:textId="75760E3E" w:rsidTr="000B3636">
        <w:tc>
          <w:tcPr>
            <w:tcW w:w="2500" w:type="pct"/>
          </w:tcPr>
          <w:p w14:paraId="231DE9B4" w14:textId="7205BABF" w:rsidR="00C471B9" w:rsidRPr="00C471B9" w:rsidRDefault="00C471B9" w:rsidP="00C471B9">
            <w:pPr>
              <w:jc w:val="both"/>
              <w:rPr>
                <w:lang w:val="cs-CZ"/>
              </w:rPr>
            </w:pPr>
            <w:r w:rsidRPr="00C471B9">
              <w:rPr>
                <w:color w:val="000000" w:themeColor="text1"/>
                <w:sz w:val="20"/>
                <w:szCs w:val="20"/>
                <w:lang w:val="cs-CZ"/>
              </w:rPr>
              <w:t>Upínací průměr 3, 4, 5, 6, 7, 8, 9, 10, 11, 12, 13, 14, 15, 16, 17, 18, 19 a 20 mm; pro kleštinu velikosti ER32; rozhraní HSK63A; maximální délka upínače od vřetene 75</w:t>
            </w:r>
            <w:r w:rsidRPr="00C471B9">
              <w:rPr>
                <w:rFonts w:ascii="Calibri" w:hAnsi="Calibri" w:cs="Calibri"/>
                <w:sz w:val="20"/>
                <w:szCs w:val="20"/>
                <w:lang w:val="cs-CZ"/>
              </w:rPr>
              <w:t>±</w:t>
            </w:r>
            <w:r w:rsidRPr="00C471B9">
              <w:rPr>
                <w:sz w:val="20"/>
                <w:szCs w:val="20"/>
                <w:lang w:val="cs-CZ"/>
              </w:rPr>
              <w:t>5</w:t>
            </w:r>
            <w:r w:rsidRPr="00C471B9">
              <w:rPr>
                <w:color w:val="000000" w:themeColor="text1"/>
                <w:sz w:val="20"/>
                <w:szCs w:val="20"/>
                <w:lang w:val="cs-CZ"/>
              </w:rPr>
              <w:t xml:space="preserve"> mm; maximální průměr upínače v části pro upnutí nástroje 50</w:t>
            </w:r>
            <w:r w:rsidRPr="00C471B9">
              <w:rPr>
                <w:rFonts w:ascii="Calibri" w:hAnsi="Calibri" w:cs="Calibri"/>
                <w:sz w:val="20"/>
                <w:szCs w:val="20"/>
                <w:lang w:val="cs-CZ"/>
              </w:rPr>
              <w:t>±</w:t>
            </w:r>
            <w:r w:rsidRPr="00C471B9">
              <w:rPr>
                <w:sz w:val="20"/>
                <w:szCs w:val="20"/>
                <w:lang w:val="cs-CZ"/>
              </w:rPr>
              <w:t>5</w:t>
            </w:r>
            <w:r w:rsidRPr="00C471B9">
              <w:rPr>
                <w:color w:val="000000" w:themeColor="text1"/>
                <w:sz w:val="20"/>
                <w:szCs w:val="20"/>
                <w:lang w:val="cs-CZ"/>
              </w:rPr>
              <w:t xml:space="preserve"> mm; systém středového chlazení; sada upínacích kleštin pro středové chlazení s minimálním pracovním tlakem kapaliny min 20 bar</w:t>
            </w:r>
          </w:p>
        </w:tc>
        <w:tc>
          <w:tcPr>
            <w:tcW w:w="770" w:type="pct"/>
          </w:tcPr>
          <w:p w14:paraId="7BB80051" w14:textId="722FF02A" w:rsidR="00C471B9" w:rsidRPr="00C471B9" w:rsidRDefault="00C471B9" w:rsidP="00C471B9">
            <w:pPr>
              <w:jc w:val="center"/>
              <w:rPr>
                <w:sz w:val="20"/>
                <w:szCs w:val="20"/>
                <w:lang w:val="cs-CZ"/>
              </w:rPr>
            </w:pPr>
            <w:r w:rsidRPr="00C471B9">
              <w:rPr>
                <w:sz w:val="20"/>
                <w:szCs w:val="20"/>
                <w:lang w:val="cs-CZ"/>
              </w:rPr>
              <w:t>1</w:t>
            </w:r>
            <w:r>
              <w:rPr>
                <w:sz w:val="20"/>
                <w:szCs w:val="20"/>
                <w:lang w:val="cs-CZ"/>
              </w:rPr>
              <w:t xml:space="preserve"> (se sadou kleštin)</w:t>
            </w:r>
          </w:p>
        </w:tc>
        <w:tc>
          <w:tcPr>
            <w:tcW w:w="1730" w:type="pct"/>
          </w:tcPr>
          <w:p w14:paraId="4D9B7442" w14:textId="7CB9B740" w:rsidR="00C471B9" w:rsidRPr="00C471B9" w:rsidRDefault="00C471B9" w:rsidP="00C471B9">
            <w:pPr>
              <w:jc w:val="center"/>
              <w:rPr>
                <w:lang w:val="cs-CZ"/>
              </w:rPr>
            </w:pPr>
            <w:r w:rsidRPr="00C471B9">
              <w:rPr>
                <w:sz w:val="20"/>
                <w:szCs w:val="20"/>
                <w:lang w:val="cs-CZ"/>
              </w:rPr>
              <w:t>ANO</w:t>
            </w:r>
          </w:p>
        </w:tc>
      </w:tr>
      <w:tr w:rsidR="00C471B9" w:rsidRPr="00967451" w14:paraId="57349D4F" w14:textId="144D5C71" w:rsidTr="000B3636">
        <w:tc>
          <w:tcPr>
            <w:tcW w:w="2500" w:type="pct"/>
          </w:tcPr>
          <w:p w14:paraId="131A95FF" w14:textId="5D67D180" w:rsidR="00C471B9" w:rsidRPr="00C471B9" w:rsidRDefault="00C471B9" w:rsidP="00C471B9">
            <w:pPr>
              <w:jc w:val="both"/>
              <w:rPr>
                <w:lang w:val="cs-CZ"/>
              </w:rPr>
            </w:pPr>
            <w:r w:rsidRPr="00C471B9">
              <w:rPr>
                <w:color w:val="000000" w:themeColor="text1"/>
                <w:sz w:val="20"/>
                <w:szCs w:val="20"/>
                <w:lang w:val="cs-CZ"/>
              </w:rPr>
              <w:t>Upínací průměr 3, 4, 5, 6, 7, 8, 9, 10, 11, 12, 13, 14, 15, 16, 17, 18, 19 a 20 mm; pro kleštinu velikosti ER32; rozhraní HSK63A; maximální délka upínače od vřetene 100</w:t>
            </w:r>
            <w:r w:rsidRPr="00C471B9">
              <w:rPr>
                <w:rFonts w:ascii="Calibri" w:hAnsi="Calibri" w:cs="Calibri"/>
                <w:sz w:val="20"/>
                <w:szCs w:val="20"/>
                <w:lang w:val="cs-CZ"/>
              </w:rPr>
              <w:t>±</w:t>
            </w:r>
            <w:r w:rsidRPr="00C471B9">
              <w:rPr>
                <w:sz w:val="20"/>
                <w:szCs w:val="20"/>
                <w:lang w:val="cs-CZ"/>
              </w:rPr>
              <w:t>10</w:t>
            </w:r>
            <w:r w:rsidRPr="00C471B9">
              <w:rPr>
                <w:color w:val="000000" w:themeColor="text1"/>
                <w:sz w:val="20"/>
                <w:szCs w:val="20"/>
                <w:lang w:val="cs-CZ"/>
              </w:rPr>
              <w:t xml:space="preserve"> mm; maximální průměr upínače v části pro upnutí nástroje 50</w:t>
            </w:r>
            <w:r w:rsidRPr="00C471B9">
              <w:rPr>
                <w:rFonts w:ascii="Calibri" w:hAnsi="Calibri" w:cs="Calibri"/>
                <w:sz w:val="20"/>
                <w:szCs w:val="20"/>
                <w:lang w:val="cs-CZ"/>
              </w:rPr>
              <w:t>±</w:t>
            </w:r>
            <w:r w:rsidRPr="00C471B9">
              <w:rPr>
                <w:sz w:val="20"/>
                <w:szCs w:val="20"/>
                <w:lang w:val="cs-CZ"/>
              </w:rPr>
              <w:t>5</w:t>
            </w:r>
            <w:r w:rsidRPr="00C471B9">
              <w:rPr>
                <w:color w:val="000000" w:themeColor="text1"/>
                <w:sz w:val="20"/>
                <w:szCs w:val="20"/>
                <w:lang w:val="cs-CZ"/>
              </w:rPr>
              <w:t xml:space="preserve"> mm; systém středového chlazení; sada upínacích kleštin pro středové chlazení s minimálním pracovním tlakem kapaliny min 110 bar</w:t>
            </w:r>
          </w:p>
        </w:tc>
        <w:tc>
          <w:tcPr>
            <w:tcW w:w="770" w:type="pct"/>
          </w:tcPr>
          <w:p w14:paraId="28F9745C" w14:textId="6AE24681" w:rsidR="00C471B9" w:rsidRPr="00C471B9" w:rsidRDefault="00C471B9" w:rsidP="00C471B9">
            <w:pPr>
              <w:jc w:val="center"/>
              <w:rPr>
                <w:sz w:val="20"/>
                <w:szCs w:val="20"/>
                <w:lang w:val="cs-CZ"/>
              </w:rPr>
            </w:pPr>
            <w:r w:rsidRPr="00C471B9">
              <w:rPr>
                <w:sz w:val="20"/>
                <w:szCs w:val="20"/>
                <w:lang w:val="cs-CZ"/>
              </w:rPr>
              <w:t>1</w:t>
            </w:r>
            <w:r>
              <w:rPr>
                <w:sz w:val="20"/>
                <w:szCs w:val="20"/>
                <w:lang w:val="cs-CZ"/>
              </w:rPr>
              <w:t xml:space="preserve"> (se sadou kleštin)</w:t>
            </w:r>
          </w:p>
        </w:tc>
        <w:tc>
          <w:tcPr>
            <w:tcW w:w="1730" w:type="pct"/>
          </w:tcPr>
          <w:p w14:paraId="7DF91201" w14:textId="5CF11D2F" w:rsidR="00C471B9" w:rsidRPr="00C471B9" w:rsidRDefault="00C471B9" w:rsidP="00C471B9">
            <w:pPr>
              <w:jc w:val="center"/>
              <w:rPr>
                <w:lang w:val="cs-CZ"/>
              </w:rPr>
            </w:pPr>
            <w:r w:rsidRPr="00C471B9">
              <w:rPr>
                <w:sz w:val="20"/>
                <w:szCs w:val="20"/>
                <w:lang w:val="cs-CZ"/>
              </w:rPr>
              <w:t>ANO</w:t>
            </w:r>
          </w:p>
        </w:tc>
      </w:tr>
      <w:tr w:rsidR="00C471B9" w:rsidRPr="00967451" w14:paraId="1499461B" w14:textId="0EF2E7B0" w:rsidTr="000B3636">
        <w:tc>
          <w:tcPr>
            <w:tcW w:w="2500" w:type="pct"/>
          </w:tcPr>
          <w:p w14:paraId="1883BDBD" w14:textId="163EF64E" w:rsidR="00C471B9" w:rsidRPr="00C471B9" w:rsidRDefault="00C471B9" w:rsidP="00C471B9">
            <w:pPr>
              <w:jc w:val="both"/>
              <w:rPr>
                <w:lang w:val="cs-CZ"/>
              </w:rPr>
            </w:pPr>
            <w:r w:rsidRPr="00C471B9">
              <w:rPr>
                <w:color w:val="000000" w:themeColor="text1"/>
                <w:sz w:val="20"/>
                <w:szCs w:val="20"/>
                <w:lang w:val="cs-CZ"/>
              </w:rPr>
              <w:t>Upínací průměr 3, 4, 5, 6, 7, 8, 9, 10, 11, 12, 13, 14, 15, 16, 17, 18, 19 a 20 m</w:t>
            </w:r>
            <w:r>
              <w:rPr>
                <w:color w:val="000000" w:themeColor="text1"/>
                <w:sz w:val="20"/>
                <w:szCs w:val="20"/>
                <w:lang w:val="cs-CZ"/>
              </w:rPr>
              <w:t>m</w:t>
            </w:r>
            <w:r w:rsidRPr="00C471B9">
              <w:rPr>
                <w:color w:val="000000" w:themeColor="text1"/>
                <w:sz w:val="20"/>
                <w:szCs w:val="20"/>
                <w:lang w:val="cs-CZ"/>
              </w:rPr>
              <w:t>; pro kleštinu velikosti ER32; rozhraní ISO40; maximální délka upínače od vřetene 70</w:t>
            </w:r>
            <w:r w:rsidRPr="00C471B9">
              <w:rPr>
                <w:rFonts w:ascii="Calibri" w:hAnsi="Calibri" w:cs="Calibri"/>
                <w:sz w:val="20"/>
                <w:szCs w:val="20"/>
                <w:lang w:val="cs-CZ"/>
              </w:rPr>
              <w:t>±</w:t>
            </w:r>
            <w:r w:rsidRPr="00C471B9">
              <w:rPr>
                <w:sz w:val="20"/>
                <w:szCs w:val="20"/>
                <w:lang w:val="cs-CZ"/>
              </w:rPr>
              <w:t>5</w:t>
            </w:r>
            <w:r w:rsidRPr="00C471B9">
              <w:rPr>
                <w:color w:val="000000" w:themeColor="text1"/>
                <w:sz w:val="20"/>
                <w:szCs w:val="20"/>
                <w:lang w:val="cs-CZ"/>
              </w:rPr>
              <w:t xml:space="preserve"> mm; maximální průměr upínače v části pro upnutí nástroje 50</w:t>
            </w:r>
            <w:r w:rsidRPr="00C471B9">
              <w:rPr>
                <w:rFonts w:ascii="Calibri" w:hAnsi="Calibri" w:cs="Calibri"/>
                <w:sz w:val="20"/>
                <w:szCs w:val="20"/>
                <w:lang w:val="cs-CZ"/>
              </w:rPr>
              <w:t>±</w:t>
            </w:r>
            <w:r w:rsidRPr="00C471B9">
              <w:rPr>
                <w:sz w:val="20"/>
                <w:szCs w:val="20"/>
                <w:lang w:val="cs-CZ"/>
              </w:rPr>
              <w:t>5</w:t>
            </w:r>
            <w:r w:rsidRPr="00C471B9">
              <w:rPr>
                <w:color w:val="000000" w:themeColor="text1"/>
                <w:sz w:val="20"/>
                <w:szCs w:val="20"/>
                <w:lang w:val="cs-CZ"/>
              </w:rPr>
              <w:t xml:space="preserve"> mm; systém středového chlazení</w:t>
            </w:r>
          </w:p>
        </w:tc>
        <w:tc>
          <w:tcPr>
            <w:tcW w:w="770" w:type="pct"/>
          </w:tcPr>
          <w:p w14:paraId="470F2E33" w14:textId="66B6128E" w:rsidR="00C471B9" w:rsidRPr="00C471B9" w:rsidRDefault="00C471B9" w:rsidP="00C471B9">
            <w:pPr>
              <w:jc w:val="center"/>
              <w:rPr>
                <w:sz w:val="20"/>
                <w:szCs w:val="20"/>
                <w:lang w:val="cs-CZ"/>
              </w:rPr>
            </w:pPr>
            <w:r w:rsidRPr="00C471B9">
              <w:rPr>
                <w:sz w:val="20"/>
                <w:szCs w:val="20"/>
                <w:lang w:val="cs-CZ"/>
              </w:rPr>
              <w:t>1</w:t>
            </w:r>
          </w:p>
        </w:tc>
        <w:tc>
          <w:tcPr>
            <w:tcW w:w="1730" w:type="pct"/>
          </w:tcPr>
          <w:p w14:paraId="1112AD91" w14:textId="04F1B090" w:rsidR="00C471B9" w:rsidRPr="00C471B9" w:rsidRDefault="00C471B9" w:rsidP="00C471B9">
            <w:pPr>
              <w:jc w:val="center"/>
              <w:rPr>
                <w:lang w:val="cs-CZ"/>
              </w:rPr>
            </w:pPr>
            <w:r w:rsidRPr="00C471B9">
              <w:rPr>
                <w:sz w:val="20"/>
                <w:szCs w:val="20"/>
                <w:lang w:val="cs-CZ"/>
              </w:rPr>
              <w:t>ANO</w:t>
            </w:r>
          </w:p>
        </w:tc>
      </w:tr>
      <w:tr w:rsidR="00C471B9" w:rsidRPr="00967451" w14:paraId="47BAB486" w14:textId="327C567D" w:rsidTr="000B3636">
        <w:tc>
          <w:tcPr>
            <w:tcW w:w="2500" w:type="pct"/>
          </w:tcPr>
          <w:p w14:paraId="572336A6" w14:textId="50D94F2B" w:rsidR="00C471B9" w:rsidRPr="00C471B9" w:rsidRDefault="00C471B9" w:rsidP="00C471B9">
            <w:pPr>
              <w:jc w:val="both"/>
              <w:rPr>
                <w:lang w:val="cs-CZ"/>
              </w:rPr>
            </w:pPr>
            <w:r w:rsidRPr="00C471B9">
              <w:rPr>
                <w:color w:val="000000" w:themeColor="text1"/>
                <w:sz w:val="20"/>
                <w:szCs w:val="20"/>
                <w:lang w:val="cs-CZ"/>
              </w:rPr>
              <w:t>Upínací průměr 3, 4, 5, 6, 7, 8, 9, 10, 11, 12, 13, 14, 15, 16, 17, 18, 19 a 20 mm; pro kleštinu velikosti ER32; rozhraní ISO40; maximální délka upínače od vřetene 100</w:t>
            </w:r>
            <w:r w:rsidRPr="00C471B9">
              <w:rPr>
                <w:rFonts w:ascii="Calibri" w:hAnsi="Calibri" w:cs="Calibri"/>
                <w:sz w:val="20"/>
                <w:szCs w:val="20"/>
                <w:lang w:val="cs-CZ"/>
              </w:rPr>
              <w:t>±</w:t>
            </w:r>
            <w:r w:rsidRPr="00C471B9">
              <w:rPr>
                <w:sz w:val="20"/>
                <w:szCs w:val="20"/>
                <w:lang w:val="cs-CZ"/>
              </w:rPr>
              <w:t>10</w:t>
            </w:r>
            <w:r w:rsidRPr="00C471B9">
              <w:rPr>
                <w:color w:val="000000" w:themeColor="text1"/>
                <w:sz w:val="20"/>
                <w:szCs w:val="20"/>
                <w:lang w:val="cs-CZ"/>
              </w:rPr>
              <w:t xml:space="preserve"> mm; maximální průměr upínače v části pro upnutí nástroje 50</w:t>
            </w:r>
            <w:r w:rsidRPr="00C471B9">
              <w:rPr>
                <w:rFonts w:ascii="Calibri" w:hAnsi="Calibri" w:cs="Calibri"/>
                <w:sz w:val="20"/>
                <w:szCs w:val="20"/>
                <w:lang w:val="cs-CZ"/>
              </w:rPr>
              <w:t>±</w:t>
            </w:r>
            <w:r w:rsidRPr="00C471B9">
              <w:rPr>
                <w:sz w:val="20"/>
                <w:szCs w:val="20"/>
                <w:lang w:val="cs-CZ"/>
              </w:rPr>
              <w:t>5</w:t>
            </w:r>
            <w:r w:rsidRPr="00C471B9">
              <w:rPr>
                <w:color w:val="000000" w:themeColor="text1"/>
                <w:sz w:val="20"/>
                <w:szCs w:val="20"/>
                <w:lang w:val="cs-CZ"/>
              </w:rPr>
              <w:t xml:space="preserve"> mm; systém středového chlazení</w:t>
            </w:r>
          </w:p>
        </w:tc>
        <w:tc>
          <w:tcPr>
            <w:tcW w:w="770" w:type="pct"/>
          </w:tcPr>
          <w:p w14:paraId="4B788A78" w14:textId="71F2B11E" w:rsidR="00C471B9" w:rsidRPr="00C471B9" w:rsidRDefault="00C471B9" w:rsidP="00C471B9">
            <w:pPr>
              <w:jc w:val="center"/>
              <w:rPr>
                <w:sz w:val="20"/>
                <w:szCs w:val="20"/>
                <w:lang w:val="cs-CZ"/>
              </w:rPr>
            </w:pPr>
            <w:r w:rsidRPr="00C471B9">
              <w:rPr>
                <w:sz w:val="20"/>
                <w:szCs w:val="20"/>
                <w:lang w:val="cs-CZ"/>
              </w:rPr>
              <w:t>1</w:t>
            </w:r>
          </w:p>
        </w:tc>
        <w:tc>
          <w:tcPr>
            <w:tcW w:w="1730" w:type="pct"/>
          </w:tcPr>
          <w:p w14:paraId="7CF46B06" w14:textId="2C6C229C" w:rsidR="00C471B9" w:rsidRPr="00C471B9" w:rsidRDefault="00C471B9" w:rsidP="00C471B9">
            <w:pPr>
              <w:jc w:val="center"/>
              <w:rPr>
                <w:lang w:val="cs-CZ"/>
              </w:rPr>
            </w:pPr>
            <w:r w:rsidRPr="00C471B9">
              <w:rPr>
                <w:sz w:val="20"/>
                <w:szCs w:val="20"/>
                <w:lang w:val="cs-CZ"/>
              </w:rPr>
              <w:t>ANO</w:t>
            </w:r>
          </w:p>
        </w:tc>
      </w:tr>
      <w:tr w:rsidR="00890F7F" w:rsidRPr="00967451" w14:paraId="6547FCAC" w14:textId="3AFF7BA2" w:rsidTr="000B3636">
        <w:tc>
          <w:tcPr>
            <w:tcW w:w="2500" w:type="pct"/>
          </w:tcPr>
          <w:p w14:paraId="60AC4F85" w14:textId="6068A99E" w:rsidR="00890F7F" w:rsidRPr="00C471B9" w:rsidRDefault="00C471B9" w:rsidP="00890F7F">
            <w:pPr>
              <w:jc w:val="both"/>
              <w:rPr>
                <w:lang w:val="cs-CZ"/>
              </w:rPr>
            </w:pPr>
            <w:r w:rsidRPr="00C471B9">
              <w:rPr>
                <w:sz w:val="20"/>
                <w:szCs w:val="20"/>
                <w:lang w:val="cs-CZ"/>
              </w:rPr>
              <w:t>Upínací průměr 2, 3, 4, 5, 6, 7, 8, 9, 10, 11, 12, 13, 14, 15 a 16 mm; přesný kleštinový upínač; pro přesnou kleštinu velikosti ER25; rozhraní HSK63F; maximální délka upínače od vřetene 70±5 mm; maximální průměr upínače v části pro upnutí nástroje 40±5 mm; systém středového chlazení; sada přesných upínacích kleštin s házením max. 0,005 mm</w:t>
            </w:r>
          </w:p>
        </w:tc>
        <w:tc>
          <w:tcPr>
            <w:tcW w:w="770" w:type="pct"/>
          </w:tcPr>
          <w:p w14:paraId="41077161" w14:textId="653A3FAC" w:rsidR="00890F7F" w:rsidRPr="00C471B9" w:rsidRDefault="000B3636" w:rsidP="00890F7F">
            <w:pPr>
              <w:jc w:val="center"/>
              <w:rPr>
                <w:sz w:val="20"/>
                <w:szCs w:val="20"/>
                <w:lang w:val="cs-CZ"/>
              </w:rPr>
            </w:pPr>
            <w:r w:rsidRPr="00C471B9">
              <w:rPr>
                <w:sz w:val="20"/>
                <w:szCs w:val="20"/>
                <w:lang w:val="cs-CZ"/>
              </w:rPr>
              <w:t>1</w:t>
            </w:r>
            <w:r w:rsidR="00585FFF">
              <w:rPr>
                <w:sz w:val="20"/>
                <w:szCs w:val="20"/>
                <w:lang w:val="cs-CZ"/>
              </w:rPr>
              <w:t xml:space="preserve"> (se sadou kleštin)</w:t>
            </w:r>
          </w:p>
        </w:tc>
        <w:tc>
          <w:tcPr>
            <w:tcW w:w="1730" w:type="pct"/>
          </w:tcPr>
          <w:p w14:paraId="4D738F29" w14:textId="6A650897" w:rsidR="00890F7F" w:rsidRPr="00C471B9" w:rsidRDefault="00890F7F" w:rsidP="00890F7F">
            <w:pPr>
              <w:jc w:val="center"/>
              <w:rPr>
                <w:lang w:val="cs-CZ"/>
              </w:rPr>
            </w:pPr>
            <w:r w:rsidRPr="00C471B9">
              <w:rPr>
                <w:sz w:val="20"/>
                <w:szCs w:val="20"/>
                <w:lang w:val="cs-CZ"/>
              </w:rPr>
              <w:t>ANO</w:t>
            </w:r>
          </w:p>
        </w:tc>
      </w:tr>
    </w:tbl>
    <w:p w14:paraId="1B6C81F9" w14:textId="77777777" w:rsidR="00D2017B" w:rsidRPr="00AD334A" w:rsidRDefault="00D2017B" w:rsidP="00F83C2D">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sectPr w:rsidR="00D2017B" w:rsidRPr="00AD334A"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D8F1F" w14:textId="77777777" w:rsidR="00C629E6" w:rsidRDefault="00C629E6" w:rsidP="00832D0D">
      <w:pPr>
        <w:spacing w:after="0" w:line="240" w:lineRule="auto"/>
      </w:pPr>
      <w:r>
        <w:separator/>
      </w:r>
    </w:p>
  </w:endnote>
  <w:endnote w:type="continuationSeparator" w:id="0">
    <w:p w14:paraId="62EBCE2D" w14:textId="77777777" w:rsidR="00C629E6" w:rsidRDefault="00C629E6"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60BFF" w14:textId="77777777" w:rsidR="00C629E6" w:rsidRDefault="00C629E6" w:rsidP="00832D0D">
      <w:pPr>
        <w:spacing w:after="0" w:line="240" w:lineRule="auto"/>
      </w:pPr>
      <w:r>
        <w:separator/>
      </w:r>
    </w:p>
  </w:footnote>
  <w:footnote w:type="continuationSeparator" w:id="0">
    <w:p w14:paraId="62F9FAB7" w14:textId="77777777" w:rsidR="00C629E6" w:rsidRDefault="00C629E6"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C518DE"/>
    <w:multiLevelType w:val="hybridMultilevel"/>
    <w:tmpl w:val="7308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0"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5"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6"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7"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3"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C5028F"/>
    <w:multiLevelType w:val="hybridMultilevel"/>
    <w:tmpl w:val="D26ACE7A"/>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3"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8"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7"/>
  </w:num>
  <w:num w:numId="2">
    <w:abstractNumId w:val="25"/>
  </w:num>
  <w:num w:numId="3">
    <w:abstractNumId w:val="26"/>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5"/>
  </w:num>
  <w:num w:numId="7">
    <w:abstractNumId w:val="23"/>
  </w:num>
  <w:num w:numId="8">
    <w:abstractNumId w:val="3"/>
  </w:num>
  <w:num w:numId="9">
    <w:abstractNumId w:val="13"/>
  </w:num>
  <w:num w:numId="10">
    <w:abstractNumId w:val="19"/>
  </w:num>
  <w:num w:numId="11">
    <w:abstractNumId w:val="40"/>
  </w:num>
  <w:num w:numId="12">
    <w:abstractNumId w:val="42"/>
  </w:num>
  <w:num w:numId="13">
    <w:abstractNumId w:val="34"/>
  </w:num>
  <w:num w:numId="14">
    <w:abstractNumId w:val="32"/>
  </w:num>
  <w:num w:numId="15">
    <w:abstractNumId w:val="9"/>
  </w:num>
  <w:num w:numId="16">
    <w:abstractNumId w:val="5"/>
  </w:num>
  <w:num w:numId="17">
    <w:abstractNumId w:val="24"/>
  </w:num>
  <w:num w:numId="18">
    <w:abstractNumId w:val="16"/>
  </w:num>
  <w:num w:numId="19">
    <w:abstractNumId w:val="45"/>
  </w:num>
  <w:num w:numId="20">
    <w:abstractNumId w:val="52"/>
  </w:num>
  <w:num w:numId="21">
    <w:abstractNumId w:val="15"/>
  </w:num>
  <w:num w:numId="22">
    <w:abstractNumId w:val="38"/>
  </w:num>
  <w:num w:numId="23">
    <w:abstractNumId w:val="11"/>
  </w:num>
  <w:num w:numId="24">
    <w:abstractNumId w:val="12"/>
  </w:num>
  <w:num w:numId="25">
    <w:abstractNumId w:val="28"/>
  </w:num>
  <w:num w:numId="26">
    <w:abstractNumId w:val="18"/>
  </w:num>
  <w:num w:numId="27">
    <w:abstractNumId w:val="29"/>
  </w:num>
  <w:num w:numId="28">
    <w:abstractNumId w:val="44"/>
  </w:num>
  <w:num w:numId="29">
    <w:abstractNumId w:val="49"/>
  </w:num>
  <w:num w:numId="30">
    <w:abstractNumId w:val="51"/>
  </w:num>
  <w:num w:numId="31">
    <w:abstractNumId w:val="46"/>
  </w:num>
  <w:num w:numId="32">
    <w:abstractNumId w:val="14"/>
  </w:num>
  <w:num w:numId="33">
    <w:abstractNumId w:val="43"/>
  </w:num>
  <w:num w:numId="34">
    <w:abstractNumId w:val="20"/>
  </w:num>
  <w:num w:numId="35">
    <w:abstractNumId w:val="22"/>
  </w:num>
  <w:num w:numId="36">
    <w:abstractNumId w:val="2"/>
  </w:num>
  <w:num w:numId="37">
    <w:abstractNumId w:val="10"/>
  </w:num>
  <w:num w:numId="38">
    <w:abstractNumId w:val="27"/>
  </w:num>
  <w:num w:numId="39">
    <w:abstractNumId w:val="33"/>
  </w:num>
  <w:num w:numId="40">
    <w:abstractNumId w:val="31"/>
  </w:num>
  <w:num w:numId="41">
    <w:abstractNumId w:val="50"/>
  </w:num>
  <w:num w:numId="42">
    <w:abstractNumId w:val="48"/>
  </w:num>
  <w:num w:numId="43">
    <w:abstractNumId w:val="6"/>
  </w:num>
  <w:num w:numId="44">
    <w:abstractNumId w:val="1"/>
  </w:num>
  <w:num w:numId="45">
    <w:abstractNumId w:val="41"/>
  </w:num>
  <w:num w:numId="46">
    <w:abstractNumId w:val="21"/>
  </w:num>
  <w:num w:numId="47">
    <w:abstractNumId w:val="53"/>
  </w:num>
  <w:num w:numId="48">
    <w:abstractNumId w:val="30"/>
  </w:num>
  <w:num w:numId="49">
    <w:abstractNumId w:val="0"/>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9"/>
    <w:lvlOverride w:ilvl="0">
      <w:startOverride w:val="1"/>
    </w:lvlOverride>
  </w:num>
  <w:num w:numId="54">
    <w:abstractNumId w:val="37"/>
  </w:num>
  <w:num w:numId="55">
    <w:abstractNumId w:val="37"/>
    <w:lvlOverride w:ilvl="0">
      <w:startOverride w:val="1"/>
    </w:lvlOverride>
  </w:num>
  <w:num w:numId="56">
    <w:abstractNumId w:val="17"/>
  </w:num>
  <w:num w:numId="57">
    <w:abstractNumId w:val="54"/>
  </w:num>
  <w:num w:numId="58">
    <w:abstractNumId w:val="36"/>
  </w:num>
  <w:num w:numId="59">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03E6"/>
    <w:rsid w:val="000144E7"/>
    <w:rsid w:val="0001617C"/>
    <w:rsid w:val="0002032A"/>
    <w:rsid w:val="00025D2B"/>
    <w:rsid w:val="00026CEF"/>
    <w:rsid w:val="00027BA9"/>
    <w:rsid w:val="0003234E"/>
    <w:rsid w:val="00032390"/>
    <w:rsid w:val="00033C22"/>
    <w:rsid w:val="0003792A"/>
    <w:rsid w:val="00042403"/>
    <w:rsid w:val="000443F9"/>
    <w:rsid w:val="00044F4D"/>
    <w:rsid w:val="000450AB"/>
    <w:rsid w:val="00045995"/>
    <w:rsid w:val="00051CE9"/>
    <w:rsid w:val="000603C4"/>
    <w:rsid w:val="00061089"/>
    <w:rsid w:val="00065170"/>
    <w:rsid w:val="00066D94"/>
    <w:rsid w:val="00066F32"/>
    <w:rsid w:val="00067EF1"/>
    <w:rsid w:val="00070352"/>
    <w:rsid w:val="00072B23"/>
    <w:rsid w:val="0007364F"/>
    <w:rsid w:val="000744BE"/>
    <w:rsid w:val="000768B7"/>
    <w:rsid w:val="00091855"/>
    <w:rsid w:val="00092CA5"/>
    <w:rsid w:val="00093C53"/>
    <w:rsid w:val="000949D6"/>
    <w:rsid w:val="000A760F"/>
    <w:rsid w:val="000B24E8"/>
    <w:rsid w:val="000B3636"/>
    <w:rsid w:val="000B39F0"/>
    <w:rsid w:val="000B3AE3"/>
    <w:rsid w:val="000B730E"/>
    <w:rsid w:val="000C1A2F"/>
    <w:rsid w:val="000C2868"/>
    <w:rsid w:val="000C3F20"/>
    <w:rsid w:val="000D2B7C"/>
    <w:rsid w:val="000E1106"/>
    <w:rsid w:val="000E414C"/>
    <w:rsid w:val="000E5F87"/>
    <w:rsid w:val="000F61B5"/>
    <w:rsid w:val="000F6F55"/>
    <w:rsid w:val="00102730"/>
    <w:rsid w:val="0012098E"/>
    <w:rsid w:val="00124188"/>
    <w:rsid w:val="00126208"/>
    <w:rsid w:val="00134DCF"/>
    <w:rsid w:val="00136F8C"/>
    <w:rsid w:val="0013744B"/>
    <w:rsid w:val="00140FA3"/>
    <w:rsid w:val="00142E1A"/>
    <w:rsid w:val="00144E7E"/>
    <w:rsid w:val="00152CF2"/>
    <w:rsid w:val="0015528C"/>
    <w:rsid w:val="001569EC"/>
    <w:rsid w:val="00160634"/>
    <w:rsid w:val="00163748"/>
    <w:rsid w:val="00166A73"/>
    <w:rsid w:val="00167D44"/>
    <w:rsid w:val="00184837"/>
    <w:rsid w:val="00184910"/>
    <w:rsid w:val="001858AB"/>
    <w:rsid w:val="0019419A"/>
    <w:rsid w:val="001A47EF"/>
    <w:rsid w:val="001A77FE"/>
    <w:rsid w:val="001B02C6"/>
    <w:rsid w:val="001B0954"/>
    <w:rsid w:val="001B1323"/>
    <w:rsid w:val="001C082C"/>
    <w:rsid w:val="001C4CFA"/>
    <w:rsid w:val="001C60BA"/>
    <w:rsid w:val="001C6DA7"/>
    <w:rsid w:val="001C7D91"/>
    <w:rsid w:val="001E0EBE"/>
    <w:rsid w:val="001E2D66"/>
    <w:rsid w:val="001E3412"/>
    <w:rsid w:val="001E3F75"/>
    <w:rsid w:val="001E4316"/>
    <w:rsid w:val="001E5ED0"/>
    <w:rsid w:val="001E7EA0"/>
    <w:rsid w:val="001F2330"/>
    <w:rsid w:val="00203BF2"/>
    <w:rsid w:val="00204AF8"/>
    <w:rsid w:val="00211592"/>
    <w:rsid w:val="00215180"/>
    <w:rsid w:val="00216D6B"/>
    <w:rsid w:val="002217F8"/>
    <w:rsid w:val="002226E9"/>
    <w:rsid w:val="00224ED9"/>
    <w:rsid w:val="00232BE5"/>
    <w:rsid w:val="00235BAD"/>
    <w:rsid w:val="00240467"/>
    <w:rsid w:val="00242794"/>
    <w:rsid w:val="00244C99"/>
    <w:rsid w:val="00245614"/>
    <w:rsid w:val="002460A7"/>
    <w:rsid w:val="002507B4"/>
    <w:rsid w:val="002523A9"/>
    <w:rsid w:val="00253D5B"/>
    <w:rsid w:val="0025665A"/>
    <w:rsid w:val="00263D58"/>
    <w:rsid w:val="0027003B"/>
    <w:rsid w:val="00270203"/>
    <w:rsid w:val="00271270"/>
    <w:rsid w:val="0027325C"/>
    <w:rsid w:val="00276B26"/>
    <w:rsid w:val="0028085D"/>
    <w:rsid w:val="002815CC"/>
    <w:rsid w:val="0028563F"/>
    <w:rsid w:val="00292615"/>
    <w:rsid w:val="0029375C"/>
    <w:rsid w:val="002944E4"/>
    <w:rsid w:val="0029578C"/>
    <w:rsid w:val="002A21F9"/>
    <w:rsid w:val="002A672D"/>
    <w:rsid w:val="002A79F2"/>
    <w:rsid w:val="002B6841"/>
    <w:rsid w:val="002D0BFB"/>
    <w:rsid w:val="002D245B"/>
    <w:rsid w:val="002D2C1A"/>
    <w:rsid w:val="002D3247"/>
    <w:rsid w:val="002E06FB"/>
    <w:rsid w:val="002E12A6"/>
    <w:rsid w:val="002E3666"/>
    <w:rsid w:val="002E44C5"/>
    <w:rsid w:val="002E44F0"/>
    <w:rsid w:val="002E562F"/>
    <w:rsid w:val="002F32A0"/>
    <w:rsid w:val="0030183C"/>
    <w:rsid w:val="003107A2"/>
    <w:rsid w:val="00310940"/>
    <w:rsid w:val="00317A8D"/>
    <w:rsid w:val="00320529"/>
    <w:rsid w:val="00320A6E"/>
    <w:rsid w:val="0032402E"/>
    <w:rsid w:val="0033463E"/>
    <w:rsid w:val="003428BC"/>
    <w:rsid w:val="003510A9"/>
    <w:rsid w:val="00352F7D"/>
    <w:rsid w:val="0035467B"/>
    <w:rsid w:val="003546D3"/>
    <w:rsid w:val="00357D94"/>
    <w:rsid w:val="0036027F"/>
    <w:rsid w:val="00362E41"/>
    <w:rsid w:val="00364BEA"/>
    <w:rsid w:val="003702B1"/>
    <w:rsid w:val="00380460"/>
    <w:rsid w:val="00380C01"/>
    <w:rsid w:val="00384371"/>
    <w:rsid w:val="00390DF9"/>
    <w:rsid w:val="003913FF"/>
    <w:rsid w:val="00396A55"/>
    <w:rsid w:val="00396F69"/>
    <w:rsid w:val="00397D7E"/>
    <w:rsid w:val="003A0768"/>
    <w:rsid w:val="003A50B5"/>
    <w:rsid w:val="003A57D8"/>
    <w:rsid w:val="003A6B95"/>
    <w:rsid w:val="003A7C4D"/>
    <w:rsid w:val="003D0243"/>
    <w:rsid w:val="003D1061"/>
    <w:rsid w:val="003D62D4"/>
    <w:rsid w:val="003F297F"/>
    <w:rsid w:val="003F781B"/>
    <w:rsid w:val="00402D43"/>
    <w:rsid w:val="0040490F"/>
    <w:rsid w:val="00405B47"/>
    <w:rsid w:val="00406509"/>
    <w:rsid w:val="00407B9B"/>
    <w:rsid w:val="00436629"/>
    <w:rsid w:val="0043744F"/>
    <w:rsid w:val="00441C6E"/>
    <w:rsid w:val="00442DB8"/>
    <w:rsid w:val="0044521B"/>
    <w:rsid w:val="004508F2"/>
    <w:rsid w:val="00452A0F"/>
    <w:rsid w:val="004530DE"/>
    <w:rsid w:val="00465624"/>
    <w:rsid w:val="00465972"/>
    <w:rsid w:val="00471B39"/>
    <w:rsid w:val="004814B2"/>
    <w:rsid w:val="00483C89"/>
    <w:rsid w:val="00483F32"/>
    <w:rsid w:val="00484546"/>
    <w:rsid w:val="00484F6E"/>
    <w:rsid w:val="00491896"/>
    <w:rsid w:val="004946B0"/>
    <w:rsid w:val="00496855"/>
    <w:rsid w:val="004978A0"/>
    <w:rsid w:val="004A05BD"/>
    <w:rsid w:val="004B1186"/>
    <w:rsid w:val="004B531C"/>
    <w:rsid w:val="004B7339"/>
    <w:rsid w:val="004B753A"/>
    <w:rsid w:val="004B7C8B"/>
    <w:rsid w:val="004C450B"/>
    <w:rsid w:val="004D20CF"/>
    <w:rsid w:val="004D3017"/>
    <w:rsid w:val="004D41EF"/>
    <w:rsid w:val="004D4F47"/>
    <w:rsid w:val="004D55A2"/>
    <w:rsid w:val="004E3A8F"/>
    <w:rsid w:val="004E7C04"/>
    <w:rsid w:val="004F24AC"/>
    <w:rsid w:val="004F7909"/>
    <w:rsid w:val="005016A7"/>
    <w:rsid w:val="00502350"/>
    <w:rsid w:val="00503499"/>
    <w:rsid w:val="00510818"/>
    <w:rsid w:val="00516C6E"/>
    <w:rsid w:val="00521615"/>
    <w:rsid w:val="00522DAA"/>
    <w:rsid w:val="00532E25"/>
    <w:rsid w:val="00535068"/>
    <w:rsid w:val="00545B5C"/>
    <w:rsid w:val="005467F0"/>
    <w:rsid w:val="0055729C"/>
    <w:rsid w:val="00561633"/>
    <w:rsid w:val="00576975"/>
    <w:rsid w:val="00577FE5"/>
    <w:rsid w:val="005802DB"/>
    <w:rsid w:val="00581FBE"/>
    <w:rsid w:val="00585195"/>
    <w:rsid w:val="00585FFF"/>
    <w:rsid w:val="00587CDA"/>
    <w:rsid w:val="0059212D"/>
    <w:rsid w:val="00592B30"/>
    <w:rsid w:val="00597CF3"/>
    <w:rsid w:val="005B18E0"/>
    <w:rsid w:val="005B3684"/>
    <w:rsid w:val="005C40D7"/>
    <w:rsid w:val="005C66BE"/>
    <w:rsid w:val="005C6E80"/>
    <w:rsid w:val="005D0648"/>
    <w:rsid w:val="005D62B1"/>
    <w:rsid w:val="005E0A36"/>
    <w:rsid w:val="005F1D61"/>
    <w:rsid w:val="005F437A"/>
    <w:rsid w:val="005F4627"/>
    <w:rsid w:val="005F797E"/>
    <w:rsid w:val="00602BC2"/>
    <w:rsid w:val="00603B8B"/>
    <w:rsid w:val="006076D0"/>
    <w:rsid w:val="00610FDE"/>
    <w:rsid w:val="00611ACF"/>
    <w:rsid w:val="0061385B"/>
    <w:rsid w:val="00617024"/>
    <w:rsid w:val="0061708D"/>
    <w:rsid w:val="006248E3"/>
    <w:rsid w:val="00624933"/>
    <w:rsid w:val="00637433"/>
    <w:rsid w:val="00637FB0"/>
    <w:rsid w:val="00640CD6"/>
    <w:rsid w:val="00645A6D"/>
    <w:rsid w:val="00647A70"/>
    <w:rsid w:val="006569B8"/>
    <w:rsid w:val="00657A50"/>
    <w:rsid w:val="00662BA1"/>
    <w:rsid w:val="00663919"/>
    <w:rsid w:val="00670657"/>
    <w:rsid w:val="006836E2"/>
    <w:rsid w:val="00687B14"/>
    <w:rsid w:val="00690A10"/>
    <w:rsid w:val="006949EB"/>
    <w:rsid w:val="00697FEE"/>
    <w:rsid w:val="006A05AC"/>
    <w:rsid w:val="006B1929"/>
    <w:rsid w:val="006B34E3"/>
    <w:rsid w:val="006B48D3"/>
    <w:rsid w:val="006B7623"/>
    <w:rsid w:val="006C169B"/>
    <w:rsid w:val="006C5098"/>
    <w:rsid w:val="006C6004"/>
    <w:rsid w:val="006C636C"/>
    <w:rsid w:val="006D1153"/>
    <w:rsid w:val="006D6F49"/>
    <w:rsid w:val="006E469B"/>
    <w:rsid w:val="006E7526"/>
    <w:rsid w:val="006F3943"/>
    <w:rsid w:val="006F3AC3"/>
    <w:rsid w:val="006F50F6"/>
    <w:rsid w:val="006F5FBB"/>
    <w:rsid w:val="007052F0"/>
    <w:rsid w:val="00706E29"/>
    <w:rsid w:val="0071714B"/>
    <w:rsid w:val="00724E5B"/>
    <w:rsid w:val="0073739B"/>
    <w:rsid w:val="00752DE9"/>
    <w:rsid w:val="007607C7"/>
    <w:rsid w:val="00760CD3"/>
    <w:rsid w:val="0076243F"/>
    <w:rsid w:val="00772FA9"/>
    <w:rsid w:val="00781695"/>
    <w:rsid w:val="00786C38"/>
    <w:rsid w:val="00797295"/>
    <w:rsid w:val="007C5FC1"/>
    <w:rsid w:val="007D1FA6"/>
    <w:rsid w:val="007D5606"/>
    <w:rsid w:val="007D6ECC"/>
    <w:rsid w:val="007D7EF9"/>
    <w:rsid w:val="007E2AE1"/>
    <w:rsid w:val="007E3EA1"/>
    <w:rsid w:val="007F28E3"/>
    <w:rsid w:val="007F4C3F"/>
    <w:rsid w:val="007F5AF7"/>
    <w:rsid w:val="007F73D2"/>
    <w:rsid w:val="00801BE6"/>
    <w:rsid w:val="00803239"/>
    <w:rsid w:val="0080400D"/>
    <w:rsid w:val="0080418A"/>
    <w:rsid w:val="00806973"/>
    <w:rsid w:val="00810F4F"/>
    <w:rsid w:val="00811CB6"/>
    <w:rsid w:val="008217F5"/>
    <w:rsid w:val="00824617"/>
    <w:rsid w:val="0083129B"/>
    <w:rsid w:val="00832D0D"/>
    <w:rsid w:val="00834E84"/>
    <w:rsid w:val="00836B45"/>
    <w:rsid w:val="00836D47"/>
    <w:rsid w:val="008441B7"/>
    <w:rsid w:val="0084730E"/>
    <w:rsid w:val="00850AF7"/>
    <w:rsid w:val="00852735"/>
    <w:rsid w:val="00857285"/>
    <w:rsid w:val="00864E2C"/>
    <w:rsid w:val="0087124F"/>
    <w:rsid w:val="00872E65"/>
    <w:rsid w:val="0088620C"/>
    <w:rsid w:val="00890F7F"/>
    <w:rsid w:val="008951C4"/>
    <w:rsid w:val="008A3B61"/>
    <w:rsid w:val="008B0295"/>
    <w:rsid w:val="008B14CA"/>
    <w:rsid w:val="008B3DAB"/>
    <w:rsid w:val="008B5E5A"/>
    <w:rsid w:val="008B60FE"/>
    <w:rsid w:val="008B7A13"/>
    <w:rsid w:val="008B7D92"/>
    <w:rsid w:val="008C0BC0"/>
    <w:rsid w:val="008C2CF2"/>
    <w:rsid w:val="008C306E"/>
    <w:rsid w:val="008C48B9"/>
    <w:rsid w:val="008C75C0"/>
    <w:rsid w:val="008D2CC3"/>
    <w:rsid w:val="008D3A98"/>
    <w:rsid w:val="008D45A6"/>
    <w:rsid w:val="00900D91"/>
    <w:rsid w:val="00901627"/>
    <w:rsid w:val="00901716"/>
    <w:rsid w:val="00901EC7"/>
    <w:rsid w:val="00903BDF"/>
    <w:rsid w:val="00903C56"/>
    <w:rsid w:val="00904736"/>
    <w:rsid w:val="00906F1E"/>
    <w:rsid w:val="009076DB"/>
    <w:rsid w:val="00916B0F"/>
    <w:rsid w:val="00923362"/>
    <w:rsid w:val="009268CF"/>
    <w:rsid w:val="009269D5"/>
    <w:rsid w:val="00932604"/>
    <w:rsid w:val="00933216"/>
    <w:rsid w:val="00935D15"/>
    <w:rsid w:val="00940A18"/>
    <w:rsid w:val="00940EBA"/>
    <w:rsid w:val="00942E70"/>
    <w:rsid w:val="00952711"/>
    <w:rsid w:val="00960CBB"/>
    <w:rsid w:val="00962059"/>
    <w:rsid w:val="00967451"/>
    <w:rsid w:val="0097368B"/>
    <w:rsid w:val="00976026"/>
    <w:rsid w:val="00986520"/>
    <w:rsid w:val="009879E2"/>
    <w:rsid w:val="00993707"/>
    <w:rsid w:val="00994559"/>
    <w:rsid w:val="00996F9A"/>
    <w:rsid w:val="0099749C"/>
    <w:rsid w:val="009A0705"/>
    <w:rsid w:val="009A24A0"/>
    <w:rsid w:val="009A27F1"/>
    <w:rsid w:val="009A280F"/>
    <w:rsid w:val="009A312F"/>
    <w:rsid w:val="009A37AD"/>
    <w:rsid w:val="009B0E44"/>
    <w:rsid w:val="009B410F"/>
    <w:rsid w:val="009C39FF"/>
    <w:rsid w:val="009D2F44"/>
    <w:rsid w:val="009D56E9"/>
    <w:rsid w:val="009E7D5E"/>
    <w:rsid w:val="009F0997"/>
    <w:rsid w:val="009F29A3"/>
    <w:rsid w:val="009F6EC9"/>
    <w:rsid w:val="00A057A1"/>
    <w:rsid w:val="00A0760F"/>
    <w:rsid w:val="00A12B1B"/>
    <w:rsid w:val="00A22409"/>
    <w:rsid w:val="00A23921"/>
    <w:rsid w:val="00A23999"/>
    <w:rsid w:val="00A25429"/>
    <w:rsid w:val="00A27202"/>
    <w:rsid w:val="00A33F54"/>
    <w:rsid w:val="00A3695F"/>
    <w:rsid w:val="00A37B2C"/>
    <w:rsid w:val="00A50215"/>
    <w:rsid w:val="00A50F0E"/>
    <w:rsid w:val="00A534AA"/>
    <w:rsid w:val="00A63AE7"/>
    <w:rsid w:val="00A65D46"/>
    <w:rsid w:val="00A8335F"/>
    <w:rsid w:val="00A84E7A"/>
    <w:rsid w:val="00A96EC1"/>
    <w:rsid w:val="00AA26F7"/>
    <w:rsid w:val="00AA6528"/>
    <w:rsid w:val="00AA7094"/>
    <w:rsid w:val="00AA747C"/>
    <w:rsid w:val="00AB2C7C"/>
    <w:rsid w:val="00AB7217"/>
    <w:rsid w:val="00AB7EA2"/>
    <w:rsid w:val="00AC2464"/>
    <w:rsid w:val="00AC3BD5"/>
    <w:rsid w:val="00AD25A7"/>
    <w:rsid w:val="00AD2B66"/>
    <w:rsid w:val="00AD334A"/>
    <w:rsid w:val="00AD5F08"/>
    <w:rsid w:val="00AE0141"/>
    <w:rsid w:val="00AE5383"/>
    <w:rsid w:val="00AE7B84"/>
    <w:rsid w:val="00AF0CF0"/>
    <w:rsid w:val="00B011D1"/>
    <w:rsid w:val="00B05582"/>
    <w:rsid w:val="00B075A6"/>
    <w:rsid w:val="00B14966"/>
    <w:rsid w:val="00B14D84"/>
    <w:rsid w:val="00B16213"/>
    <w:rsid w:val="00B2061B"/>
    <w:rsid w:val="00B213EB"/>
    <w:rsid w:val="00B21FBC"/>
    <w:rsid w:val="00B22568"/>
    <w:rsid w:val="00B43A85"/>
    <w:rsid w:val="00B44A61"/>
    <w:rsid w:val="00B53CFA"/>
    <w:rsid w:val="00B609C0"/>
    <w:rsid w:val="00B62716"/>
    <w:rsid w:val="00B62FBC"/>
    <w:rsid w:val="00B80F63"/>
    <w:rsid w:val="00B86BEB"/>
    <w:rsid w:val="00BA1236"/>
    <w:rsid w:val="00BA1E96"/>
    <w:rsid w:val="00BA2108"/>
    <w:rsid w:val="00BA33E6"/>
    <w:rsid w:val="00BA4457"/>
    <w:rsid w:val="00BA4E47"/>
    <w:rsid w:val="00BA5D5C"/>
    <w:rsid w:val="00BB5F5F"/>
    <w:rsid w:val="00BC0679"/>
    <w:rsid w:val="00BC6128"/>
    <w:rsid w:val="00BE1102"/>
    <w:rsid w:val="00BE1D2F"/>
    <w:rsid w:val="00BE7710"/>
    <w:rsid w:val="00BE7AE5"/>
    <w:rsid w:val="00BF2E8A"/>
    <w:rsid w:val="00BF32F3"/>
    <w:rsid w:val="00C021B6"/>
    <w:rsid w:val="00C06115"/>
    <w:rsid w:val="00C1076F"/>
    <w:rsid w:val="00C12F26"/>
    <w:rsid w:val="00C15599"/>
    <w:rsid w:val="00C17037"/>
    <w:rsid w:val="00C262E7"/>
    <w:rsid w:val="00C26BBD"/>
    <w:rsid w:val="00C3062C"/>
    <w:rsid w:val="00C3778F"/>
    <w:rsid w:val="00C43CD6"/>
    <w:rsid w:val="00C46C71"/>
    <w:rsid w:val="00C471B9"/>
    <w:rsid w:val="00C50214"/>
    <w:rsid w:val="00C54247"/>
    <w:rsid w:val="00C548AF"/>
    <w:rsid w:val="00C55EAB"/>
    <w:rsid w:val="00C60B58"/>
    <w:rsid w:val="00C629E6"/>
    <w:rsid w:val="00C632C4"/>
    <w:rsid w:val="00C6542F"/>
    <w:rsid w:val="00C74B3D"/>
    <w:rsid w:val="00C750E3"/>
    <w:rsid w:val="00C76BD6"/>
    <w:rsid w:val="00C77EC8"/>
    <w:rsid w:val="00C81DFD"/>
    <w:rsid w:val="00C92D58"/>
    <w:rsid w:val="00C968A7"/>
    <w:rsid w:val="00CA1E3A"/>
    <w:rsid w:val="00CA408D"/>
    <w:rsid w:val="00CA4D0E"/>
    <w:rsid w:val="00CA767D"/>
    <w:rsid w:val="00CB1FE3"/>
    <w:rsid w:val="00CB2082"/>
    <w:rsid w:val="00CB2357"/>
    <w:rsid w:val="00CB2E61"/>
    <w:rsid w:val="00CB55E9"/>
    <w:rsid w:val="00CB679A"/>
    <w:rsid w:val="00CB7D03"/>
    <w:rsid w:val="00CC090D"/>
    <w:rsid w:val="00CC15DC"/>
    <w:rsid w:val="00CC30AD"/>
    <w:rsid w:val="00CC4F3D"/>
    <w:rsid w:val="00CD5FEE"/>
    <w:rsid w:val="00CE0604"/>
    <w:rsid w:val="00CE1D19"/>
    <w:rsid w:val="00CE3C72"/>
    <w:rsid w:val="00CE4929"/>
    <w:rsid w:val="00CE59A0"/>
    <w:rsid w:val="00CF2EEB"/>
    <w:rsid w:val="00D01E73"/>
    <w:rsid w:val="00D025F4"/>
    <w:rsid w:val="00D02D8B"/>
    <w:rsid w:val="00D02DB5"/>
    <w:rsid w:val="00D033C4"/>
    <w:rsid w:val="00D102E6"/>
    <w:rsid w:val="00D10D2A"/>
    <w:rsid w:val="00D12D2A"/>
    <w:rsid w:val="00D14B34"/>
    <w:rsid w:val="00D2017B"/>
    <w:rsid w:val="00D22D01"/>
    <w:rsid w:val="00D24521"/>
    <w:rsid w:val="00D33315"/>
    <w:rsid w:val="00D348A6"/>
    <w:rsid w:val="00D35414"/>
    <w:rsid w:val="00D41330"/>
    <w:rsid w:val="00D42CB9"/>
    <w:rsid w:val="00D45BF8"/>
    <w:rsid w:val="00D50899"/>
    <w:rsid w:val="00D53392"/>
    <w:rsid w:val="00D5395B"/>
    <w:rsid w:val="00D574F6"/>
    <w:rsid w:val="00D6019F"/>
    <w:rsid w:val="00D60E45"/>
    <w:rsid w:val="00D620CE"/>
    <w:rsid w:val="00D67D86"/>
    <w:rsid w:val="00D71141"/>
    <w:rsid w:val="00D72159"/>
    <w:rsid w:val="00D72754"/>
    <w:rsid w:val="00D72A94"/>
    <w:rsid w:val="00D751A6"/>
    <w:rsid w:val="00D820AF"/>
    <w:rsid w:val="00D858C5"/>
    <w:rsid w:val="00D86E38"/>
    <w:rsid w:val="00D91913"/>
    <w:rsid w:val="00D963BD"/>
    <w:rsid w:val="00DA6D69"/>
    <w:rsid w:val="00DB26C3"/>
    <w:rsid w:val="00DB3B6C"/>
    <w:rsid w:val="00DD7175"/>
    <w:rsid w:val="00DE5887"/>
    <w:rsid w:val="00DE68E1"/>
    <w:rsid w:val="00DF5E2C"/>
    <w:rsid w:val="00DF6642"/>
    <w:rsid w:val="00E036B3"/>
    <w:rsid w:val="00E07125"/>
    <w:rsid w:val="00E11B4D"/>
    <w:rsid w:val="00E15AD8"/>
    <w:rsid w:val="00E15DAF"/>
    <w:rsid w:val="00E24327"/>
    <w:rsid w:val="00E26B33"/>
    <w:rsid w:val="00E27281"/>
    <w:rsid w:val="00E275B9"/>
    <w:rsid w:val="00E27B1C"/>
    <w:rsid w:val="00E36ACD"/>
    <w:rsid w:val="00E408E3"/>
    <w:rsid w:val="00E40C0C"/>
    <w:rsid w:val="00E4278D"/>
    <w:rsid w:val="00E5175B"/>
    <w:rsid w:val="00E54F82"/>
    <w:rsid w:val="00E5638A"/>
    <w:rsid w:val="00E624AE"/>
    <w:rsid w:val="00E66A19"/>
    <w:rsid w:val="00E776AC"/>
    <w:rsid w:val="00E806A8"/>
    <w:rsid w:val="00E918D3"/>
    <w:rsid w:val="00E93C15"/>
    <w:rsid w:val="00EA10AA"/>
    <w:rsid w:val="00EA4926"/>
    <w:rsid w:val="00EA49A8"/>
    <w:rsid w:val="00EA5974"/>
    <w:rsid w:val="00EC0401"/>
    <w:rsid w:val="00EC6F47"/>
    <w:rsid w:val="00EC7A56"/>
    <w:rsid w:val="00ED1F77"/>
    <w:rsid w:val="00ED1FD3"/>
    <w:rsid w:val="00ED6534"/>
    <w:rsid w:val="00EE7362"/>
    <w:rsid w:val="00EF00CA"/>
    <w:rsid w:val="00EF4D9A"/>
    <w:rsid w:val="00F05968"/>
    <w:rsid w:val="00F12A24"/>
    <w:rsid w:val="00F12BF0"/>
    <w:rsid w:val="00F23A88"/>
    <w:rsid w:val="00F25C24"/>
    <w:rsid w:val="00F31EEB"/>
    <w:rsid w:val="00F3685E"/>
    <w:rsid w:val="00F40462"/>
    <w:rsid w:val="00F41552"/>
    <w:rsid w:val="00F44188"/>
    <w:rsid w:val="00F44D4C"/>
    <w:rsid w:val="00F45405"/>
    <w:rsid w:val="00F51468"/>
    <w:rsid w:val="00F53342"/>
    <w:rsid w:val="00F565E2"/>
    <w:rsid w:val="00F6446D"/>
    <w:rsid w:val="00F66B04"/>
    <w:rsid w:val="00F672B1"/>
    <w:rsid w:val="00F67970"/>
    <w:rsid w:val="00F72221"/>
    <w:rsid w:val="00F72F22"/>
    <w:rsid w:val="00F740D3"/>
    <w:rsid w:val="00F74476"/>
    <w:rsid w:val="00F81C16"/>
    <w:rsid w:val="00F83C2D"/>
    <w:rsid w:val="00F904F9"/>
    <w:rsid w:val="00F922C4"/>
    <w:rsid w:val="00F93CE8"/>
    <w:rsid w:val="00F96270"/>
    <w:rsid w:val="00FA4911"/>
    <w:rsid w:val="00FB343D"/>
    <w:rsid w:val="00FB7E7A"/>
    <w:rsid w:val="00FC1727"/>
    <w:rsid w:val="00FD0A8B"/>
    <w:rsid w:val="00FE0082"/>
    <w:rsid w:val="00FF2E16"/>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table" w:customStyle="1" w:styleId="Mkatabulky1">
    <w:name w:val="Mřížka tabulky1"/>
    <w:basedOn w:val="Normlntabulka"/>
    <w:next w:val="Mkatabulky"/>
    <w:uiPriority w:val="39"/>
    <w:rsid w:val="00772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7">
    <w:name w:val="LFO27"/>
    <w:basedOn w:val="Bezseznamu"/>
    <w:rsid w:val="00B05582"/>
    <w:pPr>
      <w:numPr>
        <w:numId w:val="54"/>
      </w:numPr>
    </w:pPr>
  </w:style>
  <w:style w:type="paragraph" w:customStyle="1" w:styleId="Normal1">
    <w:name w:val="Normal_1"/>
    <w:rsid w:val="00B22568"/>
    <w:pPr>
      <w:suppressAutoHyphens/>
      <w:spacing w:after="0" w:line="320" w:lineRule="atLeast"/>
      <w:jc w:val="both"/>
    </w:pPr>
    <w:rPr>
      <w:rFonts w:ascii="Times New Roman" w:eastAsia="Times New Roman" w:hAnsi="Times New Roman" w:cs="Times New Roman"/>
      <w:szCs w:val="20"/>
      <w:lang w:eastAsia="ar-SA"/>
    </w:rPr>
  </w:style>
  <w:style w:type="paragraph" w:customStyle="1" w:styleId="Standard">
    <w:name w:val="Standard"/>
    <w:rsid w:val="00690A10"/>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character" w:styleId="Nevyeenzmnka">
    <w:name w:val="Unresolved Mention"/>
    <w:basedOn w:val="Standardnpsmoodstavce"/>
    <w:uiPriority w:val="99"/>
    <w:semiHidden/>
    <w:unhideWhenUsed/>
    <w:rsid w:val="005E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0253">
      <w:bodyDiv w:val="1"/>
      <w:marLeft w:val="0"/>
      <w:marRight w:val="0"/>
      <w:marTop w:val="0"/>
      <w:marBottom w:val="0"/>
      <w:divBdr>
        <w:top w:val="none" w:sz="0" w:space="0" w:color="auto"/>
        <w:left w:val="none" w:sz="0" w:space="0" w:color="auto"/>
        <w:bottom w:val="none" w:sz="0" w:space="0" w:color="auto"/>
        <w:right w:val="none" w:sz="0" w:space="0" w:color="auto"/>
      </w:divBdr>
    </w:div>
    <w:div w:id="182018875">
      <w:bodyDiv w:val="1"/>
      <w:marLeft w:val="0"/>
      <w:marRight w:val="0"/>
      <w:marTop w:val="0"/>
      <w:marBottom w:val="0"/>
      <w:divBdr>
        <w:top w:val="none" w:sz="0" w:space="0" w:color="auto"/>
        <w:left w:val="none" w:sz="0" w:space="0" w:color="auto"/>
        <w:bottom w:val="none" w:sz="0" w:space="0" w:color="auto"/>
        <w:right w:val="none" w:sz="0" w:space="0" w:color="auto"/>
      </w:divBdr>
    </w:div>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 w:id="19081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2FA2-A60D-41F1-B837-DB4AF90A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3038</Words>
  <Characters>17929</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2022-02-10T14:47:00Z</dcterms:created>
  <dcterms:modified xsi:type="dcterms:W3CDTF">2022-03-04T10:34:00Z</dcterms:modified>
</cp:coreProperties>
</file>