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1D2B36"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F02DA4">
        <w:rPr>
          <w:rFonts w:ascii="Calibri" w:hAnsi="Calibri" w:cs="Calibri"/>
          <w:b/>
        </w:rPr>
        <w:t>S</w:t>
      </w:r>
      <w:r w:rsidR="004269F3">
        <w:rPr>
          <w:rFonts w:ascii="Calibri" w:hAnsi="Calibri" w:cs="Calibri"/>
          <w:b/>
        </w:rPr>
        <w:t>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914340">
        <w:rPr>
          <w:rFonts w:cs="Calibri"/>
        </w:rPr>
        <w:t>xxxxxxxxxx</w:t>
      </w:r>
      <w:proofErr w:type="spellEnd"/>
      <w:r w:rsidRPr="000E1C38">
        <w:rPr>
          <w:rFonts w:cs="Calibri"/>
        </w:rPr>
        <w:t>,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914340">
        <w:rPr>
          <w:rFonts w:cs="Calibri"/>
        </w:rPr>
        <w:t>xxxxxxxxxxxxxxx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914340">
        <w:rPr>
          <w:rFonts w:cs="Calibri"/>
          <w:sz w:val="21"/>
          <w:szCs w:val="21"/>
        </w:rPr>
        <w:t>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914340">
        <w:rPr>
          <w:rStyle w:val="tsubjname"/>
          <w:rFonts w:eastAsia="Calibri" w:cs="Calibri"/>
        </w:rPr>
        <w:t>xxxxxxxxxxxxxxxx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914340">
        <w:rPr>
          <w:rFonts w:cs="Calibri"/>
          <w:bCs/>
        </w:rPr>
        <w:t>xxxxxxxxxxxxx</w:t>
      </w:r>
      <w:proofErr w:type="spellEnd"/>
      <w:proofErr w:type="gramEnd"/>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r w:rsidR="00914340">
        <w:rPr>
          <w:rFonts w:cs="Calibri"/>
        </w:rPr>
        <w:tab/>
      </w:r>
      <w:proofErr w:type="spellStart"/>
      <w:r w:rsidR="00914340">
        <w:rPr>
          <w:rFonts w:cs="Calibri"/>
        </w:rPr>
        <w:t>Enuma</w:t>
      </w:r>
      <w:proofErr w:type="spellEnd"/>
      <w:r w:rsidR="00914340">
        <w:rPr>
          <w:rFonts w:cs="Calibri"/>
        </w:rPr>
        <w:t xml:space="preserve"> Elis, s.r.o.</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Pr="000C0260">
        <w:rPr>
          <w:rFonts w:cs="Calibri"/>
        </w:rPr>
        <w:tab/>
      </w:r>
      <w:proofErr w:type="spellStart"/>
      <w:r w:rsidR="00914340">
        <w:rPr>
          <w:rFonts w:cs="Calibri"/>
        </w:rPr>
        <w:t>Lannova</w:t>
      </w:r>
      <w:proofErr w:type="spellEnd"/>
      <w:r w:rsidR="00914340">
        <w:rPr>
          <w:rFonts w:cs="Calibri"/>
        </w:rPr>
        <w:t xml:space="preserve"> 2061/8, Praha 1 110 00</w:t>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Pr="000C0260">
        <w:rPr>
          <w:rFonts w:cs="Calibri"/>
        </w:rPr>
        <w:tab/>
      </w:r>
      <w:r w:rsidR="00914340">
        <w:rPr>
          <w:rFonts w:cs="Calibri"/>
        </w:rPr>
        <w:t>016 88 260</w:t>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914340">
        <w:rPr>
          <w:rFonts w:cs="Calibri"/>
        </w:rPr>
        <w:t>Raiffeisenbank</w:t>
      </w:r>
      <w:proofErr w:type="spellEnd"/>
      <w:r w:rsidR="00914340">
        <w:rPr>
          <w:rFonts w:cs="Calibri"/>
        </w:rPr>
        <w:t xml:space="preserve">, a.s., </w:t>
      </w:r>
      <w:proofErr w:type="spellStart"/>
      <w:r w:rsidR="00914340">
        <w:rPr>
          <w:rFonts w:cs="Calibri"/>
        </w:rPr>
        <w:t>xxxxxxxxxxxxx</w:t>
      </w:r>
      <w:proofErr w:type="spellEnd"/>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r w:rsidRPr="000C0260">
        <w:rPr>
          <w:rFonts w:cs="Calibri"/>
        </w:rPr>
        <w:tab/>
      </w:r>
      <w:proofErr w:type="spellStart"/>
      <w:r w:rsidR="00914340">
        <w:rPr>
          <w:rFonts w:cs="Calibri"/>
        </w:rPr>
        <w:t>xxxxxxxxxxxxx</w:t>
      </w:r>
      <w:proofErr w:type="spellEnd"/>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r w:rsidRPr="000C0260">
        <w:rPr>
          <w:rFonts w:cs="Calibri"/>
        </w:rPr>
        <w:tab/>
      </w:r>
      <w:proofErr w:type="spellStart"/>
      <w:r w:rsidR="00914340">
        <w:rPr>
          <w:rFonts w:cs="Calibri"/>
        </w:rPr>
        <w:t>xxxxxxxxxxxxx</w:t>
      </w:r>
      <w:proofErr w:type="spellEnd"/>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E37D22">
        <w:rPr>
          <w:b/>
        </w:rPr>
        <w:t xml:space="preserve">hřiště </w:t>
      </w:r>
      <w:proofErr w:type="spellStart"/>
      <w:r w:rsidR="00E37D22">
        <w:rPr>
          <w:b/>
        </w:rPr>
        <w:t>workout</w:t>
      </w:r>
      <w:proofErr w:type="spellEnd"/>
      <w:r w:rsidRPr="00455820">
        <w:rPr>
          <w:b/>
        </w:rPr>
        <w:t xml:space="preserve">“. </w:t>
      </w:r>
    </w:p>
    <w:p w:rsidR="004269F3" w:rsidRPr="00606B94" w:rsidRDefault="004269F3" w:rsidP="004269F3">
      <w:pPr>
        <w:jc w:val="both"/>
      </w:pPr>
    </w:p>
    <w:p w:rsidR="004269F3" w:rsidRPr="00606B94" w:rsidRDefault="004269F3" w:rsidP="004269F3">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proofErr w:type="spellStart"/>
      <w:r w:rsidR="00E37D22">
        <w:rPr>
          <w:b/>
        </w:rPr>
        <w:t>workout</w:t>
      </w:r>
      <w:proofErr w:type="spellEnd"/>
      <w:r w:rsidR="00E37D22">
        <w:rPr>
          <w:b/>
        </w:rPr>
        <w:t xml:space="preserve"> hřiště</w:t>
      </w:r>
      <w:r w:rsidRPr="00E9530E">
        <w:rPr>
          <w:b/>
        </w:rPr>
        <w:t>“</w:t>
      </w:r>
      <w:r>
        <w:t xml:space="preserve"> </w:t>
      </w:r>
      <w:r w:rsidR="00E37D22">
        <w:t xml:space="preserve">na parcele 97/1 v </w:t>
      </w:r>
      <w:proofErr w:type="spellStart"/>
      <w:r w:rsidR="00E37D22">
        <w:t>Hostouni</w:t>
      </w:r>
      <w:proofErr w:type="spellEnd"/>
      <w:r w:rsidR="00E37D22">
        <w:t>, ul. Osvobození</w:t>
      </w:r>
      <w:r>
        <w:t xml:space="preserve">. Předmět Díla </w:t>
      </w:r>
      <w:r w:rsidRPr="008B18AE">
        <w:t xml:space="preserve">bude proveden Dodavatelem v rozsahu poptávky odběratele k podání nabídky ze dne </w:t>
      </w:r>
      <w:proofErr w:type="gramStart"/>
      <w:r w:rsidR="00C32B20" w:rsidRPr="008B18AE">
        <w:t>22</w:t>
      </w:r>
      <w:r w:rsidR="00E638A2" w:rsidRPr="008B18AE">
        <w:t>.2.2022</w:t>
      </w:r>
      <w:proofErr w:type="gramEnd"/>
      <w:r w:rsidR="00E638A2" w:rsidRPr="008B18AE">
        <w:t xml:space="preserve"> </w:t>
      </w:r>
      <w:r w:rsidRPr="008B18AE">
        <w:t xml:space="preserve">a podle nabídky dodavatele ze dne </w:t>
      </w:r>
      <w:r w:rsidR="00914340">
        <w:t>2.3.2022</w:t>
      </w:r>
      <w:r w:rsidRPr="008B18AE">
        <w:t xml:space="preserve"> . Dílo dle této smlouvy zahrnuje </w:t>
      </w:r>
      <w:r w:rsidR="00E37D22" w:rsidRPr="008B18AE">
        <w:t xml:space="preserve">dodávku a montáž </w:t>
      </w:r>
      <w:proofErr w:type="spellStart"/>
      <w:r w:rsidR="00E37D22" w:rsidRPr="008B18AE">
        <w:t>workoutového</w:t>
      </w:r>
      <w:proofErr w:type="spellEnd"/>
      <w:r w:rsidR="00E37D22" w:rsidRPr="008B18AE">
        <w:t xml:space="preserve"> hřiště</w:t>
      </w:r>
      <w:r w:rsidRPr="008B18AE">
        <w:t xml:space="preserve"> uvedené ve výzvě k podání nabídky na veřejnou</w:t>
      </w:r>
      <w:r>
        <w:t xml:space="preserve"> zakázku malého rozsahu. Dále je </w:t>
      </w:r>
      <w:r w:rsidRPr="002C4510">
        <w:t xml:space="preserve">součástí díla dodavatele též </w:t>
      </w:r>
      <w:r w:rsidRPr="00F37AE2">
        <w:t xml:space="preserve">předání dokladů potřebných k převzetí a užívání díla odběratelem. </w:t>
      </w:r>
    </w:p>
    <w:p w:rsidR="00073A31" w:rsidRPr="00F37AE2" w:rsidRDefault="00073A31" w:rsidP="004269F3">
      <w:pPr>
        <w:widowControl w:val="0"/>
        <w:numPr>
          <w:ilvl w:val="0"/>
          <w:numId w:val="2"/>
        </w:numPr>
        <w:suppressLineNumbers/>
        <w:tabs>
          <w:tab w:val="left" w:pos="360"/>
          <w:tab w:val="right" w:pos="9639"/>
        </w:tabs>
        <w:spacing w:before="240" w:after="240"/>
        <w:jc w:val="both"/>
      </w:pPr>
      <w:r>
        <w:t xml:space="preserve">Plnění předmětu díla musí být zabezpečeno v celém rozsahu dle zadání, tj. především nabídky a grafickou specifikací, která je součástí </w:t>
      </w:r>
      <w:proofErr w:type="gramStart"/>
      <w:r>
        <w:t>nabídky  dodavatele</w:t>
      </w:r>
      <w:proofErr w:type="gramEnd"/>
      <w:r>
        <w:t>.</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8B18AE"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w:t>
      </w:r>
      <w:r w:rsidRPr="008B18AE">
        <w:t xml:space="preserve">předmětu díla odběratelem. Dodavatel se zavazuje odevzdat předmět díla odběrateli </w:t>
      </w:r>
      <w:r w:rsidRPr="008B18AE">
        <w:rPr>
          <w:b/>
        </w:rPr>
        <w:t xml:space="preserve">nejpozději dne </w:t>
      </w:r>
      <w:proofErr w:type="gramStart"/>
      <w:r w:rsidRPr="008B18AE">
        <w:rPr>
          <w:b/>
        </w:rPr>
        <w:t>30.9.202</w:t>
      </w:r>
      <w:r w:rsidR="00E9530E" w:rsidRPr="008B18AE">
        <w:rPr>
          <w:b/>
        </w:rPr>
        <w:t>2</w:t>
      </w:r>
      <w:proofErr w:type="gramEnd"/>
      <w:r w:rsidRPr="008B18AE">
        <w:rPr>
          <w:b/>
        </w:rPr>
        <w:t>.</w:t>
      </w:r>
      <w:r w:rsidRPr="008B18AE">
        <w:t xml:space="preserve"> Datum a čas odevzdání předmětu díla oznámí dodavatel odběrateli nejpozději 3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proofErr w:type="spellStart"/>
      <w:proofErr w:type="gramStart"/>
      <w:r w:rsidR="00E37D22">
        <w:t>ul.Osvobození</w:t>
      </w:r>
      <w:proofErr w:type="spellEnd"/>
      <w:proofErr w:type="gramEnd"/>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269F3" w:rsidRPr="00606B94"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4269F3" w:rsidRPr="00606B94" w:rsidRDefault="004269F3" w:rsidP="004269F3">
      <w:pPr>
        <w:widowControl w:val="0"/>
        <w:numPr>
          <w:ilvl w:val="0"/>
          <w:numId w:val="3"/>
        </w:numPr>
        <w:suppressAutoHyphens/>
        <w:autoSpaceDN w:val="0"/>
        <w:jc w:val="center"/>
        <w:textAlignment w:val="baseline"/>
        <w:rPr>
          <w:b/>
        </w:rPr>
      </w:pPr>
      <w:r>
        <w:rPr>
          <w:b/>
        </w:rPr>
        <w:lastRenderedPageBreak/>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914340">
        <w:rPr>
          <w:color w:val="262626"/>
        </w:rPr>
        <w:t>498 430,00</w:t>
      </w:r>
      <w:proofErr w:type="gramEnd"/>
      <w:r w:rsidRPr="00211824">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914340">
        <w:rPr>
          <w:color w:val="262626"/>
        </w:rPr>
        <w:t>74 764,50</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914340">
        <w:rPr>
          <w:b/>
          <w:color w:val="262626"/>
          <w:u w:val="single"/>
        </w:rPr>
        <w:t xml:space="preserve"> 573 194,50</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proofErr w:type="spellStart"/>
      <w:r w:rsidR="00914340">
        <w:rPr>
          <w:color w:val="262626"/>
        </w:rPr>
        <w:t>pětsetsedmdesáttřitisícstodevadesátčtyři</w:t>
      </w:r>
      <w:proofErr w:type="spellEnd"/>
      <w:r w:rsidRPr="00211824">
        <w:rPr>
          <w:color w:val="262626"/>
        </w:rPr>
        <w:t xml:space="preserve"> korun</w:t>
      </w:r>
      <w:r>
        <w:rPr>
          <w:color w:val="262626"/>
        </w:rPr>
        <w:t>y</w:t>
      </w:r>
      <w:r w:rsidRPr="00211824">
        <w:rPr>
          <w:color w:val="262626"/>
        </w:rPr>
        <w:t xml:space="preserve"> českých</w:t>
      </w:r>
      <w:r w:rsidR="00914340">
        <w:rPr>
          <w:color w:val="262626"/>
        </w:rPr>
        <w:t xml:space="preserve"> a padesát haléřů</w:t>
      </w:r>
      <w:r w:rsidRPr="00211824">
        <w:rPr>
          <w:color w:val="262626"/>
        </w:rPr>
        <w:t>).</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E37D22">
        <w:t xml:space="preserve">hřiště </w:t>
      </w:r>
      <w:proofErr w:type="spellStart"/>
      <w:r w:rsidR="00E37D22">
        <w:t>workout</w:t>
      </w:r>
      <w:proofErr w:type="spellEnd"/>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914340" w:rsidRDefault="00914340"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lastRenderedPageBreak/>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délce 60</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lastRenderedPageBreak/>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914340">
        <w:t>xxxxxxxxxxxxxx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lastRenderedPageBreak/>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w:t>
      </w:r>
      <w:r w:rsidR="00914340">
        <w:t>: 3. 3. 2022</w:t>
      </w:r>
      <w:r w:rsidRPr="00606B94">
        <w:tab/>
      </w:r>
      <w:r>
        <w:tab/>
      </w:r>
      <w:r>
        <w:tab/>
        <w:t xml:space="preserve">V </w:t>
      </w:r>
      <w:proofErr w:type="gramStart"/>
      <w:r w:rsidR="00914340">
        <w:t>Praze</w:t>
      </w:r>
      <w:r w:rsidRPr="00FA4F41">
        <w:t xml:space="preserve">  dne</w:t>
      </w:r>
      <w:proofErr w:type="gramEnd"/>
      <w:r w:rsidRPr="00FA4F41">
        <w:t xml:space="preserve">: </w:t>
      </w:r>
      <w:r w:rsidR="00914340">
        <w:t>2. 3. 2022</w:t>
      </w:r>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914340" w:rsidP="004269F3">
      <w:pPr>
        <w:pStyle w:val="BodyText21"/>
        <w:widowControl/>
        <w:rPr>
          <w:bCs/>
          <w:sz w:val="24"/>
          <w:szCs w:val="24"/>
        </w:rPr>
      </w:pPr>
      <w:proofErr w:type="spellStart"/>
      <w:r>
        <w:rPr>
          <w:bCs/>
          <w:sz w:val="24"/>
          <w:szCs w:val="24"/>
        </w:rPr>
        <w:t>xxxxxxxxxxxxxxx</w:t>
      </w:r>
      <w:proofErr w:type="spellEnd"/>
      <w:r w:rsidR="004269F3">
        <w:rPr>
          <w:bCs/>
          <w:sz w:val="24"/>
          <w:szCs w:val="24"/>
        </w:rPr>
        <w:t xml:space="preserve">, ředitel   </w:t>
      </w:r>
      <w:r w:rsidR="004269F3">
        <w:rPr>
          <w:bCs/>
          <w:sz w:val="24"/>
          <w:szCs w:val="24"/>
        </w:rPr>
        <w:tab/>
      </w:r>
      <w:r w:rsidR="004269F3">
        <w:rPr>
          <w:bCs/>
          <w:sz w:val="24"/>
          <w:szCs w:val="24"/>
        </w:rPr>
        <w:tab/>
      </w:r>
      <w:r w:rsidR="004269F3">
        <w:rPr>
          <w:bCs/>
          <w:sz w:val="24"/>
          <w:szCs w:val="24"/>
        </w:rPr>
        <w:tab/>
      </w:r>
      <w:r w:rsidR="004269F3">
        <w:rPr>
          <w:bCs/>
          <w:sz w:val="24"/>
          <w:szCs w:val="24"/>
        </w:rPr>
        <w:tab/>
      </w:r>
      <w:proofErr w:type="spellStart"/>
      <w:r>
        <w:rPr>
          <w:bCs/>
          <w:sz w:val="24"/>
          <w:szCs w:val="24"/>
        </w:rPr>
        <w:t>xxxxxxxxxxxxx</w:t>
      </w:r>
      <w:proofErr w:type="spellEnd"/>
      <w:r>
        <w:rPr>
          <w:bCs/>
          <w:sz w:val="24"/>
          <w:szCs w:val="24"/>
        </w:rPr>
        <w:t>, jednatel</w:t>
      </w:r>
    </w:p>
    <w:p w:rsidR="004269F3" w:rsidRPr="00F37AE2" w:rsidRDefault="004269F3" w:rsidP="004269F3">
      <w:pPr>
        <w:pStyle w:val="BodyText21"/>
        <w:widowControl/>
        <w:ind w:left="708" w:firstLine="372"/>
        <w:rPr>
          <w:bCs/>
          <w:sz w:val="24"/>
          <w:szCs w:val="24"/>
        </w:rPr>
      </w:pPr>
      <w:r w:rsidRPr="00F37AE2">
        <w:rPr>
          <w:bCs/>
          <w:sz w:val="24"/>
          <w:szCs w:val="24"/>
        </w:rPr>
        <w:t>odběratel</w:t>
      </w:r>
      <w:r w:rsidRPr="00F37AE2">
        <w:rPr>
          <w:bCs/>
          <w:sz w:val="24"/>
          <w:szCs w:val="24"/>
        </w:rPr>
        <w:tab/>
      </w:r>
      <w:r w:rsidRPr="00F37AE2">
        <w:rPr>
          <w:bCs/>
          <w:sz w:val="24"/>
          <w:szCs w:val="24"/>
        </w:rPr>
        <w:tab/>
      </w:r>
      <w:r w:rsidRPr="00F37AE2">
        <w:rPr>
          <w:bCs/>
          <w:sz w:val="24"/>
          <w:szCs w:val="24"/>
        </w:rPr>
        <w:tab/>
      </w:r>
      <w:r w:rsidRPr="00F37AE2">
        <w:rPr>
          <w:bCs/>
          <w:sz w:val="24"/>
          <w:szCs w:val="24"/>
        </w:rPr>
        <w:tab/>
      </w:r>
      <w:r w:rsidRPr="00F37AE2">
        <w:rPr>
          <w:bCs/>
          <w:sz w:val="24"/>
          <w:szCs w:val="24"/>
        </w:rPr>
        <w:tab/>
        <w:t xml:space="preserve">          </w:t>
      </w:r>
      <w:r>
        <w:rPr>
          <w:bCs/>
          <w:sz w:val="24"/>
          <w:szCs w:val="24"/>
        </w:rPr>
        <w:t xml:space="preserve">   </w:t>
      </w:r>
      <w:r w:rsidRPr="00F37AE2">
        <w:rPr>
          <w:bCs/>
          <w:sz w:val="24"/>
          <w:szCs w:val="24"/>
        </w:rPr>
        <w:t xml:space="preserve">    </w:t>
      </w:r>
      <w:r>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073A31"/>
    <w:rsid w:val="001D2B36"/>
    <w:rsid w:val="002C41A0"/>
    <w:rsid w:val="00380662"/>
    <w:rsid w:val="003E0D71"/>
    <w:rsid w:val="004269F3"/>
    <w:rsid w:val="004C0712"/>
    <w:rsid w:val="006240F4"/>
    <w:rsid w:val="007C7243"/>
    <w:rsid w:val="008B18AE"/>
    <w:rsid w:val="00914340"/>
    <w:rsid w:val="00933E45"/>
    <w:rsid w:val="00990424"/>
    <w:rsid w:val="0099776C"/>
    <w:rsid w:val="009D4856"/>
    <w:rsid w:val="00AA5005"/>
    <w:rsid w:val="00C32B20"/>
    <w:rsid w:val="00E05EE7"/>
    <w:rsid w:val="00E37D22"/>
    <w:rsid w:val="00E638A2"/>
    <w:rsid w:val="00E9530E"/>
    <w:rsid w:val="00F02DA4"/>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2076</Words>
  <Characters>12255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2022-03-04T08:02:00Z</dcterms:created>
  <dcterms:modified xsi:type="dcterms:W3CDTF">2022-03-04T08:02:00Z</dcterms:modified>
</cp:coreProperties>
</file>