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bookmarkStart w:id="0" w:name="bookmark0"/>
      <w:r>
        <w:rPr>
          <w:rStyle w:val="CharStyle3"/>
        </w:rPr>
        <w:t>Illllllllllllllllllllllll</w:t>
      </w:r>
      <w:bookmarkEnd w:id="0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r>
        <w:rPr>
          <w:rStyle w:val="CharStyle8"/>
        </w:rPr>
        <w:t>2022001093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10"/>
          <w:b/>
          <w:bCs/>
        </w:rPr>
        <w:t>Dodatek č. 1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</w:pPr>
      <w:r>
        <w:rPr>
          <w:rStyle w:val="CharStyle10"/>
        </w:rPr>
        <w:t>k rámcové smlouvě o dílo ze dne 31. 8. 2020 / dále jen „ smlouva “ /, uzavřené mezi</w:t>
      </w:r>
    </w:p>
    <w:tbl>
      <w:tblPr>
        <w:tblOverlap w:val="never"/>
        <w:jc w:val="left"/>
        <w:tblLayout w:type="fixed"/>
      </w:tblPr>
      <w:tblGrid>
        <w:gridCol w:w="2501"/>
        <w:gridCol w:w="6643"/>
      </w:tblGrid>
      <w:tr>
        <w:trPr>
          <w:trHeight w:val="56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20"/>
              <w:jc w:val="left"/>
            </w:pPr>
            <w:r>
              <w:rPr>
                <w:rStyle w:val="CharStyle17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7"/>
              </w:rPr>
              <w:t>Kamenice 798/1 d, 625 00 Brno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7"/>
              </w:rPr>
              <w:t>MUDr. Hana Albrechtová, ředitelka</w:t>
            </w:r>
          </w:p>
        </w:tc>
      </w:tr>
      <w:tr>
        <w:trPr>
          <w:trHeight w:val="54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20"/>
              <w:jc w:val="left"/>
            </w:pPr>
            <w:r>
              <w:rPr>
                <w:rStyle w:val="CharStyle17"/>
                <w:spacing w:val="4"/>
                <w:shd w:val="clear" w:color="auto" w:fill="000000"/>
              </w:rPr>
              <w:t>.</w:t>
            </w:r>
            <w:r>
              <w:rPr>
                <w:rStyle w:val="CharStyle17"/>
                <w:spacing w:val="5"/>
                <w:shd w:val="clear" w:color="auto" w:fill="000000"/>
              </w:rPr>
              <w:t>.........</w:t>
            </w:r>
            <w:r>
              <w:rPr>
                <w:rStyle w:val="CharStyle17"/>
                <w:shd w:val="clear" w:color="auto" w:fill="000000"/>
              </w:rPr>
              <w:t>​.</w:t>
            </w:r>
            <w:r>
              <w:rPr>
                <w:rStyle w:val="CharStyle17"/>
                <w:spacing w:val="1"/>
                <w:shd w:val="clear" w:color="auto" w:fill="000000"/>
              </w:rPr>
              <w:t>..........</w:t>
            </w:r>
            <w:r>
              <w:rPr>
                <w:rStyle w:val="CharStyle17"/>
                <w:shd w:val="clear" w:color="auto" w:fill="000000"/>
                <w:lang w:val="en-US" w:eastAsia="en-US" w:bidi="en-US"/>
              </w:rPr>
              <w:t>​........</w:t>
            </w:r>
            <w:r>
              <w:rPr>
                <w:rStyle w:val="CharStyle17"/>
                <w:spacing w:val="1"/>
                <w:shd w:val="clear" w:color="auto" w:fill="000000"/>
                <w:lang w:val="en-US" w:eastAsia="en-US" w:bidi="en-US"/>
              </w:rPr>
              <w:t>....................</w:t>
            </w:r>
            <w:r>
              <w:rPr>
                <w:rStyle w:val="CharStyle17"/>
                <w:lang w:val="en-US" w:eastAsia="en-US" w:bidi="en-US"/>
              </w:rPr>
              <w:t xml:space="preserve"> </w:t>
            </w:r>
            <w:r>
              <w:rPr>
                <w:rStyle w:val="CharStyle17"/>
                <w:shd w:val="clear" w:color="auto" w:fill="000000"/>
              </w:rPr>
              <w:t>​</w:t>
            </w:r>
            <w:r>
              <w:rPr>
                <w:rStyle w:val="CharStyle17"/>
                <w:spacing w:val="10"/>
                <w:shd w:val="clear" w:color="auto" w:fill="000000"/>
              </w:rPr>
              <w:t>..</w:t>
            </w:r>
            <w:r>
              <w:rPr>
                <w:rStyle w:val="CharStyle17"/>
                <w:spacing w:val="11"/>
                <w:shd w:val="clear" w:color="auto" w:fill="000000"/>
              </w:rPr>
              <w:t>....</w:t>
            </w:r>
            <w:r>
              <w:rPr>
                <w:rStyle w:val="CharStyle17"/>
                <w:shd w:val="clear" w:color="auto" w:fill="000000"/>
              </w:rPr>
              <w:t>​</w:t>
            </w:r>
            <w:r>
              <w:rPr>
                <w:rStyle w:val="CharStyle17"/>
                <w:spacing w:val="7"/>
                <w:shd w:val="clear" w:color="auto" w:fill="000000"/>
              </w:rPr>
              <w:t>..</w:t>
            </w:r>
            <w:r>
              <w:rPr>
                <w:rStyle w:val="CharStyle17"/>
                <w:spacing w:val="8"/>
                <w:shd w:val="clear" w:color="auto" w:fill="000000"/>
              </w:rPr>
              <w:t>....</w:t>
            </w:r>
            <w:r>
              <w:rPr>
                <w:rStyle w:val="CharStyle17"/>
                <w:shd w:val="clear" w:color="auto" w:fill="000000"/>
              </w:rPr>
              <w:t>​</w:t>
            </w:r>
            <w:r>
              <w:rPr>
                <w:rStyle w:val="CharStyle17"/>
                <w:spacing w:val="12"/>
                <w:shd w:val="clear" w:color="auto" w:fill="000000"/>
              </w:rPr>
              <w:t>.</w:t>
            </w:r>
            <w:r>
              <w:rPr>
                <w:rStyle w:val="CharStyle17"/>
                <w:spacing w:val="13"/>
                <w:shd w:val="clear" w:color="auto" w:fill="000000"/>
              </w:rPr>
              <w:t>....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7"/>
              </w:rPr>
              <w:t>00346292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7"/>
              </w:rPr>
              <w:t>CZ00346292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tabs>
          <w:tab w:pos="286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13"/>
        </w:rPr>
        <w:t>Zápis v OR:</w:t>
        <w:tab/>
        <w:t>Krajský soud v Brně sp. zn. Pr 1245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3"/>
        </w:rPr>
        <w:t xml:space="preserve">Bankovní spojení (číslo účtu): MONETA Money Bank, a.s., č. ú. </w:t>
      </w:r>
      <w:r>
        <w:rPr>
          <w:rStyle w:val="CharStyle13"/>
          <w:spacing w:val="1"/>
          <w:shd w:val="clear" w:color="auto" w:fill="000000"/>
        </w:rPr>
        <w:t>................</w:t>
      </w:r>
      <w:r>
        <w:rPr>
          <w:rStyle w:val="CharStyle13"/>
          <w:spacing w:val="2"/>
          <w:shd w:val="clear" w:color="auto" w:fill="000000"/>
        </w:rPr>
        <w:t>..........</w:t>
      </w:r>
    </w:p>
    <w:p>
      <w:pPr>
        <w:widowControl w:val="0"/>
        <w:spacing w:after="25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0"/>
        </w:rPr>
        <w:t>(dále jen „kupující“)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rStyle w:val="CharStyle13"/>
        </w:rPr>
        <w:t>a</w:t>
      </w:r>
    </w:p>
    <w:tbl>
      <w:tblPr>
        <w:tblOverlap w:val="never"/>
        <w:jc w:val="left"/>
        <w:tblLayout w:type="fixed"/>
      </w:tblPr>
      <w:tblGrid>
        <w:gridCol w:w="2069"/>
        <w:gridCol w:w="5832"/>
      </w:tblGrid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Jméno: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rStyle w:val="CharStyle17"/>
                <w:b/>
                <w:bCs/>
              </w:rPr>
              <w:t>MEDIPRAX CB s.r.o.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rStyle w:val="CharStyle17"/>
              </w:rPr>
              <w:t>Husova tř. 1858/43, 370 05 České Budějovice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rStyle w:val="CharStyle17"/>
              </w:rPr>
              <w:t>Ing. Jan Mach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rStyle w:val="CharStyle17"/>
              </w:rPr>
              <w:t>63886731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rStyle w:val="CharStyle17"/>
              </w:rPr>
              <w:t>CZ63886731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Zápis v OR: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rStyle w:val="CharStyle17"/>
              </w:rPr>
              <w:t>Krajský soud v Č. Budějovicích, sp. zn. C 5633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rStyle w:val="CharStyle13"/>
        </w:rPr>
        <w:t>Bankovní spojení (číslo účtu): ČSOB a.s., č.ú.</w:t>
      </w:r>
      <w:r>
        <w:rPr>
          <w:rStyle w:val="CharStyle13"/>
          <w:shd w:val="clear" w:color="auto" w:fill="000000"/>
        </w:rPr>
        <w:t>.​</w:t>
      </w:r>
      <w:r>
        <w:rPr>
          <w:rStyle w:val="CharStyle13"/>
          <w:spacing w:val="2"/>
          <w:shd w:val="clear" w:color="auto" w:fill="000000"/>
        </w:rPr>
        <w:t>........................</w:t>
      </w:r>
      <w:r>
        <w:rPr>
          <w:rStyle w:val="CharStyle13"/>
          <w:spacing w:val="3"/>
          <w:shd w:val="clear" w:color="auto" w:fill="000000"/>
        </w:rPr>
        <w:t>..</w:t>
      </w:r>
    </w:p>
    <w:p>
      <w:pPr>
        <w:widowControl w:val="0"/>
        <w:spacing w:after="25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360" w:line="240" w:lineRule="auto"/>
        <w:ind w:left="0" w:right="0" w:firstLine="0"/>
        <w:jc w:val="left"/>
      </w:pPr>
      <w:r>
        <w:rPr>
          <w:rStyle w:val="CharStyle10"/>
        </w:rPr>
        <w:t>(dále jen „prodávající“)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Do přílohy č. 1 smlouvy se doplňuje položka „Modul Oxygen“ v počtu 7 ks v OÚ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</w:pPr>
      <w:r>
        <w:rPr>
          <w:rStyle w:val="CharStyle10"/>
        </w:rPr>
        <w:t>Blansko.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4440" w:right="0" w:firstLine="0"/>
        <w:jc w:val="lef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0"/>
        </w:rPr>
        <w:t>Do přílohy č. 2 smlouvy se doplňuje položka: BTK pro Modul Oxygen po 2 letech s cenou za 1 BTK 600,- Kč bez DPH, tj. 726,- Kč s DPH.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line="228" w:lineRule="auto"/>
        <w:ind w:left="4440" w:right="0" w:firstLine="0"/>
        <w:jc w:val="lef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40" w:line="228" w:lineRule="auto"/>
        <w:ind w:left="0" w:right="0" w:firstLine="0"/>
        <w:jc w:val="left"/>
      </w:pPr>
      <w:r>
        <w:rPr>
          <w:rStyle w:val="CharStyle10"/>
        </w:rPr>
        <w:t>Strany tak přitom činí analogicky podle ust. par. 222 odst. 4 zákona č. 134/2016 Sb. o zadávání veřejných zakázek, podle něhož lze změnit závazek ze smlouvy na veřejnou zakázku, pokud se nemění celková povaha veřejné zakázky, změna ceny je</w:t>
        <w:br w:type="page"/>
      </w:r>
      <w:r>
        <w:rPr>
          <w:rStyle w:val="CharStyle10"/>
        </w:rPr>
        <w:t>nižší než finanční limit pro nadlimitní veřejnou zakázku a nižší než 10 % původní hodnoty závazku.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4460" w:right="0" w:firstLine="0"/>
        <w:jc w:val="lef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</w:pPr>
      <w:r>
        <w:rPr>
          <w:rStyle w:val="CharStyle10"/>
        </w:rPr>
        <w:t>Ostatní ujednání smlouvy nejsou tímto dodatkem nijak dotčena.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460" w:right="0" w:firstLine="0"/>
        <w:jc w:val="left"/>
      </w:pPr>
      <w:r>
        <w:rPr>
          <w:rStyle w:val="CharStyle10"/>
        </w:rPr>
        <w:t>IVI.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0"/>
        </w:rPr>
        <w:t>Tento dodatek nabývá účinnosti dnem jeho uzavření.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4460" w:right="0" w:firstLine="0"/>
        <w:jc w:val="left"/>
      </w:pPr>
      <w:r>
        <w:rPr>
          <w:rStyle w:val="CharStyle10"/>
        </w:rPr>
        <w:t>V.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02" w:right="514" w:bottom="1745" w:left="1354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10"/>
        </w:rPr>
        <w:t>Dáno v Brně dne 17. 2. 2022 ve dvou originálních písemných vyhotoveních, z nichž každá ze smluvních stran obdrží po jednom.</w:t>
      </w:r>
    </w:p>
    <w:p>
      <w:pPr>
        <w:widowControl w:val="0"/>
        <w:spacing w:before="79" w:after="7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08" w:right="0" w:bottom="885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31"/>
        <w:keepNext w:val="0"/>
        <w:keepLines w:val="0"/>
        <w:framePr w:w="2573" w:h="686" w:wrap="none" w:vAnchor="text" w:hAnchor="page" w:x="1777" w:y="2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Style w:val="CharStyle32"/>
        </w:rPr>
        <w:t>Zdravotnícká záchranná služba</w:t>
        <w:br/>
        <w:t>Jihomoravského kraje, p.o.</w:t>
      </w:r>
    </w:p>
    <w:p>
      <w:pPr>
        <w:pStyle w:val="Style31"/>
        <w:keepNext w:val="0"/>
        <w:keepLines w:val="0"/>
        <w:framePr w:w="2573" w:h="686" w:wrap="none" w:vAnchor="text" w:hAnchor="page" w:x="1777" w:y="2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Style w:val="CharStyle32"/>
        </w:rPr>
        <w:t>Kamenice 7</w:t>
      </w:r>
      <w:r>
        <w:rPr>
          <w:rStyle w:val="CharStyle32"/>
          <w:color w:val="000000"/>
          <w:shd w:val="clear" w:color="auto" w:fill="000000"/>
        </w:rPr>
        <w:t>........​....​.......​.....​</w:t>
      </w:r>
      <w:r>
        <w:rPr>
          <w:rStyle w:val="CharStyle32"/>
          <w:color w:val="000000"/>
          <w:spacing w:val="4"/>
          <w:shd w:val="clear" w:color="auto" w:fill="000000"/>
        </w:rPr>
        <w:t>.....</w:t>
      </w:r>
      <w:r>
        <w:rPr>
          <w:rStyle w:val="CharStyle32"/>
          <w:color w:val="000000"/>
          <w:spacing w:val="5"/>
          <w:shd w:val="clear" w:color="auto" w:fill="000000"/>
        </w:rPr>
        <w:t>..</w:t>
      </w:r>
    </w:p>
    <w:p>
      <w:pPr>
        <w:pStyle w:val="Style31"/>
        <w:keepNext w:val="0"/>
        <w:keepLines w:val="0"/>
        <w:framePr w:w="2165" w:h="1070" w:wrap="none" w:vAnchor="text" w:hAnchor="page" w:x="7134" w:y="21"/>
        <w:widowControl w:val="0"/>
        <w:shd w:val="clear" w:color="auto" w:fill="auto"/>
        <w:tabs>
          <w:tab w:pos="1862" w:val="left"/>
        </w:tabs>
        <w:bidi w:val="0"/>
        <w:spacing w:before="0" w:after="0" w:line="276" w:lineRule="auto"/>
        <w:ind w:left="0" w:right="0" w:firstLine="0"/>
        <w:jc w:val="center"/>
      </w:pPr>
      <w:r>
        <w:rPr>
          <w:rStyle w:val="CharStyle32"/>
          <w:color w:val="888F9C"/>
        </w:rPr>
        <w:t>MEDIPRAX CS s.r.a</w:t>
        <w:br/>
        <w:t>“ Husova 43</w:t>
        <w:tab/>
        <w:t>.</w:t>
      </w:r>
    </w:p>
    <w:p>
      <w:pPr>
        <w:pStyle w:val="Style31"/>
        <w:keepNext w:val="0"/>
        <w:keepLines w:val="0"/>
        <w:framePr w:w="2165" w:h="1070" w:wrap="none" w:vAnchor="text" w:hAnchor="page" w:x="7134" w:y="21"/>
        <w:widowControl w:val="0"/>
        <w:shd w:val="clear" w:color="auto" w:fill="auto"/>
        <w:bidi w:val="0"/>
        <w:spacing w:before="0" w:after="0" w:line="240" w:lineRule="auto"/>
        <w:ind w:left="220" w:right="0" w:hanging="220"/>
        <w:jc w:val="left"/>
      </w:pPr>
      <w:r>
        <w:rPr>
          <w:rStyle w:val="CharStyle32"/>
          <w:color w:val="888F9C"/>
        </w:rPr>
        <w:t>370 05 České B^ějovice Tel./íap335 3iu Tel/fafc 325</w:t>
      </w:r>
    </w:p>
    <w:p>
      <w:pPr>
        <w:pStyle w:val="Style9"/>
        <w:keepNext w:val="0"/>
        <w:keepLines w:val="0"/>
        <w:framePr w:w="2707" w:h="605" w:wrap="none" w:vAnchor="text" w:hAnchor="page" w:x="1432" w:y="1503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Style w:val="CharStyle10"/>
        </w:rPr>
        <w:t xml:space="preserve">MUDr. Hana </w:t>
      </w:r>
      <w:r>
        <w:rPr>
          <w:rStyle w:val="CharStyle10"/>
          <w:spacing w:val="3"/>
          <w:shd w:val="clear" w:color="auto" w:fill="000000"/>
        </w:rPr>
        <w:t>.............</w:t>
      </w:r>
      <w:r>
        <w:rPr>
          <w:rStyle w:val="CharStyle10"/>
          <w:spacing w:val="4"/>
          <w:shd w:val="clear" w:color="auto" w:fill="000000"/>
        </w:rPr>
        <w:t>.....</w:t>
      </w:r>
      <w:r>
        <w:rPr>
          <w:rStyle w:val="CharStyle10"/>
        </w:rPr>
        <w:t xml:space="preserve"> ředitelka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1862455</wp:posOffset>
            </wp:positionH>
            <wp:positionV relativeFrom="paragraph">
              <wp:posOffset>356870</wp:posOffset>
            </wp:positionV>
            <wp:extent cx="1182370" cy="81089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1182370" cy="8108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6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08" w:right="514" w:bottom="885" w:left="135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1914525</wp:posOffset>
                </wp:positionH>
                <wp:positionV relativeFrom="paragraph">
                  <wp:posOffset>12700</wp:posOffset>
                </wp:positionV>
                <wp:extent cx="628015" cy="194945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28015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0"/>
                              </w:rPr>
                              <w:t>Kupující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50.75pt;margin-top:1.pt;width:49.450000000000003pt;height:15.3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Kupující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660" w:right="0" w:firstLine="0"/>
        <w:jc w:val="left"/>
      </w:pPr>
      <w:r>
        <w:rPr>
          <w:rStyle w:val="CharStyle10"/>
        </w:rPr>
        <w:t>Prodávající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508" w:right="1330" w:bottom="1508" w:left="4004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878205</wp:posOffset>
              </wp:positionH>
              <wp:positionV relativeFrom="page">
                <wp:posOffset>10062210</wp:posOffset>
              </wp:positionV>
              <wp:extent cx="4949825" cy="14351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49825" cy="1435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CharStyle5"/>
                              <w:sz w:val="24"/>
                              <w:szCs w:val="24"/>
                            </w:rPr>
                            <w:t>VZ 41-20 Pozáruční servis plicních ventilátorů Medumat (dodatek č. 1 smlouvy)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9.150000000000006pt;margin-top:792.30000000000007pt;width:389.75pt;height:11.3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5"/>
                        <w:sz w:val="24"/>
                        <w:szCs w:val="24"/>
                      </w:rPr>
                      <w:t>VZ 41-20 Pozáruční servis plicních ventilátorů Medumat (dodatek č. 1 smlouvy)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upperRoman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Základní text (3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0">
    <w:name w:val="Základní text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3">
    <w:name w:val="Titulek tabulky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7">
    <w:name w:val="Jiné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32">
    <w:name w:val="Základní text (2)_"/>
    <w:basedOn w:val="DefaultParagraphFont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color w:val="72CEEB"/>
      <w:sz w:val="18"/>
      <w:szCs w:val="18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spacing w:after="60"/>
      <w:ind w:right="118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Základní text (3)"/>
    <w:basedOn w:val="Normal"/>
    <w:link w:val="CharStyle8"/>
    <w:pPr>
      <w:widowControl w:val="0"/>
      <w:shd w:val="clear" w:color="auto" w:fill="auto"/>
      <w:spacing w:after="860"/>
      <w:ind w:right="118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9">
    <w:name w:val="Základní text"/>
    <w:basedOn w:val="Normal"/>
    <w:link w:val="CharStyle10"/>
    <w:pPr>
      <w:widowControl w:val="0"/>
      <w:shd w:val="clear" w:color="auto" w:fill="auto"/>
      <w:spacing w:after="26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12">
    <w:name w:val="Titulek tabulky"/>
    <w:basedOn w:val="Normal"/>
    <w:link w:val="CharStyle1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16">
    <w:name w:val="Jiné"/>
    <w:basedOn w:val="Normal"/>
    <w:link w:val="CharStyle17"/>
    <w:pPr>
      <w:widowControl w:val="0"/>
      <w:shd w:val="clear" w:color="auto" w:fill="auto"/>
      <w:spacing w:after="26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31">
    <w:name w:val="Základní text (2)"/>
    <w:basedOn w:val="Normal"/>
    <w:link w:val="CharStyle32"/>
    <w:pPr>
      <w:widowControl w:val="0"/>
      <w:shd w:val="clear" w:color="auto" w:fill="auto"/>
      <w:spacing w:line="257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72CEEB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/Relationships>
</file>