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26DC7CF9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F835C9">
        <w:rPr>
          <w:b/>
          <w:bCs/>
          <w:sz w:val="24"/>
          <w:szCs w:val="24"/>
        </w:rPr>
        <w:t xml:space="preserve"> </w:t>
      </w:r>
      <w:r w:rsidR="000867B0">
        <w:rPr>
          <w:b/>
          <w:bCs/>
          <w:sz w:val="24"/>
          <w:szCs w:val="24"/>
        </w:rPr>
        <w:t xml:space="preserve">Konvent </w:t>
      </w:r>
      <w:proofErr w:type="spellStart"/>
      <w:r w:rsidR="000867B0">
        <w:rPr>
          <w:b/>
          <w:bCs/>
          <w:sz w:val="24"/>
          <w:szCs w:val="24"/>
        </w:rPr>
        <w:t>Hospit</w:t>
      </w:r>
      <w:proofErr w:type="spellEnd"/>
      <w:r w:rsidR="000867B0">
        <w:rPr>
          <w:b/>
          <w:bCs/>
          <w:sz w:val="24"/>
          <w:szCs w:val="24"/>
        </w:rPr>
        <w:t>. Řádu sv. Jana z Boha – Milosrdných bratří v Brně</w:t>
      </w:r>
      <w:r w:rsidR="00793425">
        <w:rPr>
          <w:b/>
          <w:bCs/>
          <w:sz w:val="24"/>
          <w:szCs w:val="24"/>
        </w:rPr>
        <w:t xml:space="preserve">   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5E3146E6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F835C9">
        <w:rPr>
          <w:b/>
          <w:bCs/>
          <w:sz w:val="24"/>
          <w:szCs w:val="24"/>
        </w:rPr>
        <w:t xml:space="preserve"> </w:t>
      </w:r>
      <w:r w:rsidR="001B0345">
        <w:rPr>
          <w:b/>
          <w:bCs/>
          <w:sz w:val="24"/>
          <w:szCs w:val="24"/>
        </w:rPr>
        <w:t>20</w:t>
      </w:r>
      <w:r w:rsidR="00F835C9">
        <w:rPr>
          <w:b/>
          <w:bCs/>
          <w:sz w:val="24"/>
          <w:szCs w:val="24"/>
        </w:rPr>
        <w:t>.12.2021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2CA377BB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0867B0">
        <w:t>30</w:t>
      </w:r>
      <w:r w:rsidR="002000A6">
        <w:t xml:space="preserve"> ks</w:t>
      </w:r>
      <w: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2B5C033D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0867B0">
        <w:t>60</w:t>
      </w:r>
      <w:r w:rsidR="00F835C9">
        <w:t xml:space="preserve"> ks</w:t>
      </w:r>
      <w:r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867B0"/>
    <w:rsid w:val="000D30BA"/>
    <w:rsid w:val="000F2A15"/>
    <w:rsid w:val="00177903"/>
    <w:rsid w:val="001B0345"/>
    <w:rsid w:val="001B3964"/>
    <w:rsid w:val="001C2B29"/>
    <w:rsid w:val="001C5DE3"/>
    <w:rsid w:val="001D41D7"/>
    <w:rsid w:val="001F34B9"/>
    <w:rsid w:val="002000A6"/>
    <w:rsid w:val="00267C7E"/>
    <w:rsid w:val="00267D8D"/>
    <w:rsid w:val="002D36E7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D2B8D"/>
    <w:rsid w:val="00656571"/>
    <w:rsid w:val="006742AB"/>
    <w:rsid w:val="00687794"/>
    <w:rsid w:val="006B0A87"/>
    <w:rsid w:val="006C2221"/>
    <w:rsid w:val="006D1485"/>
    <w:rsid w:val="007261CD"/>
    <w:rsid w:val="0075641C"/>
    <w:rsid w:val="00793425"/>
    <w:rsid w:val="007A28BA"/>
    <w:rsid w:val="007B5B56"/>
    <w:rsid w:val="007D3AC6"/>
    <w:rsid w:val="007E3A29"/>
    <w:rsid w:val="0085520B"/>
    <w:rsid w:val="00863706"/>
    <w:rsid w:val="0089347E"/>
    <w:rsid w:val="00895D07"/>
    <w:rsid w:val="0089632E"/>
    <w:rsid w:val="008D3D24"/>
    <w:rsid w:val="00921492"/>
    <w:rsid w:val="009411D8"/>
    <w:rsid w:val="009E64ED"/>
    <w:rsid w:val="00A52607"/>
    <w:rsid w:val="00A814C3"/>
    <w:rsid w:val="00AC2338"/>
    <w:rsid w:val="00B11F66"/>
    <w:rsid w:val="00B3689E"/>
    <w:rsid w:val="00B41B47"/>
    <w:rsid w:val="00B7323B"/>
    <w:rsid w:val="00BC0A12"/>
    <w:rsid w:val="00BC365B"/>
    <w:rsid w:val="00C17F0B"/>
    <w:rsid w:val="00C2168E"/>
    <w:rsid w:val="00C26C2B"/>
    <w:rsid w:val="00CD1D55"/>
    <w:rsid w:val="00CD2192"/>
    <w:rsid w:val="00CF3232"/>
    <w:rsid w:val="00CF7D4B"/>
    <w:rsid w:val="00D2222D"/>
    <w:rsid w:val="00D32485"/>
    <w:rsid w:val="00D343C0"/>
    <w:rsid w:val="00D65CE6"/>
    <w:rsid w:val="00D664AF"/>
    <w:rsid w:val="00D77C93"/>
    <w:rsid w:val="00DC7560"/>
    <w:rsid w:val="00DE32BE"/>
    <w:rsid w:val="00DE5519"/>
    <w:rsid w:val="00DE5688"/>
    <w:rsid w:val="00DF1937"/>
    <w:rsid w:val="00E1492F"/>
    <w:rsid w:val="00E20720"/>
    <w:rsid w:val="00E61AC2"/>
    <w:rsid w:val="00E76051"/>
    <w:rsid w:val="00E843FE"/>
    <w:rsid w:val="00EC7B3A"/>
    <w:rsid w:val="00EE1890"/>
    <w:rsid w:val="00F63B7F"/>
    <w:rsid w:val="00F835C9"/>
    <w:rsid w:val="00F9498E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693</Characters>
  <Application>Microsoft Office Word</Application>
  <DocSecurity>0</DocSecurity>
  <Lines>5</Lines>
  <Paragraphs>1</Paragraphs>
  <ScaleCrop>false</ScaleCrop>
  <Company>FTN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2022-02-24T08:19:00Z</dcterms:created>
  <dcterms:modified xsi:type="dcterms:W3CDTF">2022-02-24T08:19:00Z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