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450DF" w14:textId="7B3B39A8" w:rsidR="00992345" w:rsidRPr="00992345" w:rsidRDefault="0006309A" w:rsidP="00992345">
      <w:pPr>
        <w:pStyle w:val="Nzev"/>
        <w:spacing w:before="120"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j.: VÚBP 293</w:t>
      </w:r>
      <w:r w:rsidR="00762BB3" w:rsidRPr="0006309A">
        <w:rPr>
          <w:rFonts w:ascii="Arial" w:hAnsi="Arial" w:cs="Arial"/>
          <w:sz w:val="22"/>
          <w:szCs w:val="22"/>
        </w:rPr>
        <w:t>/II.2/22/2.5</w:t>
      </w:r>
    </w:p>
    <w:p w14:paraId="53488906" w14:textId="77777777" w:rsidR="00992345" w:rsidRPr="00992345" w:rsidRDefault="00BD311E" w:rsidP="00AA2619">
      <w:pPr>
        <w:pStyle w:val="Nzev"/>
        <w:spacing w:before="120" w:after="240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Dodatek č. 1 k RÁMCOVÉ SMLOUVĚ O SPOLUPRÁCI PŘI VÝZKUMU</w:t>
      </w:r>
    </w:p>
    <w:p w14:paraId="69EF3C3D" w14:textId="1DAECA42" w:rsidR="005032AE" w:rsidRPr="00992345" w:rsidRDefault="008F5304" w:rsidP="00AA2619">
      <w:pPr>
        <w:pStyle w:val="Nzev"/>
        <w:spacing w:before="12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E11901">
        <w:rPr>
          <w:rFonts w:ascii="Arial" w:hAnsi="Arial" w:cs="Arial"/>
          <w:b/>
          <w:sz w:val="22"/>
          <w:szCs w:val="22"/>
        </w:rPr>
        <w:t>. 19</w:t>
      </w:r>
      <w:r w:rsidR="00992345" w:rsidRPr="0006309A">
        <w:rPr>
          <w:rFonts w:ascii="Arial" w:hAnsi="Arial" w:cs="Arial"/>
          <w:b/>
          <w:sz w:val="22"/>
          <w:szCs w:val="22"/>
        </w:rPr>
        <w:t>/2022/PROJ</w:t>
      </w:r>
    </w:p>
    <w:p w14:paraId="4B8BD25D" w14:textId="77777777" w:rsidR="005032AE" w:rsidRPr="00992345" w:rsidRDefault="005032AE" w:rsidP="00AA2619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14:paraId="25096400" w14:textId="120FECC1" w:rsidR="005032AE" w:rsidRPr="00992345" w:rsidRDefault="005032AE" w:rsidP="00A74894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I. Smluvní strany:</w:t>
      </w:r>
    </w:p>
    <w:p w14:paraId="744E120A" w14:textId="4EFD3FF3" w:rsidR="005032AE" w:rsidRPr="00992345" w:rsidRDefault="005032AE" w:rsidP="00A74894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Výzkumný ústav bezpečnosti práce, v.</w:t>
      </w:r>
      <w:r w:rsidR="00D8433D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v.</w:t>
      </w:r>
      <w:r w:rsidR="00D8433D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i.</w:t>
      </w:r>
    </w:p>
    <w:p w14:paraId="7216F2C1" w14:textId="10C22F97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se sídl</w:t>
      </w:r>
      <w:r w:rsidR="00AE4F5A">
        <w:rPr>
          <w:rFonts w:ascii="Arial" w:hAnsi="Arial" w:cs="Arial"/>
          <w:sz w:val="22"/>
          <w:szCs w:val="22"/>
        </w:rPr>
        <w:t xml:space="preserve">em: Jeruzalémská 1283/9, 110 00 </w:t>
      </w:r>
      <w:r w:rsidRPr="00992345">
        <w:rPr>
          <w:rFonts w:ascii="Arial" w:hAnsi="Arial" w:cs="Arial"/>
          <w:sz w:val="22"/>
          <w:szCs w:val="22"/>
        </w:rPr>
        <w:t>Praha 1</w:t>
      </w:r>
    </w:p>
    <w:p w14:paraId="756BD052" w14:textId="384428FB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IČ</w:t>
      </w:r>
      <w:r w:rsidR="00992345" w:rsidRPr="00992345">
        <w:rPr>
          <w:rFonts w:ascii="Arial" w:hAnsi="Arial" w:cs="Arial"/>
          <w:sz w:val="22"/>
          <w:szCs w:val="22"/>
        </w:rPr>
        <w:t>O</w:t>
      </w:r>
      <w:r w:rsidRPr="00992345">
        <w:rPr>
          <w:rFonts w:ascii="Arial" w:hAnsi="Arial" w:cs="Arial"/>
          <w:sz w:val="22"/>
          <w:szCs w:val="22"/>
        </w:rPr>
        <w:t>: 00025950</w:t>
      </w:r>
    </w:p>
    <w:p w14:paraId="4423BD85" w14:textId="4A213063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DIČ: CZ00025950</w:t>
      </w:r>
    </w:p>
    <w:p w14:paraId="37EAECB9" w14:textId="12E14876" w:rsidR="005032AE" w:rsidRDefault="00992345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č</w:t>
      </w:r>
      <w:r w:rsidR="005032AE" w:rsidRPr="00992345">
        <w:rPr>
          <w:rFonts w:ascii="Arial" w:hAnsi="Arial" w:cs="Arial"/>
          <w:sz w:val="22"/>
          <w:szCs w:val="22"/>
        </w:rPr>
        <w:t>íslo bankovního účtu: 94-3530031/0710</w:t>
      </w:r>
    </w:p>
    <w:p w14:paraId="1B1D6E2A" w14:textId="1A7E98CE" w:rsidR="00176AEC" w:rsidRPr="00992345" w:rsidRDefault="00176AEC" w:rsidP="00A748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rejstříku veřejných výzkumných institucí vedených Ministerstvem školství, mládeže a tělovýchovy</w:t>
      </w:r>
    </w:p>
    <w:p w14:paraId="4A884A66" w14:textId="1F80965B" w:rsidR="005032AE" w:rsidRPr="00992345" w:rsidRDefault="00992345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z</w:t>
      </w:r>
      <w:r w:rsidR="005032AE" w:rsidRPr="00992345">
        <w:rPr>
          <w:rFonts w:ascii="Arial" w:hAnsi="Arial" w:cs="Arial"/>
          <w:sz w:val="22"/>
          <w:szCs w:val="22"/>
        </w:rPr>
        <w:t>astoupen</w:t>
      </w:r>
      <w:r w:rsidR="00176AEC">
        <w:rPr>
          <w:rFonts w:ascii="Arial" w:hAnsi="Arial" w:cs="Arial"/>
          <w:sz w:val="22"/>
          <w:szCs w:val="22"/>
        </w:rPr>
        <w:t>á</w:t>
      </w:r>
      <w:r w:rsidRPr="00992345">
        <w:rPr>
          <w:rFonts w:ascii="Arial" w:hAnsi="Arial" w:cs="Arial"/>
          <w:sz w:val="22"/>
          <w:szCs w:val="22"/>
        </w:rPr>
        <w:t xml:space="preserve">: </w:t>
      </w:r>
      <w:r w:rsidR="008D22EC" w:rsidRPr="00992345">
        <w:rPr>
          <w:rFonts w:ascii="Arial" w:hAnsi="Arial" w:cs="Arial"/>
          <w:sz w:val="22"/>
          <w:szCs w:val="22"/>
        </w:rPr>
        <w:t>Ph</w:t>
      </w:r>
      <w:r w:rsidR="005032AE" w:rsidRPr="00992345">
        <w:rPr>
          <w:rFonts w:ascii="Arial" w:hAnsi="Arial" w:cs="Arial"/>
          <w:sz w:val="22"/>
          <w:szCs w:val="22"/>
        </w:rPr>
        <w:t xml:space="preserve">Dr. </w:t>
      </w:r>
      <w:r w:rsidR="008D22EC" w:rsidRPr="00992345">
        <w:rPr>
          <w:rFonts w:ascii="Arial" w:hAnsi="Arial" w:cs="Arial"/>
          <w:sz w:val="22"/>
          <w:szCs w:val="22"/>
        </w:rPr>
        <w:t>Davidem Michalíkem</w:t>
      </w:r>
      <w:r w:rsidR="005032AE" w:rsidRPr="00992345">
        <w:rPr>
          <w:rFonts w:ascii="Arial" w:hAnsi="Arial" w:cs="Arial"/>
          <w:sz w:val="22"/>
          <w:szCs w:val="22"/>
        </w:rPr>
        <w:t>, Ph.D.</w:t>
      </w:r>
      <w:r w:rsidRPr="00992345">
        <w:rPr>
          <w:rFonts w:ascii="Arial" w:hAnsi="Arial" w:cs="Arial"/>
          <w:sz w:val="22"/>
          <w:szCs w:val="22"/>
        </w:rPr>
        <w:t>,</w:t>
      </w:r>
      <w:r w:rsidR="00AB3E34" w:rsidRPr="00992345">
        <w:rPr>
          <w:rFonts w:ascii="Arial" w:hAnsi="Arial" w:cs="Arial"/>
          <w:sz w:val="22"/>
          <w:szCs w:val="22"/>
        </w:rPr>
        <w:t xml:space="preserve"> DBA</w:t>
      </w:r>
      <w:r w:rsidR="005032AE" w:rsidRPr="00992345">
        <w:rPr>
          <w:rFonts w:ascii="Arial" w:hAnsi="Arial" w:cs="Arial"/>
          <w:sz w:val="22"/>
          <w:szCs w:val="22"/>
        </w:rPr>
        <w:t>, ředitelem</w:t>
      </w:r>
    </w:p>
    <w:p w14:paraId="699B190C" w14:textId="56F809C6" w:rsidR="005032AE" w:rsidRPr="00992345" w:rsidRDefault="00992345" w:rsidP="00992345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(dále také</w:t>
      </w:r>
      <w:r w:rsidR="005032AE" w:rsidRPr="00992345">
        <w:rPr>
          <w:rFonts w:ascii="Arial" w:hAnsi="Arial" w:cs="Arial"/>
          <w:sz w:val="22"/>
          <w:szCs w:val="22"/>
        </w:rPr>
        <w:t xml:space="preserve"> „příjemce“ nebo „VÚBP“)</w:t>
      </w:r>
    </w:p>
    <w:p w14:paraId="7E1CD412" w14:textId="77777777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</w:p>
    <w:p w14:paraId="3300BA44" w14:textId="77777777" w:rsidR="005032AE" w:rsidRPr="00992345" w:rsidRDefault="005032AE" w:rsidP="00A74894">
      <w:pPr>
        <w:jc w:val="both"/>
        <w:rPr>
          <w:rFonts w:ascii="Arial" w:hAnsi="Arial" w:cs="Arial"/>
          <w:bCs/>
          <w:sz w:val="22"/>
          <w:szCs w:val="22"/>
        </w:rPr>
      </w:pPr>
      <w:r w:rsidRPr="00992345">
        <w:rPr>
          <w:rFonts w:ascii="Arial" w:hAnsi="Arial" w:cs="Arial"/>
          <w:bCs/>
          <w:sz w:val="22"/>
          <w:szCs w:val="22"/>
        </w:rPr>
        <w:t>a</w:t>
      </w:r>
    </w:p>
    <w:p w14:paraId="7750B991" w14:textId="77777777" w:rsidR="00A74894" w:rsidRPr="00992345" w:rsidRDefault="00A74894" w:rsidP="00A74894">
      <w:pPr>
        <w:jc w:val="both"/>
        <w:rPr>
          <w:rFonts w:ascii="Arial" w:hAnsi="Arial" w:cs="Arial"/>
          <w:sz w:val="22"/>
          <w:szCs w:val="22"/>
        </w:rPr>
      </w:pPr>
    </w:p>
    <w:p w14:paraId="2A5F97C6" w14:textId="08286361" w:rsidR="000C593F" w:rsidRPr="00992345" w:rsidRDefault="008F5304" w:rsidP="00A748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HSEF s.r.o.</w:t>
      </w:r>
    </w:p>
    <w:p w14:paraId="304E5814" w14:textId="3BE7E89B" w:rsidR="000C593F" w:rsidRPr="00992345" w:rsidRDefault="000C593F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se sídlem: </w:t>
      </w:r>
      <w:r w:rsidR="008F5304">
        <w:rPr>
          <w:rFonts w:ascii="Arial" w:hAnsi="Arial" w:cs="Arial"/>
          <w:sz w:val="22"/>
          <w:szCs w:val="22"/>
        </w:rPr>
        <w:t>691 81 Březí, Družstevní 84</w:t>
      </w:r>
    </w:p>
    <w:p w14:paraId="1D18429D" w14:textId="27104BAC" w:rsidR="00A74894" w:rsidRPr="00992345" w:rsidRDefault="00A74894" w:rsidP="00992345">
      <w:pPr>
        <w:spacing w:line="264" w:lineRule="auto"/>
        <w:ind w:right="-709" w:firstLine="3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IČ</w:t>
      </w:r>
      <w:r w:rsidR="00992345" w:rsidRPr="00992345">
        <w:rPr>
          <w:rFonts w:ascii="Arial" w:hAnsi="Arial" w:cs="Arial"/>
          <w:sz w:val="22"/>
          <w:szCs w:val="22"/>
        </w:rPr>
        <w:t>O</w:t>
      </w:r>
      <w:r w:rsidRPr="00992345">
        <w:rPr>
          <w:rFonts w:ascii="Arial" w:hAnsi="Arial" w:cs="Arial"/>
          <w:sz w:val="22"/>
          <w:szCs w:val="22"/>
        </w:rPr>
        <w:t xml:space="preserve">: </w:t>
      </w:r>
      <w:r w:rsidR="008F5304">
        <w:rPr>
          <w:rFonts w:ascii="Arial" w:hAnsi="Arial" w:cs="Arial"/>
          <w:sz w:val="22"/>
          <w:szCs w:val="22"/>
        </w:rPr>
        <w:t>29209595</w:t>
      </w:r>
      <w:r w:rsidRPr="00992345">
        <w:rPr>
          <w:rFonts w:ascii="Arial" w:hAnsi="Arial" w:cs="Arial"/>
          <w:sz w:val="22"/>
          <w:szCs w:val="22"/>
        </w:rPr>
        <w:t xml:space="preserve"> </w:t>
      </w:r>
    </w:p>
    <w:p w14:paraId="575D8F3E" w14:textId="0EAD84FE" w:rsidR="00A74894" w:rsidRPr="00992345" w:rsidRDefault="00A74894" w:rsidP="00992345">
      <w:pPr>
        <w:spacing w:line="264" w:lineRule="auto"/>
        <w:ind w:right="-709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DIČ: CZ</w:t>
      </w:r>
      <w:r w:rsidR="00500C20">
        <w:rPr>
          <w:rFonts w:ascii="Arial" w:hAnsi="Arial" w:cs="Arial"/>
          <w:sz w:val="22"/>
          <w:szCs w:val="22"/>
        </w:rPr>
        <w:t>29209595</w:t>
      </w:r>
    </w:p>
    <w:p w14:paraId="52A31B98" w14:textId="24483AE3" w:rsidR="00A74894" w:rsidRPr="00992345" w:rsidRDefault="00500C20" w:rsidP="00992345">
      <w:pPr>
        <w:spacing w:line="264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zapsaná: v obchodním r</w:t>
      </w:r>
      <w:r w:rsidR="008F5304">
        <w:rPr>
          <w:rFonts w:ascii="Arial" w:hAnsi="Arial" w:cs="Arial"/>
          <w:sz w:val="22"/>
          <w:szCs w:val="22"/>
        </w:rPr>
        <w:t>ejstříku vedeným Krajským soudem V Brně, oddíl C, vložka 65891</w:t>
      </w:r>
      <w:r w:rsidR="00A74894" w:rsidRPr="00992345">
        <w:rPr>
          <w:rFonts w:ascii="Arial" w:hAnsi="Arial" w:cs="Arial"/>
          <w:sz w:val="22"/>
          <w:szCs w:val="22"/>
        </w:rPr>
        <w:t xml:space="preserve"> </w:t>
      </w:r>
    </w:p>
    <w:p w14:paraId="595A574B" w14:textId="7023D075" w:rsidR="000C593F" w:rsidRPr="00992345" w:rsidRDefault="008F5304" w:rsidP="00A748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92345" w:rsidRPr="0099234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C339C">
        <w:rPr>
          <w:rFonts w:ascii="Arial" w:hAnsi="Arial" w:cs="Arial"/>
          <w:sz w:val="22"/>
          <w:szCs w:val="22"/>
        </w:rPr>
        <w:t>xxxxxxxxxxxxxxxxxx</w:t>
      </w:r>
      <w:proofErr w:type="spellEnd"/>
      <w:r>
        <w:rPr>
          <w:rFonts w:ascii="Arial" w:hAnsi="Arial" w:cs="Arial"/>
          <w:sz w:val="22"/>
          <w:szCs w:val="22"/>
        </w:rPr>
        <w:t>, jednatelem</w:t>
      </w:r>
    </w:p>
    <w:p w14:paraId="79D3AB1D" w14:textId="237793F9" w:rsidR="000C593F" w:rsidRPr="00992345" w:rsidRDefault="000C593F" w:rsidP="00992345">
      <w:pPr>
        <w:ind w:firstLine="2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(d</w:t>
      </w:r>
      <w:r w:rsidR="00176AEC">
        <w:rPr>
          <w:rFonts w:ascii="Arial" w:hAnsi="Arial" w:cs="Arial"/>
          <w:sz w:val="22"/>
          <w:szCs w:val="22"/>
        </w:rPr>
        <w:t>ále také</w:t>
      </w:r>
      <w:r w:rsidRPr="00992345">
        <w:rPr>
          <w:rFonts w:ascii="Arial" w:hAnsi="Arial" w:cs="Arial"/>
          <w:sz w:val="22"/>
          <w:szCs w:val="22"/>
        </w:rPr>
        <w:t xml:space="preserve"> „další účastník“</w:t>
      </w:r>
      <w:r w:rsidR="00176AEC">
        <w:rPr>
          <w:rFonts w:ascii="Arial" w:hAnsi="Arial" w:cs="Arial"/>
          <w:sz w:val="22"/>
          <w:szCs w:val="22"/>
        </w:rPr>
        <w:t xml:space="preserve"> nebo „</w:t>
      </w:r>
      <w:r w:rsidR="008F5304">
        <w:rPr>
          <w:rFonts w:ascii="Arial" w:hAnsi="Arial" w:cs="Arial"/>
          <w:sz w:val="22"/>
          <w:szCs w:val="22"/>
        </w:rPr>
        <w:t>HSEF</w:t>
      </w:r>
      <w:r w:rsidR="00176AEC">
        <w:rPr>
          <w:rFonts w:ascii="Arial" w:hAnsi="Arial" w:cs="Arial"/>
          <w:sz w:val="22"/>
          <w:szCs w:val="22"/>
        </w:rPr>
        <w:t>“</w:t>
      </w:r>
      <w:r w:rsidRPr="00992345">
        <w:rPr>
          <w:rFonts w:ascii="Arial" w:hAnsi="Arial" w:cs="Arial"/>
          <w:sz w:val="22"/>
          <w:szCs w:val="22"/>
        </w:rPr>
        <w:t>)</w:t>
      </w:r>
    </w:p>
    <w:p w14:paraId="033AEBFE" w14:textId="77777777" w:rsidR="00545D72" w:rsidRPr="00992345" w:rsidRDefault="00545D72" w:rsidP="00AA2619">
      <w:pPr>
        <w:spacing w:before="120" w:after="240"/>
        <w:jc w:val="both"/>
        <w:rPr>
          <w:rFonts w:ascii="Arial" w:hAnsi="Arial" w:cs="Arial"/>
          <w:sz w:val="22"/>
          <w:szCs w:val="22"/>
        </w:rPr>
      </w:pPr>
    </w:p>
    <w:p w14:paraId="7FE9D6E2" w14:textId="09D31E37" w:rsidR="005032AE" w:rsidRPr="00992345" w:rsidRDefault="005032AE" w:rsidP="00AA2619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(společně dále též jako „Smluvní strany“ a každá zvlášť také jako „Smluvní strana“)</w:t>
      </w:r>
    </w:p>
    <w:p w14:paraId="0C063F96" w14:textId="19508189" w:rsidR="00310616" w:rsidRPr="00992345" w:rsidRDefault="005032AE" w:rsidP="00AA2619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SMLUVNÍ STRANY </w:t>
      </w:r>
      <w:r w:rsidR="00FD6181" w:rsidRPr="00992345">
        <w:rPr>
          <w:rFonts w:ascii="Arial" w:hAnsi="Arial" w:cs="Arial"/>
          <w:b/>
          <w:sz w:val="22"/>
          <w:szCs w:val="22"/>
        </w:rPr>
        <w:t>SP</w:t>
      </w:r>
      <w:r w:rsidR="000C593F" w:rsidRPr="00992345">
        <w:rPr>
          <w:rFonts w:ascii="Arial" w:hAnsi="Arial" w:cs="Arial"/>
          <w:b/>
          <w:sz w:val="22"/>
          <w:szCs w:val="22"/>
        </w:rPr>
        <w:t>OLEČNĚ PROHLAŠUJÍ, ŽE SE ROZHODLY</w:t>
      </w:r>
      <w:r w:rsidR="00D65F2D" w:rsidRPr="00992345">
        <w:rPr>
          <w:rFonts w:ascii="Arial" w:hAnsi="Arial" w:cs="Arial"/>
          <w:b/>
          <w:sz w:val="22"/>
          <w:szCs w:val="22"/>
        </w:rPr>
        <w:t xml:space="preserve"> BLÍŽE UPRAVIT A KONKRETIZOVAT </w:t>
      </w:r>
      <w:r w:rsidR="00A12BFF" w:rsidRPr="00992345">
        <w:rPr>
          <w:rFonts w:ascii="Arial" w:hAnsi="Arial" w:cs="Arial"/>
          <w:b/>
          <w:sz w:val="22"/>
          <w:szCs w:val="22"/>
        </w:rPr>
        <w:t>NĚKTERÉ</w:t>
      </w:r>
      <w:r w:rsidR="000C593F" w:rsidRPr="00992345">
        <w:rPr>
          <w:rFonts w:ascii="Arial" w:hAnsi="Arial" w:cs="Arial"/>
          <w:b/>
          <w:sz w:val="22"/>
          <w:szCs w:val="22"/>
        </w:rPr>
        <w:t xml:space="preserve"> </w:t>
      </w:r>
      <w:r w:rsidR="00A12BFF" w:rsidRPr="00992345">
        <w:rPr>
          <w:rFonts w:ascii="Arial" w:hAnsi="Arial" w:cs="Arial"/>
          <w:b/>
          <w:sz w:val="22"/>
          <w:szCs w:val="22"/>
        </w:rPr>
        <w:t xml:space="preserve">DÍLČÍ ASPEKTY </w:t>
      </w:r>
      <w:r w:rsidR="001C1E74" w:rsidRPr="00992345">
        <w:rPr>
          <w:rFonts w:ascii="Arial" w:hAnsi="Arial" w:cs="Arial"/>
          <w:b/>
          <w:sz w:val="22"/>
          <w:szCs w:val="22"/>
        </w:rPr>
        <w:t>PRÁVNÍCH VZTAHŮ VYPLÝVAJÍCÍCH Z</w:t>
      </w:r>
      <w:r w:rsidR="00276C26" w:rsidRPr="00992345">
        <w:rPr>
          <w:rFonts w:ascii="Arial" w:hAnsi="Arial" w:cs="Arial"/>
          <w:b/>
          <w:sz w:val="22"/>
          <w:szCs w:val="22"/>
        </w:rPr>
        <w:t>E</w:t>
      </w:r>
      <w:r w:rsidR="001C1E74" w:rsidRPr="00992345">
        <w:rPr>
          <w:rFonts w:ascii="Arial" w:hAnsi="Arial" w:cs="Arial"/>
          <w:b/>
          <w:sz w:val="22"/>
          <w:szCs w:val="22"/>
        </w:rPr>
        <w:t xml:space="preserve"> </w:t>
      </w:r>
      <w:r w:rsidR="000C593F" w:rsidRPr="00992345">
        <w:rPr>
          <w:rFonts w:ascii="Arial" w:hAnsi="Arial" w:cs="Arial"/>
          <w:b/>
          <w:sz w:val="22"/>
          <w:szCs w:val="22"/>
        </w:rPr>
        <w:t xml:space="preserve">SMLUV </w:t>
      </w:r>
      <w:r w:rsidR="00276C26" w:rsidRPr="00992345">
        <w:rPr>
          <w:rFonts w:ascii="Arial" w:hAnsi="Arial" w:cs="Arial"/>
          <w:b/>
          <w:sz w:val="22"/>
          <w:szCs w:val="22"/>
        </w:rPr>
        <w:t xml:space="preserve">MEZI NIMI UZAVŘEENÝCH, A TO </w:t>
      </w:r>
      <w:r w:rsidR="00534302" w:rsidRPr="00992345">
        <w:rPr>
          <w:rFonts w:ascii="Arial" w:hAnsi="Arial" w:cs="Arial"/>
          <w:b/>
          <w:sz w:val="22"/>
          <w:szCs w:val="22"/>
        </w:rPr>
        <w:t xml:space="preserve">ZPŮSOBEM </w:t>
      </w:r>
      <w:r w:rsidR="00A40BD5" w:rsidRPr="00992345">
        <w:rPr>
          <w:rFonts w:ascii="Arial" w:hAnsi="Arial" w:cs="Arial"/>
          <w:b/>
          <w:sz w:val="22"/>
          <w:szCs w:val="22"/>
        </w:rPr>
        <w:t>UVEDENÝM V</w:t>
      </w:r>
      <w:r w:rsidR="000C593F" w:rsidRPr="00992345">
        <w:rPr>
          <w:rFonts w:ascii="Arial" w:hAnsi="Arial" w:cs="Arial"/>
          <w:b/>
          <w:sz w:val="22"/>
          <w:szCs w:val="22"/>
        </w:rPr>
        <w:t> </w:t>
      </w:r>
      <w:r w:rsidR="00A40BD5" w:rsidRPr="00992345">
        <w:rPr>
          <w:rFonts w:ascii="Arial" w:hAnsi="Arial" w:cs="Arial"/>
          <w:b/>
          <w:sz w:val="22"/>
          <w:szCs w:val="22"/>
        </w:rPr>
        <w:t>T</w:t>
      </w:r>
      <w:r w:rsidR="000C593F" w:rsidRPr="00992345">
        <w:rPr>
          <w:rFonts w:ascii="Arial" w:hAnsi="Arial" w:cs="Arial"/>
          <w:b/>
          <w:sz w:val="22"/>
          <w:szCs w:val="22"/>
        </w:rPr>
        <w:t>ÉTO SMLOUVĚ</w:t>
      </w:r>
      <w:r w:rsidRPr="00992345">
        <w:rPr>
          <w:rFonts w:ascii="Arial" w:hAnsi="Arial" w:cs="Arial"/>
          <w:b/>
          <w:sz w:val="22"/>
          <w:szCs w:val="22"/>
        </w:rPr>
        <w:t>:</w:t>
      </w:r>
    </w:p>
    <w:p w14:paraId="29AD650D" w14:textId="73B2A483" w:rsidR="005032AE" w:rsidRPr="00992345" w:rsidRDefault="005032AE" w:rsidP="00AA2619">
      <w:pPr>
        <w:pStyle w:val="Tun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I. </w:t>
      </w:r>
      <w:r w:rsidR="00AA2619" w:rsidRPr="00992345">
        <w:rPr>
          <w:rFonts w:ascii="Arial" w:hAnsi="Arial" w:cs="Arial"/>
          <w:sz w:val="22"/>
          <w:szCs w:val="22"/>
        </w:rPr>
        <w:t>Deklaratorní ustanovení</w:t>
      </w:r>
      <w:r w:rsidRPr="00992345">
        <w:rPr>
          <w:rFonts w:ascii="Arial" w:hAnsi="Arial" w:cs="Arial"/>
          <w:sz w:val="22"/>
          <w:szCs w:val="22"/>
        </w:rPr>
        <w:t>:</w:t>
      </w:r>
    </w:p>
    <w:p w14:paraId="6360EB0A" w14:textId="6D17F9AD" w:rsidR="00D74F94" w:rsidRPr="00992345" w:rsidRDefault="00D74F94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Smluvní strany sjednaly </w:t>
      </w:r>
      <w:r w:rsidR="008F5304">
        <w:rPr>
          <w:rFonts w:ascii="Arial" w:eastAsia="Calibri" w:hAnsi="Arial" w:cs="Arial"/>
          <w:sz w:val="22"/>
          <w:szCs w:val="22"/>
          <w:lang w:eastAsia="en-US"/>
        </w:rPr>
        <w:t>dne 3. 9. 2019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Rámcovou smlouvu o spolupráci při výzkumu. </w:t>
      </w:r>
    </w:p>
    <w:p w14:paraId="3A7E25BE" w14:textId="79887289" w:rsidR="0087627A" w:rsidRPr="00992345" w:rsidRDefault="0087627A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CA3137" w14:textId="0E807DE1" w:rsidR="00327683" w:rsidRPr="00992345" w:rsidRDefault="00A12BFF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 ohledem na požadavky vyplývající ze zákona č. 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>130/2002 Sb., zákona o podpoře výzkumu a vývoje z veřejných prostředků a o změně některých souvisejících zákonů (zákon o podpoře výzkumu a vývoje), zejména pak ustanovení § 16 a násl. stanov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>uj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 xml:space="preserve">ící povinnost upravit 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 xml:space="preserve">práva 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 xml:space="preserve">nakládání 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>s vědeckými výs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>ledky, jakož i potřebě upravit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 xml:space="preserve"> zvláštní režim ochrany dat, včetně zvláštní úpravy povinnosti zveřejnit některé aspekty spolupráce v registru smluv, včetně potřeby </w:t>
      </w:r>
      <w:r w:rsidR="00250DF9" w:rsidRPr="00992345">
        <w:rPr>
          <w:rFonts w:ascii="Arial" w:eastAsia="Calibri" w:hAnsi="Arial" w:cs="Arial"/>
          <w:sz w:val="22"/>
          <w:szCs w:val="22"/>
          <w:lang w:eastAsia="en-US"/>
        </w:rPr>
        <w:t>stvrdit stav vypořádání vzájemných závazků.</w:t>
      </w:r>
    </w:p>
    <w:p w14:paraId="34243F63" w14:textId="6147CAD1" w:rsidR="001C1E74" w:rsidRDefault="001C1E74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B64274" w14:textId="77777777" w:rsidR="00AD4EB9" w:rsidRPr="00992345" w:rsidRDefault="00AD4EB9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2F9F2C" w14:textId="77737D88" w:rsidR="001C1E74" w:rsidRPr="00992345" w:rsidRDefault="001C1E74" w:rsidP="001C1E74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II. </w:t>
      </w:r>
      <w:r w:rsidR="00250DF9" w:rsidRPr="00992345">
        <w:rPr>
          <w:rFonts w:ascii="Arial" w:hAnsi="Arial" w:cs="Arial"/>
          <w:b/>
          <w:sz w:val="22"/>
          <w:szCs w:val="22"/>
        </w:rPr>
        <w:t xml:space="preserve">Úprava vlastnických a užívacích práv ke společným výsledkům </w:t>
      </w:r>
    </w:p>
    <w:p w14:paraId="5AFA1F18" w14:textId="58103BBC" w:rsidR="001C1E74" w:rsidRPr="00992345" w:rsidRDefault="001C1E74" w:rsidP="001C1E74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2.1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852CB7" w:rsidRPr="00992345">
        <w:rPr>
          <w:rFonts w:ascii="Arial" w:eastAsia="Calibri" w:hAnsi="Arial" w:cs="Arial"/>
          <w:sz w:val="22"/>
          <w:szCs w:val="22"/>
          <w:lang w:eastAsia="en-US"/>
        </w:rPr>
        <w:t>Všechna majetková práva k výsledkům patří příjemci. Práva autorů a původců výsledků a majitelů ochranných práv k nim jsou upravena zvláštními právními předpisy.</w:t>
      </w:r>
    </w:p>
    <w:p w14:paraId="5CC05BBD" w14:textId="2BEB32A4" w:rsidR="001C1E74" w:rsidRDefault="001C1E74" w:rsidP="001C1E74">
      <w:pPr>
        <w:rPr>
          <w:rFonts w:ascii="Arial" w:hAnsi="Arial" w:cs="Arial"/>
          <w:sz w:val="22"/>
          <w:szCs w:val="22"/>
          <w:lang w:val="x-none"/>
        </w:rPr>
      </w:pPr>
    </w:p>
    <w:p w14:paraId="63203754" w14:textId="77777777" w:rsidR="00AD4EB9" w:rsidRPr="00992345" w:rsidRDefault="00AD4EB9" w:rsidP="001C1E74">
      <w:pPr>
        <w:rPr>
          <w:rFonts w:ascii="Arial" w:hAnsi="Arial" w:cs="Arial"/>
          <w:sz w:val="22"/>
          <w:szCs w:val="22"/>
          <w:lang w:val="x-none"/>
        </w:rPr>
      </w:pPr>
    </w:p>
    <w:p w14:paraId="54FBA4E1" w14:textId="2E70A697" w:rsidR="00852CB7" w:rsidRPr="00992345" w:rsidRDefault="00852CB7" w:rsidP="00852CB7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III. Způsob využití výsledků a dobu, do které musí být upl</w:t>
      </w:r>
      <w:r w:rsidR="00176AEC">
        <w:rPr>
          <w:rFonts w:ascii="Arial" w:hAnsi="Arial" w:cs="Arial"/>
          <w:b/>
          <w:sz w:val="22"/>
          <w:szCs w:val="22"/>
        </w:rPr>
        <w:t>atněny</w:t>
      </w:r>
    </w:p>
    <w:p w14:paraId="4F656F3F" w14:textId="32B3B73D" w:rsidR="00D01E0A" w:rsidRPr="00992345" w:rsidRDefault="00852CB7" w:rsidP="00176AE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Všechny </w:t>
      </w:r>
      <w:r w:rsidR="00D01E0A" w:rsidRPr="00992345">
        <w:rPr>
          <w:rFonts w:ascii="Arial" w:eastAsia="Calibri" w:hAnsi="Arial" w:cs="Arial"/>
          <w:sz w:val="22"/>
          <w:szCs w:val="22"/>
          <w:lang w:eastAsia="en-US"/>
        </w:rPr>
        <w:t xml:space="preserve">společné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výsledky </w:t>
      </w:r>
      <w:r w:rsidR="00D01E0A" w:rsidRPr="00992345">
        <w:rPr>
          <w:rFonts w:ascii="Arial" w:eastAsia="Calibri" w:hAnsi="Arial" w:cs="Arial"/>
          <w:sz w:val="22"/>
          <w:szCs w:val="22"/>
          <w:lang w:eastAsia="en-US"/>
        </w:rPr>
        <w:t>jsou oprávněny využívat obě strany této smlouvy</w:t>
      </w:r>
      <w:r w:rsidR="001C1E74" w:rsidRPr="00992345">
        <w:rPr>
          <w:rFonts w:ascii="Arial" w:hAnsi="Arial" w:cs="Arial"/>
          <w:sz w:val="22"/>
          <w:szCs w:val="22"/>
        </w:rPr>
        <w:t xml:space="preserve"> k vědeckým, výukovým a výzkumným činnostem bezplatně.</w:t>
      </w:r>
    </w:p>
    <w:p w14:paraId="251E4326" w14:textId="34B2FB7E" w:rsidR="001C1E74" w:rsidRDefault="001C1E74" w:rsidP="00176AE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Smluvní strany se dohodly, že na uplatnění a dalším vývoji výsledků budou v dobré víře a při zapojení svých nejlepších znalostí a zkušeností spolupracovat po dobu nejméně 5 let od uzavření této Smlouvy.</w:t>
      </w:r>
    </w:p>
    <w:p w14:paraId="65F76D87" w14:textId="77777777" w:rsidR="00AD4EB9" w:rsidRDefault="00AD4EB9" w:rsidP="00AD4EB9">
      <w:pPr>
        <w:jc w:val="both"/>
        <w:rPr>
          <w:rFonts w:ascii="Arial" w:hAnsi="Arial" w:cs="Arial"/>
          <w:sz w:val="22"/>
          <w:szCs w:val="22"/>
        </w:rPr>
      </w:pPr>
    </w:p>
    <w:p w14:paraId="521DA280" w14:textId="77777777" w:rsidR="00AD4EB9" w:rsidRPr="00AD4EB9" w:rsidRDefault="00AD4EB9" w:rsidP="00AD4EB9">
      <w:pPr>
        <w:jc w:val="both"/>
        <w:rPr>
          <w:rFonts w:ascii="Arial" w:hAnsi="Arial" w:cs="Arial"/>
          <w:sz w:val="22"/>
          <w:szCs w:val="22"/>
        </w:rPr>
      </w:pPr>
    </w:p>
    <w:p w14:paraId="794AFB83" w14:textId="3878CA76" w:rsidR="00D01E0A" w:rsidRPr="00992345" w:rsidRDefault="00D01E0A" w:rsidP="00D01E0A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IV. Rozsah stupně důvěrnosti údajů a způsob nakládání s nimi </w:t>
      </w:r>
    </w:p>
    <w:p w14:paraId="06732347" w14:textId="77777777" w:rsidR="00D01E0A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Výsledky řešení projektu, které byly publikovány v odborném tisku, nebo které byly jiným způsobem zveřejněny, netvoří žádné důvěrné informace, se kterými by bylo třeba nakládat podle zvláštních právních předpisů (např. § 504 občanského zákoníku).</w:t>
      </w:r>
    </w:p>
    <w:p w14:paraId="68EA63C8" w14:textId="77777777" w:rsidR="00D01E0A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S informace tvořícími obchodní tajemství (pokud byly jako obchodní tajemství nebo důvěrné informace označeny), jsou Smluvní strany povinny nakládat tak, aby nedošlo k jejich zneužití či neoprávněnému zveřejnění.</w:t>
      </w:r>
    </w:p>
    <w:p w14:paraId="409825C3" w14:textId="61FABA2C" w:rsidR="001C1E74" w:rsidRPr="00AD4EB9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Ochrana obchodního tajemství se nevztahuje na poskytování informací poskytovateli dotace, a to v rozsahu nezbytném pro naplnění podmínek poskytovatele vyplývajících ze smlouvy s poskytovatelem dotace či rozhodnutí o poskytnutí dotace na podporu projektu.</w:t>
      </w:r>
    </w:p>
    <w:p w14:paraId="55EFF7D8" w14:textId="77777777" w:rsidR="00AD4EB9" w:rsidRDefault="00AD4EB9" w:rsidP="00AD4EB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203F028" w14:textId="77777777" w:rsidR="00AD4EB9" w:rsidRPr="00992345" w:rsidRDefault="00AD4EB9" w:rsidP="00AD4EB9">
      <w:pPr>
        <w:pStyle w:val="Odstavecseseznamem"/>
        <w:ind w:left="360"/>
        <w:jc w:val="both"/>
        <w:rPr>
          <w:rFonts w:ascii="Arial" w:hAnsi="Arial" w:cs="Arial"/>
          <w:sz w:val="22"/>
          <w:szCs w:val="22"/>
          <w:lang w:val="x-none"/>
        </w:rPr>
      </w:pPr>
    </w:p>
    <w:p w14:paraId="5B0272BB" w14:textId="6855393B" w:rsidR="00AA2619" w:rsidRPr="00992345" w:rsidRDefault="00D01E0A" w:rsidP="00AA2619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</w:t>
      </w:r>
      <w:r w:rsidR="00AA2619" w:rsidRPr="00992345">
        <w:rPr>
          <w:rFonts w:ascii="Arial" w:hAnsi="Arial" w:cs="Arial"/>
          <w:b/>
          <w:sz w:val="22"/>
          <w:szCs w:val="22"/>
        </w:rPr>
        <w:t xml:space="preserve">. </w:t>
      </w:r>
      <w:r w:rsidR="005B4787" w:rsidRPr="00992345">
        <w:rPr>
          <w:rFonts w:ascii="Arial" w:hAnsi="Arial" w:cs="Arial"/>
          <w:b/>
          <w:sz w:val="22"/>
          <w:szCs w:val="22"/>
        </w:rPr>
        <w:t xml:space="preserve">Potvrzení platnosti </w:t>
      </w:r>
      <w:r w:rsidR="00913B9E" w:rsidRPr="00992345">
        <w:rPr>
          <w:rFonts w:ascii="Arial" w:hAnsi="Arial" w:cs="Arial"/>
          <w:b/>
          <w:sz w:val="22"/>
          <w:szCs w:val="22"/>
        </w:rPr>
        <w:t xml:space="preserve">a závazku vyplývajících ze </w:t>
      </w:r>
      <w:r w:rsidR="00D74F94" w:rsidRPr="00992345">
        <w:rPr>
          <w:rFonts w:ascii="Arial" w:hAnsi="Arial" w:cs="Arial"/>
          <w:b/>
          <w:sz w:val="22"/>
          <w:szCs w:val="22"/>
        </w:rPr>
        <w:t xml:space="preserve">sjednaných </w:t>
      </w:r>
      <w:r w:rsidR="005B4787" w:rsidRPr="00992345">
        <w:rPr>
          <w:rFonts w:ascii="Arial" w:hAnsi="Arial" w:cs="Arial"/>
          <w:b/>
          <w:sz w:val="22"/>
          <w:szCs w:val="22"/>
        </w:rPr>
        <w:t>smluv</w:t>
      </w:r>
    </w:p>
    <w:p w14:paraId="0B91E044" w14:textId="4F26845E" w:rsidR="005B4787" w:rsidRPr="00992345" w:rsidRDefault="00913B9E" w:rsidP="005B4787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5</w:t>
      </w:r>
      <w:r w:rsidR="00360312" w:rsidRPr="00992345">
        <w:rPr>
          <w:rFonts w:ascii="Arial" w:eastAsia="Calibri" w:hAnsi="Arial" w:cs="Arial"/>
          <w:sz w:val="22"/>
          <w:szCs w:val="22"/>
          <w:lang w:eastAsia="en-US"/>
        </w:rPr>
        <w:t xml:space="preserve">.1 </w:t>
      </w:r>
      <w:r w:rsidR="00360312"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Smluvní strany tímto vzájemně p</w:t>
      </w:r>
      <w:r w:rsidR="00AD4EB9">
        <w:rPr>
          <w:rFonts w:ascii="Arial" w:eastAsia="Calibri" w:hAnsi="Arial" w:cs="Arial"/>
          <w:sz w:val="22"/>
          <w:szCs w:val="22"/>
          <w:lang w:eastAsia="en-US"/>
        </w:rPr>
        <w:t>otvrzují, že následující smlouva byla platně sjednána a řádně splněna či je řádně plněna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34AEC47" w14:textId="77777777" w:rsidR="00B8620B" w:rsidRPr="00992345" w:rsidRDefault="00B8620B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F88B74" w14:textId="7727AB5A" w:rsidR="005B4787" w:rsidRPr="00992345" w:rsidRDefault="005B4787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Pr="00483046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B8620B" w:rsidRPr="00483046">
        <w:rPr>
          <w:rFonts w:ascii="Arial" w:eastAsia="Calibri" w:hAnsi="Arial" w:cs="Arial"/>
          <w:sz w:val="22"/>
          <w:szCs w:val="22"/>
          <w:lang w:eastAsia="en-US"/>
        </w:rPr>
        <w:t>Smlouva o účasti na řešení projektu</w:t>
      </w:r>
      <w:r w:rsidR="00F627F0" w:rsidRPr="0048304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3046">
        <w:rPr>
          <w:rFonts w:ascii="Arial" w:eastAsia="Calibri" w:hAnsi="Arial" w:cs="Arial"/>
          <w:sz w:val="22"/>
          <w:szCs w:val="22"/>
          <w:lang w:eastAsia="en-US"/>
        </w:rPr>
        <w:t xml:space="preserve">Prevence </w:t>
      </w:r>
      <w:proofErr w:type="spellStart"/>
      <w:r w:rsidR="00483046">
        <w:rPr>
          <w:rFonts w:ascii="Arial" w:eastAsia="Calibri" w:hAnsi="Arial" w:cs="Arial"/>
          <w:sz w:val="22"/>
          <w:szCs w:val="22"/>
          <w:lang w:eastAsia="en-US"/>
        </w:rPr>
        <w:t>muskuloskeletálních</w:t>
      </w:r>
      <w:proofErr w:type="spellEnd"/>
      <w:r w:rsidR="00483046">
        <w:rPr>
          <w:rFonts w:ascii="Arial" w:eastAsia="Calibri" w:hAnsi="Arial" w:cs="Arial"/>
          <w:sz w:val="22"/>
          <w:szCs w:val="22"/>
          <w:lang w:eastAsia="en-US"/>
        </w:rPr>
        <w:t xml:space="preserve"> poruch v důsledku manipulace s břemeny u specifické vybrané skupiny zaměstnanců </w:t>
      </w:r>
      <w:proofErr w:type="gramStart"/>
      <w:r w:rsidR="00483046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483046">
        <w:rPr>
          <w:rFonts w:ascii="Arial" w:eastAsia="Calibri" w:hAnsi="Arial" w:cs="Arial"/>
          <w:sz w:val="22"/>
          <w:szCs w:val="22"/>
          <w:lang w:eastAsia="en-US"/>
        </w:rPr>
        <w:t xml:space="preserve">: VÚBP 713/II.2/20/2.5 ze dne </w:t>
      </w:r>
      <w:proofErr w:type="gramStart"/>
      <w:r w:rsidR="00483046">
        <w:rPr>
          <w:rFonts w:ascii="Arial" w:eastAsia="Calibri" w:hAnsi="Arial" w:cs="Arial"/>
          <w:sz w:val="22"/>
          <w:szCs w:val="22"/>
          <w:lang w:eastAsia="en-US"/>
        </w:rPr>
        <w:t>12.5.2020</w:t>
      </w:r>
      <w:proofErr w:type="gramEnd"/>
    </w:p>
    <w:p w14:paraId="591158BD" w14:textId="77777777" w:rsidR="00014A99" w:rsidRPr="00992345" w:rsidRDefault="00014A99" w:rsidP="00360312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460DC2" w14:textId="0D3C2DD0" w:rsidR="005B4787" w:rsidRDefault="00913B9E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5</w:t>
      </w:r>
      <w:r w:rsidR="00014A99" w:rsidRPr="00992345">
        <w:rPr>
          <w:rFonts w:ascii="Arial" w:eastAsia="Calibri" w:hAnsi="Arial" w:cs="Arial"/>
          <w:sz w:val="22"/>
          <w:szCs w:val="22"/>
          <w:lang w:eastAsia="en-US"/>
        </w:rPr>
        <w:t xml:space="preserve">.2 </w:t>
      </w:r>
      <w:r w:rsidR="00014A99"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Protože bylo dosaženo účelu zamýšleného sjednan</w:t>
      </w:r>
      <w:r w:rsidR="00AD4EB9">
        <w:rPr>
          <w:rFonts w:ascii="Arial" w:eastAsia="Calibri" w:hAnsi="Arial" w:cs="Arial"/>
          <w:sz w:val="22"/>
          <w:szCs w:val="22"/>
          <w:lang w:eastAsia="en-US"/>
        </w:rPr>
        <w:t>ou smlouvou</w:t>
      </w:r>
      <w:r w:rsidR="00296F3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 nemá žádná ze Smluvních stran úmysl se vůči druhé straně domáhat vrácení dotace, či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poskytnutí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plnění náhrady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jakékoliv případně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způsobené újmy.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>Smluvní strany neuplatní vůči sobě právo dovolat</w:t>
      </w:r>
      <w:r w:rsidR="00AD4EB9">
        <w:rPr>
          <w:rFonts w:ascii="Arial" w:eastAsia="Calibri" w:hAnsi="Arial" w:cs="Arial"/>
          <w:sz w:val="22"/>
          <w:szCs w:val="22"/>
          <w:lang w:eastAsia="en-US"/>
        </w:rPr>
        <w:t xml:space="preserve"> se neplatnosti sjednané smlouvy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46971" w:rsidRPr="009923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Smluvní strany jsou povinny se vzájemně neprodleně informovat, pokud kontrolní orgán či třetí osoba uplatní vůči Smluvní straně jakýkoliv nárok na vrácení plnění poskytnutého dle sjednaných smluv o vědecké spolupráci. </w:t>
      </w:r>
    </w:p>
    <w:p w14:paraId="1C2134CE" w14:textId="77777777" w:rsidR="00AD4EB9" w:rsidRDefault="00AD4EB9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F3897E" w14:textId="77777777" w:rsidR="00AD4EB9" w:rsidRPr="00992345" w:rsidRDefault="00AD4EB9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C75FFC" w14:textId="78B733FF" w:rsidR="005032AE" w:rsidRPr="00992345" w:rsidRDefault="00046971" w:rsidP="00AA2619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VI</w:t>
      </w:r>
      <w:r w:rsidR="00C92893" w:rsidRPr="00992345">
        <w:rPr>
          <w:rFonts w:ascii="Arial" w:hAnsi="Arial" w:cs="Arial"/>
          <w:b/>
          <w:sz w:val="22"/>
          <w:szCs w:val="22"/>
        </w:rPr>
        <w:t>. Závěrečné ustanovení</w:t>
      </w:r>
    </w:p>
    <w:p w14:paraId="3726A30C" w14:textId="5691AC02" w:rsidR="000E48F3" w:rsidRPr="00992345" w:rsidRDefault="00A4000B" w:rsidP="000E48F3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B47ADA" w:rsidRPr="00992345">
        <w:rPr>
          <w:rFonts w:ascii="Arial" w:hAnsi="Arial" w:cs="Arial"/>
          <w:sz w:val="22"/>
          <w:szCs w:val="22"/>
        </w:rPr>
        <w:t xml:space="preserve"> </w:t>
      </w:r>
      <w:r w:rsidR="005032AE" w:rsidRPr="00992345">
        <w:rPr>
          <w:rFonts w:ascii="Arial" w:hAnsi="Arial" w:cs="Arial"/>
          <w:sz w:val="22"/>
          <w:szCs w:val="22"/>
        </w:rPr>
        <w:t>byl uzavřen na základě pravé a svobodné vůle všech smluvních stran, což stvrzují statutární zástupci svými vlastnoručními podpisy.</w:t>
      </w:r>
      <w:r w:rsidR="000E48F3" w:rsidRPr="00992345">
        <w:rPr>
          <w:rFonts w:ascii="Arial" w:hAnsi="Arial" w:cs="Arial"/>
          <w:sz w:val="22"/>
          <w:szCs w:val="22"/>
        </w:rPr>
        <w:t xml:space="preserve"> </w:t>
      </w:r>
    </w:p>
    <w:p w14:paraId="18418283" w14:textId="0636C638" w:rsidR="000E48F3" w:rsidRPr="00992345" w:rsidRDefault="00A4000B" w:rsidP="000E48F3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platnosti dnem jeho uzavření. Účinnosti </w:t>
      </w:r>
      <w:r w:rsidR="000E48F3" w:rsidRPr="00992345">
        <w:rPr>
          <w:rFonts w:ascii="Arial" w:hAnsi="Arial" w:cs="Arial"/>
          <w:sz w:val="22"/>
          <w:szCs w:val="22"/>
        </w:rPr>
        <w:t xml:space="preserve">nabývá </w:t>
      </w:r>
      <w:r>
        <w:rPr>
          <w:rFonts w:ascii="Arial" w:hAnsi="Arial" w:cs="Arial"/>
          <w:sz w:val="22"/>
          <w:szCs w:val="22"/>
        </w:rPr>
        <w:t>Dodatek nejdříve dnem, kdy dojde k jeho</w:t>
      </w:r>
      <w:r w:rsidR="000E48F3" w:rsidRPr="00992345">
        <w:rPr>
          <w:rFonts w:ascii="Arial" w:hAnsi="Arial" w:cs="Arial"/>
          <w:sz w:val="22"/>
          <w:szCs w:val="22"/>
        </w:rPr>
        <w:t xml:space="preserve"> uveřejnění v registru smluv v souladu s § 6 odst. 1 zákona č. 340/2015 Sb., o zvláštních podmínkách účinnosti některých smluv, uveřejňování těchto smluv a o registru smluv (zákon o registru smluv)</w:t>
      </w:r>
      <w:r w:rsidR="00296F3D">
        <w:rPr>
          <w:rFonts w:ascii="Arial" w:hAnsi="Arial" w:cs="Arial"/>
          <w:sz w:val="22"/>
          <w:szCs w:val="22"/>
        </w:rPr>
        <w:t>, ve znění pozdějších předpisů.</w:t>
      </w:r>
    </w:p>
    <w:p w14:paraId="243EA8A1" w14:textId="5DAC2F46" w:rsidR="000E48F3" w:rsidRDefault="000E48F3" w:rsidP="00E3787F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Smluvní strany </w:t>
      </w:r>
      <w:r w:rsidR="00A4000B">
        <w:rPr>
          <w:rFonts w:ascii="Arial" w:hAnsi="Arial" w:cs="Arial"/>
          <w:sz w:val="22"/>
          <w:szCs w:val="22"/>
        </w:rPr>
        <w:t>berou na vědomí, že tento Dodatek bude zveřejněn</w:t>
      </w:r>
      <w:r w:rsidRPr="00992345">
        <w:rPr>
          <w:rFonts w:ascii="Arial" w:hAnsi="Arial" w:cs="Arial"/>
          <w:sz w:val="22"/>
          <w:szCs w:val="22"/>
        </w:rPr>
        <w:t xml:space="preserve"> v registru smluv ve smyslu platné právní úpravy; smluvní strany jso</w:t>
      </w:r>
      <w:r w:rsidR="00A4000B">
        <w:rPr>
          <w:rFonts w:ascii="Arial" w:hAnsi="Arial" w:cs="Arial"/>
          <w:sz w:val="22"/>
          <w:szCs w:val="22"/>
        </w:rPr>
        <w:t>u tak povinny označit údaje v Dodatku</w:t>
      </w:r>
      <w:r w:rsidRPr="00992345">
        <w:rPr>
          <w:rFonts w:ascii="Arial" w:hAnsi="Arial" w:cs="Arial"/>
          <w:sz w:val="22"/>
          <w:szCs w:val="22"/>
        </w:rPr>
        <w:t xml:space="preserve">, </w:t>
      </w:r>
      <w:r w:rsidRPr="00992345">
        <w:rPr>
          <w:rFonts w:ascii="Arial" w:hAnsi="Arial" w:cs="Arial"/>
          <w:sz w:val="22"/>
          <w:szCs w:val="22"/>
        </w:rPr>
        <w:lastRenderedPageBreak/>
        <w:t xml:space="preserve">které jsou chráněny zvláštními zákony a nemohou být poskytnuty. Smluvní strana, která </w:t>
      </w:r>
      <w:r w:rsidR="00A4000B">
        <w:rPr>
          <w:rFonts w:ascii="Arial" w:hAnsi="Arial" w:cs="Arial"/>
          <w:sz w:val="22"/>
          <w:szCs w:val="22"/>
        </w:rPr>
        <w:t xml:space="preserve">Dodatek </w:t>
      </w:r>
      <w:r w:rsidRPr="00992345">
        <w:rPr>
          <w:rFonts w:ascii="Arial" w:hAnsi="Arial" w:cs="Arial"/>
          <w:sz w:val="22"/>
          <w:szCs w:val="22"/>
        </w:rPr>
        <w:t xml:space="preserve">zveřejní, za zveřejnění neoznačených údajů podle předešlé </w:t>
      </w:r>
      <w:r w:rsidR="00A4000B">
        <w:rPr>
          <w:rFonts w:ascii="Arial" w:hAnsi="Arial" w:cs="Arial"/>
          <w:sz w:val="22"/>
          <w:szCs w:val="22"/>
        </w:rPr>
        <w:t>věty nenese žádnou odpovědnost.</w:t>
      </w:r>
    </w:p>
    <w:p w14:paraId="59D58E9E" w14:textId="0403D3E8" w:rsidR="00A4000B" w:rsidRPr="00A4000B" w:rsidRDefault="00A4000B" w:rsidP="00A4000B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dvou výtiscích. Každá ze smluvních stran obdrží po jednom originálním výtisku.</w:t>
      </w:r>
    </w:p>
    <w:p w14:paraId="241C4BB0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243C919D" w14:textId="2752C123" w:rsidR="00F34DF6" w:rsidRPr="00992345" w:rsidRDefault="00F34DF6" w:rsidP="00F34DF6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V Praze dne: </w:t>
      </w:r>
      <w:r w:rsidR="00046971" w:rsidRPr="00992345">
        <w:rPr>
          <w:rFonts w:ascii="Arial" w:hAnsi="Arial" w:cs="Arial"/>
          <w:sz w:val="22"/>
          <w:szCs w:val="22"/>
        </w:rPr>
        <w:t>31</w:t>
      </w:r>
      <w:r w:rsidRPr="00992345">
        <w:rPr>
          <w:rFonts w:ascii="Arial" w:hAnsi="Arial" w:cs="Arial"/>
          <w:sz w:val="22"/>
          <w:szCs w:val="22"/>
        </w:rPr>
        <w:t>. ledna 2022</w:t>
      </w:r>
    </w:p>
    <w:p w14:paraId="3F24F786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6E12264A" w14:textId="1925F4B6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60299EA4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7A8406C2" w14:textId="77777777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36043571" w14:textId="1DC69BC2" w:rsidR="005032AE" w:rsidRPr="00992345" w:rsidRDefault="005032AE" w:rsidP="00035851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 w:rsidRPr="00992345">
        <w:rPr>
          <w:rFonts w:ascii="Arial" w:hAnsi="Arial" w:cs="Arial"/>
          <w:b/>
          <w:sz w:val="22"/>
          <w:szCs w:val="22"/>
        </w:rPr>
        <w:t>Výzkumný ústav bezpečnosti práce, v.</w:t>
      </w:r>
      <w:r w:rsidR="00325D46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v.</w:t>
      </w:r>
      <w:r w:rsidR="00325D46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i.</w:t>
      </w:r>
    </w:p>
    <w:p w14:paraId="5A82F85B" w14:textId="16C30ACB" w:rsidR="005032AE" w:rsidRPr="00992345" w:rsidRDefault="00A37B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PhDr. David Michalík</w:t>
      </w:r>
      <w:r w:rsidR="005032AE" w:rsidRPr="00992345">
        <w:rPr>
          <w:rFonts w:ascii="Arial" w:hAnsi="Arial" w:cs="Arial"/>
          <w:sz w:val="22"/>
          <w:szCs w:val="22"/>
        </w:rPr>
        <w:t>, Ph.D.</w:t>
      </w:r>
      <w:r w:rsidR="00296F3D">
        <w:rPr>
          <w:rFonts w:ascii="Arial" w:hAnsi="Arial" w:cs="Arial"/>
          <w:sz w:val="22"/>
          <w:szCs w:val="22"/>
        </w:rPr>
        <w:t>, DBA</w:t>
      </w:r>
    </w:p>
    <w:p w14:paraId="6D7E9FC3" w14:textId="797D5CB5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ředitel </w:t>
      </w:r>
    </w:p>
    <w:p w14:paraId="595A8656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2DC3DA7A" w14:textId="77777777" w:rsidR="005032AE" w:rsidRDefault="005032AE" w:rsidP="00035851">
      <w:pPr>
        <w:jc w:val="both"/>
        <w:rPr>
          <w:rFonts w:ascii="Arial" w:hAnsi="Arial" w:cs="Arial"/>
          <w:sz w:val="22"/>
          <w:szCs w:val="22"/>
        </w:rPr>
      </w:pPr>
    </w:p>
    <w:p w14:paraId="675227FB" w14:textId="77777777" w:rsidR="00296F3D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55D4C576" w14:textId="77777777" w:rsidR="00296F3D" w:rsidRPr="00992345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7559EAAD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567D1F48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4DA13DAE" w14:textId="2CC82D2A" w:rsidR="005032AE" w:rsidRPr="00992345" w:rsidRDefault="006E3314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V </w:t>
      </w:r>
      <w:r w:rsidR="00A37BAE" w:rsidRPr="00992345">
        <w:rPr>
          <w:rFonts w:ascii="Arial" w:hAnsi="Arial" w:cs="Arial"/>
          <w:sz w:val="22"/>
          <w:szCs w:val="22"/>
        </w:rPr>
        <w:t>Praze</w:t>
      </w:r>
      <w:r w:rsidR="005032AE" w:rsidRPr="00992345">
        <w:rPr>
          <w:rFonts w:ascii="Arial" w:hAnsi="Arial" w:cs="Arial"/>
          <w:sz w:val="22"/>
          <w:szCs w:val="22"/>
        </w:rPr>
        <w:t xml:space="preserve"> dne: </w:t>
      </w:r>
      <w:r w:rsidR="00046971" w:rsidRPr="00992345">
        <w:rPr>
          <w:rFonts w:ascii="Arial" w:hAnsi="Arial" w:cs="Arial"/>
          <w:sz w:val="22"/>
          <w:szCs w:val="22"/>
        </w:rPr>
        <w:t>31</w:t>
      </w:r>
      <w:r w:rsidR="00035851" w:rsidRPr="00992345">
        <w:rPr>
          <w:rFonts w:ascii="Arial" w:hAnsi="Arial" w:cs="Arial"/>
          <w:sz w:val="22"/>
          <w:szCs w:val="22"/>
        </w:rPr>
        <w:t xml:space="preserve">. </w:t>
      </w:r>
      <w:r w:rsidR="00F34DF6" w:rsidRPr="00992345">
        <w:rPr>
          <w:rFonts w:ascii="Arial" w:hAnsi="Arial" w:cs="Arial"/>
          <w:sz w:val="22"/>
          <w:szCs w:val="22"/>
        </w:rPr>
        <w:t>ledna</w:t>
      </w:r>
      <w:r w:rsidR="00035851" w:rsidRPr="00992345">
        <w:rPr>
          <w:rFonts w:ascii="Arial" w:hAnsi="Arial" w:cs="Arial"/>
          <w:sz w:val="22"/>
          <w:szCs w:val="22"/>
        </w:rPr>
        <w:t xml:space="preserve"> 202</w:t>
      </w:r>
      <w:r w:rsidR="00F34DF6" w:rsidRPr="00992345">
        <w:rPr>
          <w:rFonts w:ascii="Arial" w:hAnsi="Arial" w:cs="Arial"/>
          <w:sz w:val="22"/>
          <w:szCs w:val="22"/>
        </w:rPr>
        <w:t>2</w:t>
      </w:r>
    </w:p>
    <w:p w14:paraId="3DC8215D" w14:textId="5A2B1AFB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</w:p>
    <w:p w14:paraId="42B7045F" w14:textId="77777777" w:rsidR="00035851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5EA834AE" w14:textId="77777777" w:rsidR="00296F3D" w:rsidRPr="00992345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41B4CEDE" w14:textId="77777777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6CE8C958" w14:textId="57187E48" w:rsidR="00F34DF6" w:rsidRPr="00992345" w:rsidRDefault="005032AE" w:rsidP="00F34DF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 w:rsidR="009C2E89">
        <w:rPr>
          <w:rFonts w:ascii="Arial" w:hAnsi="Arial" w:cs="Arial"/>
          <w:b/>
          <w:sz w:val="22"/>
          <w:szCs w:val="22"/>
        </w:rPr>
        <w:t>HSEF s.r.o.</w:t>
      </w:r>
      <w:r w:rsidR="00F34DF6" w:rsidRPr="00992345">
        <w:rPr>
          <w:rFonts w:ascii="Arial" w:hAnsi="Arial" w:cs="Arial"/>
          <w:b/>
          <w:sz w:val="22"/>
          <w:szCs w:val="22"/>
        </w:rPr>
        <w:t xml:space="preserve"> </w:t>
      </w:r>
    </w:p>
    <w:p w14:paraId="304616EA" w14:textId="2A098A55" w:rsidR="00FE51F8" w:rsidRPr="00992345" w:rsidRDefault="004C339C" w:rsidP="00F34DF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9C2E89">
        <w:rPr>
          <w:rFonts w:ascii="Arial" w:hAnsi="Arial" w:cs="Arial"/>
          <w:sz w:val="22"/>
          <w:szCs w:val="22"/>
        </w:rPr>
        <w:t>h</w:t>
      </w:r>
      <w:proofErr w:type="spellEnd"/>
      <w:r w:rsidR="009C2E89">
        <w:rPr>
          <w:rFonts w:ascii="Arial" w:hAnsi="Arial" w:cs="Arial"/>
          <w:sz w:val="22"/>
          <w:szCs w:val="22"/>
        </w:rPr>
        <w:t>, jednatel</w:t>
      </w:r>
    </w:p>
    <w:sectPr w:rsidR="00FE51F8" w:rsidRPr="00992345" w:rsidSect="00992345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8F11" w14:textId="77777777" w:rsidR="00785650" w:rsidRDefault="00785650" w:rsidP="00AB3E34">
      <w:r>
        <w:separator/>
      </w:r>
    </w:p>
  </w:endnote>
  <w:endnote w:type="continuationSeparator" w:id="0">
    <w:p w14:paraId="3A1F6D3E" w14:textId="77777777" w:rsidR="00785650" w:rsidRDefault="00785650" w:rsidP="00A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01802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60C3DF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F46F590" w14:textId="77777777" w:rsidR="00AB3E34" w:rsidRDefault="00AB3E34" w:rsidP="00AB3E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5031166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F51FEEA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C339C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57ACFF3E" w14:textId="77777777" w:rsidR="00AB3E34" w:rsidRDefault="00AB3E34" w:rsidP="00AB3E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EB4FC" w14:textId="77777777" w:rsidR="00785650" w:rsidRDefault="00785650" w:rsidP="00AB3E34">
      <w:r>
        <w:separator/>
      </w:r>
    </w:p>
  </w:footnote>
  <w:footnote w:type="continuationSeparator" w:id="0">
    <w:p w14:paraId="2258892E" w14:textId="77777777" w:rsidR="00785650" w:rsidRDefault="00785650" w:rsidP="00AB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BCEC" w14:textId="77777777" w:rsidR="00992345" w:rsidRPr="00483211" w:rsidRDefault="00992345" w:rsidP="00992345">
    <w:pPr>
      <w:spacing w:before="57"/>
      <w:rPr>
        <w:caps/>
        <w:sz w:val="3"/>
        <w:szCs w:val="3"/>
      </w:rPr>
    </w:pPr>
    <w:r>
      <w:rPr>
        <w:caps/>
        <w:noProof/>
      </w:rPr>
      <w:drawing>
        <wp:anchor distT="0" distB="0" distL="114300" distR="114300" simplePos="0" relativeHeight="251659264" behindDoc="0" locked="0" layoutInCell="1" allowOverlap="1" wp14:anchorId="486753AF" wp14:editId="3F0238C4">
          <wp:simplePos x="0" y="0"/>
          <wp:positionH relativeFrom="page">
            <wp:posOffset>5928360</wp:posOffset>
          </wp:positionH>
          <wp:positionV relativeFrom="page">
            <wp:posOffset>544269</wp:posOffset>
          </wp:positionV>
          <wp:extent cx="904875" cy="568177"/>
          <wp:effectExtent l="0" t="0" r="9525" b="0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BP_znacka_ochranna_zona (RGB) 16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681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FE7">
      <w:rPr>
        <w:rFonts w:ascii="Arial-BoldMT" w:hAnsi="Arial-BoldMT" w:cs="Arial-BoldMT"/>
        <w:b/>
        <w:bCs/>
      </w:rPr>
      <w:t>Výzkumný ústav bezpečnosti práce</w:t>
    </w:r>
    <w:r w:rsidRPr="00A01FE7">
      <w:rPr>
        <w:rFonts w:ascii="Arial-BoldMT" w:hAnsi="Arial-BoldMT" w:cs="Arial-BoldMT"/>
        <w:b/>
        <w:bCs/>
        <w:caps/>
      </w:rPr>
      <w:t xml:space="preserve">, </w:t>
    </w:r>
    <w:r w:rsidRPr="00A01FE7">
      <w:rPr>
        <w:rFonts w:ascii="Arial-BoldMT" w:hAnsi="Arial-BoldMT" w:cs="Arial-BoldMT"/>
        <w:b/>
        <w:bCs/>
      </w:rPr>
      <w:t>v. v. i.</w:t>
    </w:r>
    <w:r>
      <w:rPr>
        <w:b/>
        <w:bCs/>
      </w:rPr>
      <w:br/>
    </w:r>
  </w:p>
  <w:p w14:paraId="46C58EBD" w14:textId="77777777" w:rsidR="00992345" w:rsidRPr="0055108E" w:rsidRDefault="00992345" w:rsidP="00992345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2401BCCF" w14:textId="77777777" w:rsidR="00992345" w:rsidRPr="0055108E" w:rsidRDefault="00992345" w:rsidP="00992345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71B503FF" w14:textId="77777777" w:rsidR="00992345" w:rsidRDefault="00992345" w:rsidP="00992345">
    <w:pPr>
      <w:rPr>
        <w:b/>
        <w:bC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b/>
        <w:bCs/>
      </w:rPr>
      <w:t xml:space="preserve"> </w:t>
    </w:r>
  </w:p>
  <w:p w14:paraId="5D67DE85" w14:textId="77777777" w:rsidR="00992345" w:rsidRDefault="009923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5DC"/>
    <w:multiLevelType w:val="multilevel"/>
    <w:tmpl w:val="F356EB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770785"/>
    <w:multiLevelType w:val="multilevel"/>
    <w:tmpl w:val="76784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73C1"/>
    <w:multiLevelType w:val="hybridMultilevel"/>
    <w:tmpl w:val="1F6AA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5C4"/>
    <w:multiLevelType w:val="multilevel"/>
    <w:tmpl w:val="96A264E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" w15:restartNumberingAfterBreak="0">
    <w:nsid w:val="260F518D"/>
    <w:multiLevelType w:val="hybridMultilevel"/>
    <w:tmpl w:val="9F1C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EC2"/>
    <w:multiLevelType w:val="hybridMultilevel"/>
    <w:tmpl w:val="0A92BF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1F89"/>
    <w:multiLevelType w:val="singleLevel"/>
    <w:tmpl w:val="29AC2B22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7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F37BD8"/>
    <w:multiLevelType w:val="multilevel"/>
    <w:tmpl w:val="B11E752A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Times New Roman" w:hint="default"/>
      </w:rPr>
    </w:lvl>
  </w:abstractNum>
  <w:abstractNum w:abstractNumId="9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115"/>
    <w:multiLevelType w:val="hybridMultilevel"/>
    <w:tmpl w:val="582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422F"/>
    <w:multiLevelType w:val="hybridMultilevel"/>
    <w:tmpl w:val="73AE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21A4"/>
    <w:multiLevelType w:val="hybridMultilevel"/>
    <w:tmpl w:val="A7EA3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62514"/>
    <w:multiLevelType w:val="hybridMultilevel"/>
    <w:tmpl w:val="534AC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C0CF8"/>
    <w:multiLevelType w:val="multilevel"/>
    <w:tmpl w:val="2C9E23C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2679" w:hanging="360"/>
      </w:pPr>
    </w:lvl>
    <w:lvl w:ilvl="2">
      <w:start w:val="1"/>
      <w:numFmt w:val="lowerRoman"/>
      <w:lvlText w:val="%3)"/>
      <w:lvlJc w:val="left"/>
      <w:pPr>
        <w:ind w:left="3039" w:hanging="360"/>
      </w:pPr>
    </w:lvl>
    <w:lvl w:ilvl="3">
      <w:start w:val="1"/>
      <w:numFmt w:val="decimal"/>
      <w:lvlText w:val="(%4)"/>
      <w:lvlJc w:val="left"/>
      <w:pPr>
        <w:ind w:left="3399" w:hanging="360"/>
      </w:pPr>
    </w:lvl>
    <w:lvl w:ilvl="4">
      <w:start w:val="1"/>
      <w:numFmt w:val="lowerLetter"/>
      <w:lvlText w:val="(%5)"/>
      <w:lvlJc w:val="left"/>
      <w:pPr>
        <w:ind w:left="3759" w:hanging="360"/>
      </w:pPr>
    </w:lvl>
    <w:lvl w:ilvl="5">
      <w:start w:val="1"/>
      <w:numFmt w:val="lowerRoman"/>
      <w:lvlText w:val="(%6)"/>
      <w:lvlJc w:val="left"/>
      <w:pPr>
        <w:ind w:left="4119" w:hanging="360"/>
      </w:pPr>
    </w:lvl>
    <w:lvl w:ilvl="6">
      <w:start w:val="1"/>
      <w:numFmt w:val="decimal"/>
      <w:lvlText w:val="%7."/>
      <w:lvlJc w:val="left"/>
      <w:pPr>
        <w:ind w:left="4479" w:hanging="360"/>
      </w:pPr>
    </w:lvl>
    <w:lvl w:ilvl="7">
      <w:start w:val="1"/>
      <w:numFmt w:val="lowerLetter"/>
      <w:lvlText w:val="%8."/>
      <w:lvlJc w:val="left"/>
      <w:pPr>
        <w:ind w:left="4839" w:hanging="360"/>
      </w:pPr>
    </w:lvl>
    <w:lvl w:ilvl="8">
      <w:start w:val="1"/>
      <w:numFmt w:val="lowerRoman"/>
      <w:lvlText w:val="%9."/>
      <w:lvlJc w:val="left"/>
      <w:pPr>
        <w:ind w:left="5199" w:hanging="360"/>
      </w:pPr>
    </w:lvl>
  </w:abstractNum>
  <w:abstractNum w:abstractNumId="16" w15:restartNumberingAfterBreak="0">
    <w:nsid w:val="76543E50"/>
    <w:multiLevelType w:val="hybridMultilevel"/>
    <w:tmpl w:val="7F32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B1386"/>
    <w:multiLevelType w:val="hybridMultilevel"/>
    <w:tmpl w:val="779C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29BA"/>
    <w:multiLevelType w:val="hybridMultilevel"/>
    <w:tmpl w:val="2496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F088E"/>
    <w:multiLevelType w:val="hybridMultilevel"/>
    <w:tmpl w:val="C5B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19"/>
  </w:num>
  <w:num w:numId="6">
    <w:abstractNumId w:val="12"/>
  </w:num>
  <w:num w:numId="7">
    <w:abstractNumId w:val="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AE"/>
    <w:rsid w:val="00005FCA"/>
    <w:rsid w:val="00010B37"/>
    <w:rsid w:val="00014A99"/>
    <w:rsid w:val="0002601E"/>
    <w:rsid w:val="00026884"/>
    <w:rsid w:val="00035851"/>
    <w:rsid w:val="00042E3A"/>
    <w:rsid w:val="00046971"/>
    <w:rsid w:val="0006309A"/>
    <w:rsid w:val="000B04A5"/>
    <w:rsid w:val="000C1C14"/>
    <w:rsid w:val="000C593F"/>
    <w:rsid w:val="000E48F3"/>
    <w:rsid w:val="000E4B99"/>
    <w:rsid w:val="00110E8B"/>
    <w:rsid w:val="00176AEC"/>
    <w:rsid w:val="00191451"/>
    <w:rsid w:val="001B1D5D"/>
    <w:rsid w:val="001C1E74"/>
    <w:rsid w:val="002044EE"/>
    <w:rsid w:val="002348A1"/>
    <w:rsid w:val="00250DF9"/>
    <w:rsid w:val="00274FEB"/>
    <w:rsid w:val="00276C26"/>
    <w:rsid w:val="002814DC"/>
    <w:rsid w:val="00296F3D"/>
    <w:rsid w:val="002A5C70"/>
    <w:rsid w:val="002B5CFB"/>
    <w:rsid w:val="002D3D10"/>
    <w:rsid w:val="00310616"/>
    <w:rsid w:val="00325D46"/>
    <w:rsid w:val="00327683"/>
    <w:rsid w:val="00360312"/>
    <w:rsid w:val="00376BE8"/>
    <w:rsid w:val="003B37B3"/>
    <w:rsid w:val="003B6EE8"/>
    <w:rsid w:val="003D19BD"/>
    <w:rsid w:val="003F7EA0"/>
    <w:rsid w:val="00407623"/>
    <w:rsid w:val="00430517"/>
    <w:rsid w:val="00453D92"/>
    <w:rsid w:val="00483046"/>
    <w:rsid w:val="004B7AB1"/>
    <w:rsid w:val="004C339C"/>
    <w:rsid w:val="004D3986"/>
    <w:rsid w:val="00500C20"/>
    <w:rsid w:val="005032AE"/>
    <w:rsid w:val="005130C0"/>
    <w:rsid w:val="00534302"/>
    <w:rsid w:val="00545D72"/>
    <w:rsid w:val="005742E3"/>
    <w:rsid w:val="005B4787"/>
    <w:rsid w:val="005C7EFA"/>
    <w:rsid w:val="005E262E"/>
    <w:rsid w:val="00647580"/>
    <w:rsid w:val="0065452D"/>
    <w:rsid w:val="006B1528"/>
    <w:rsid w:val="006B626C"/>
    <w:rsid w:val="006C6270"/>
    <w:rsid w:val="006C6FB3"/>
    <w:rsid w:val="006E3314"/>
    <w:rsid w:val="0070167F"/>
    <w:rsid w:val="00733D24"/>
    <w:rsid w:val="007370B4"/>
    <w:rsid w:val="0074765C"/>
    <w:rsid w:val="0075378C"/>
    <w:rsid w:val="00762BB3"/>
    <w:rsid w:val="00770E0A"/>
    <w:rsid w:val="00785650"/>
    <w:rsid w:val="007A7483"/>
    <w:rsid w:val="007C106E"/>
    <w:rsid w:val="007E06C3"/>
    <w:rsid w:val="00852CB7"/>
    <w:rsid w:val="00865231"/>
    <w:rsid w:val="0087627A"/>
    <w:rsid w:val="008833C3"/>
    <w:rsid w:val="008C15EE"/>
    <w:rsid w:val="008D22EC"/>
    <w:rsid w:val="008F5304"/>
    <w:rsid w:val="00913B9E"/>
    <w:rsid w:val="00992345"/>
    <w:rsid w:val="0099433A"/>
    <w:rsid w:val="009C2E89"/>
    <w:rsid w:val="009E6E12"/>
    <w:rsid w:val="00A12BFF"/>
    <w:rsid w:val="00A15D97"/>
    <w:rsid w:val="00A239DC"/>
    <w:rsid w:val="00A32655"/>
    <w:rsid w:val="00A37BAE"/>
    <w:rsid w:val="00A4000B"/>
    <w:rsid w:val="00A40BD5"/>
    <w:rsid w:val="00A51DD6"/>
    <w:rsid w:val="00A521AC"/>
    <w:rsid w:val="00A52D3D"/>
    <w:rsid w:val="00A65C06"/>
    <w:rsid w:val="00A74894"/>
    <w:rsid w:val="00A978A3"/>
    <w:rsid w:val="00AA2619"/>
    <w:rsid w:val="00AA3487"/>
    <w:rsid w:val="00AB3E34"/>
    <w:rsid w:val="00AD4EB9"/>
    <w:rsid w:val="00AE4F5A"/>
    <w:rsid w:val="00B12712"/>
    <w:rsid w:val="00B26299"/>
    <w:rsid w:val="00B47ADA"/>
    <w:rsid w:val="00B6749C"/>
    <w:rsid w:val="00B8620B"/>
    <w:rsid w:val="00B9662D"/>
    <w:rsid w:val="00BB7DFC"/>
    <w:rsid w:val="00BD2769"/>
    <w:rsid w:val="00BD311E"/>
    <w:rsid w:val="00BE05AE"/>
    <w:rsid w:val="00BF3110"/>
    <w:rsid w:val="00BF425E"/>
    <w:rsid w:val="00BF7C7A"/>
    <w:rsid w:val="00C41EE3"/>
    <w:rsid w:val="00C56014"/>
    <w:rsid w:val="00C92893"/>
    <w:rsid w:val="00CD3A52"/>
    <w:rsid w:val="00CD54C9"/>
    <w:rsid w:val="00CE43F1"/>
    <w:rsid w:val="00D01E0A"/>
    <w:rsid w:val="00D27113"/>
    <w:rsid w:val="00D35DCD"/>
    <w:rsid w:val="00D65F2D"/>
    <w:rsid w:val="00D74F94"/>
    <w:rsid w:val="00D8433D"/>
    <w:rsid w:val="00D865F6"/>
    <w:rsid w:val="00D935D6"/>
    <w:rsid w:val="00D96D90"/>
    <w:rsid w:val="00DA783E"/>
    <w:rsid w:val="00DD44EA"/>
    <w:rsid w:val="00DE2B75"/>
    <w:rsid w:val="00DF3BBA"/>
    <w:rsid w:val="00E11901"/>
    <w:rsid w:val="00E13998"/>
    <w:rsid w:val="00E3448C"/>
    <w:rsid w:val="00E3787F"/>
    <w:rsid w:val="00E60786"/>
    <w:rsid w:val="00EB1598"/>
    <w:rsid w:val="00EB67E3"/>
    <w:rsid w:val="00F34DF6"/>
    <w:rsid w:val="00F52375"/>
    <w:rsid w:val="00F627F0"/>
    <w:rsid w:val="00F83BE1"/>
    <w:rsid w:val="00F902FA"/>
    <w:rsid w:val="00F936F9"/>
    <w:rsid w:val="00FA2FF5"/>
    <w:rsid w:val="00FB5B13"/>
    <w:rsid w:val="00FD6181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D6AF2"/>
  <w15:chartTrackingRefBased/>
  <w15:docId w15:val="{B806703B-8153-453F-8BCF-5065C439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1C1E74"/>
    <w:pPr>
      <w:keepNext/>
      <w:keepLines/>
      <w:numPr>
        <w:numId w:val="17"/>
      </w:numPr>
      <w:spacing w:before="120" w:after="120"/>
      <w:outlineLvl w:val="0"/>
    </w:pPr>
    <w:rPr>
      <w:rFonts w:ascii="Times New Roman Bold" w:hAnsi="Times New Roman Bold"/>
      <w:b/>
      <w:smallCaps/>
      <w:kern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C1E74"/>
    <w:pPr>
      <w:numPr>
        <w:ilvl w:val="1"/>
        <w:numId w:val="17"/>
      </w:numPr>
      <w:tabs>
        <w:tab w:val="num" w:pos="851"/>
      </w:tabs>
      <w:spacing w:before="60" w:after="120"/>
      <w:ind w:left="0" w:firstLine="340"/>
      <w:jc w:val="both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qFormat/>
    <w:rsid w:val="001C1E74"/>
    <w:pPr>
      <w:numPr>
        <w:ilvl w:val="2"/>
        <w:numId w:val="17"/>
      </w:numPr>
      <w:tabs>
        <w:tab w:val="num" w:pos="1418"/>
      </w:tabs>
      <w:spacing w:before="120" w:after="120"/>
      <w:ind w:left="1418" w:hanging="851"/>
      <w:jc w:val="both"/>
      <w:outlineLvl w:val="2"/>
    </w:pPr>
    <w:rPr>
      <w:lang w:val="x-none"/>
    </w:rPr>
  </w:style>
  <w:style w:type="paragraph" w:styleId="Nadpis5">
    <w:name w:val="heading 5"/>
    <w:basedOn w:val="Normln"/>
    <w:next w:val="Normln"/>
    <w:link w:val="Nadpis5Char"/>
    <w:qFormat/>
    <w:rsid w:val="001C1E74"/>
    <w:pPr>
      <w:numPr>
        <w:ilvl w:val="4"/>
        <w:numId w:val="17"/>
      </w:numPr>
      <w:spacing w:before="120" w:after="120"/>
      <w:jc w:val="both"/>
      <w:outlineLvl w:val="4"/>
    </w:pPr>
    <w:rPr>
      <w:lang w:val="x-none"/>
    </w:rPr>
  </w:style>
  <w:style w:type="paragraph" w:styleId="Nadpis6">
    <w:name w:val="heading 6"/>
    <w:basedOn w:val="Normln"/>
    <w:next w:val="Normln"/>
    <w:link w:val="Nadpis6Char"/>
    <w:qFormat/>
    <w:rsid w:val="001C1E74"/>
    <w:pPr>
      <w:numPr>
        <w:ilvl w:val="5"/>
        <w:numId w:val="17"/>
      </w:numPr>
      <w:spacing w:before="240" w:after="60"/>
      <w:jc w:val="both"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1C1E74"/>
    <w:pPr>
      <w:numPr>
        <w:ilvl w:val="6"/>
        <w:numId w:val="17"/>
      </w:numPr>
      <w:spacing w:before="240" w:after="60"/>
      <w:jc w:val="both"/>
      <w:outlineLvl w:val="6"/>
    </w:pPr>
    <w:rPr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1C1E74"/>
    <w:pPr>
      <w:numPr>
        <w:ilvl w:val="7"/>
        <w:numId w:val="17"/>
      </w:numPr>
      <w:spacing w:before="240" w:after="60"/>
      <w:jc w:val="both"/>
      <w:outlineLvl w:val="7"/>
    </w:pPr>
    <w:rPr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1C1E74"/>
    <w:pPr>
      <w:numPr>
        <w:ilvl w:val="8"/>
        <w:numId w:val="17"/>
      </w:numPr>
      <w:spacing w:before="240" w:after="60"/>
      <w:jc w:val="both"/>
      <w:outlineLvl w:val="8"/>
    </w:pPr>
    <w:rPr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32AE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5032A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032AE"/>
    <w:pPr>
      <w:tabs>
        <w:tab w:val="left" w:pos="4253"/>
      </w:tabs>
      <w:ind w:left="283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32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slem">
    <w:name w:val="S číslem"/>
    <w:basedOn w:val="Normln"/>
    <w:rsid w:val="005032AE"/>
    <w:pPr>
      <w:numPr>
        <w:numId w:val="1"/>
      </w:numPr>
      <w:spacing w:before="142"/>
    </w:pPr>
  </w:style>
  <w:style w:type="paragraph" w:customStyle="1" w:styleId="Tun">
    <w:name w:val="Tučně"/>
    <w:basedOn w:val="Normln"/>
    <w:link w:val="TunChar"/>
    <w:rsid w:val="005032AE"/>
    <w:pPr>
      <w:keepNext/>
      <w:keepLines/>
      <w:tabs>
        <w:tab w:val="left" w:pos="1134"/>
      </w:tabs>
      <w:spacing w:before="142"/>
    </w:pPr>
    <w:rPr>
      <w:b/>
    </w:rPr>
  </w:style>
  <w:style w:type="character" w:customStyle="1" w:styleId="TunChar">
    <w:name w:val="Tučně Char"/>
    <w:link w:val="Tun"/>
    <w:rsid w:val="005032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76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623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6C6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7E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3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B3E34"/>
  </w:style>
  <w:style w:type="character" w:styleId="Odkaznakoment">
    <w:name w:val="annotation reference"/>
    <w:basedOn w:val="Standardnpsmoodstavce"/>
    <w:uiPriority w:val="99"/>
    <w:semiHidden/>
    <w:unhideWhenUsed/>
    <w:rsid w:val="005130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0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0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0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15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E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0312"/>
    <w:pPr>
      <w:ind w:left="720"/>
      <w:contextualSpacing/>
    </w:pPr>
  </w:style>
  <w:style w:type="character" w:customStyle="1" w:styleId="Nadpis1Char">
    <w:name w:val="Nadpis 1 Char"/>
    <w:aliases w:val="Char Char"/>
    <w:basedOn w:val="Standardnpsmoodstavce"/>
    <w:link w:val="Nadpis1"/>
    <w:rsid w:val="001C1E74"/>
    <w:rPr>
      <w:rFonts w:ascii="Times New Roman Bold" w:eastAsia="Times New Roman" w:hAnsi="Times New Roman Bold" w:cs="Times New Roman"/>
      <w:b/>
      <w:smallCaps/>
      <w:kern w:val="28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1C1E74"/>
    <w:rPr>
      <w:rFonts w:ascii="Times New Roman" w:eastAsia="Times New Roman" w:hAnsi="Times New Roman" w:cs="Times New Roman"/>
      <w:i/>
      <w:sz w:val="24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1C1E7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1C1E74"/>
    <w:rPr>
      <w:rFonts w:ascii="Times New Roman" w:eastAsia="Times New Roman" w:hAnsi="Times New Roman" w:cs="Times New Roman"/>
      <w:i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1C1E74"/>
    <w:rPr>
      <w:rFonts w:ascii="Times New Roman" w:eastAsia="Times New Roman" w:hAnsi="Times New Roman" w:cs="Times New Roman"/>
      <w:b/>
      <w:i/>
      <w:sz w:val="18"/>
      <w:szCs w:val="20"/>
      <w:lang w:val="x-none" w:eastAsia="cs-CZ"/>
    </w:rPr>
  </w:style>
  <w:style w:type="paragraph" w:customStyle="1" w:styleId="BodyText21">
    <w:name w:val="Body Text 21"/>
    <w:basedOn w:val="Normln"/>
    <w:rsid w:val="000E48F3"/>
    <w:pPr>
      <w:suppressAutoHyphens/>
      <w:overflowPunct w:val="0"/>
      <w:autoSpaceDE w:val="0"/>
      <w:ind w:left="2124"/>
    </w:pPr>
    <w:rPr>
      <w:lang w:eastAsia="ar-SA"/>
    </w:rPr>
  </w:style>
  <w:style w:type="paragraph" w:customStyle="1" w:styleId="Normln1">
    <w:name w:val="Normální1"/>
    <w:rsid w:val="000E48F3"/>
    <w:pPr>
      <w:widowControl w:val="0"/>
      <w:suppressAutoHyphens/>
      <w:autoSpaceDE w:val="0"/>
      <w:spacing w:after="0"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u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57EC4CE80BB4BA61F3982EE63950A" ma:contentTypeVersion="11" ma:contentTypeDescription="Vytvoří nový dokument" ma:contentTypeScope="" ma:versionID="fa610c56dfd851b0bd0894199c283d4f">
  <xsd:schema xmlns:xsd="http://www.w3.org/2001/XMLSchema" xmlns:xs="http://www.w3.org/2001/XMLSchema" xmlns:p="http://schemas.microsoft.com/office/2006/metadata/properties" xmlns:ns2="b1f498f8-7fea-4264-93d9-bb94d02cccb0" xmlns:ns3="d377e9ac-e6c1-4179-b07c-ed21250e624d" targetNamespace="http://schemas.microsoft.com/office/2006/metadata/properties" ma:root="true" ma:fieldsID="652d5f5e2a47facc7be85c4dddf415bb" ns2:_="" ns3:_="">
    <xsd:import namespace="b1f498f8-7fea-4264-93d9-bb94d02cccb0"/>
    <xsd:import namespace="d377e9ac-e6c1-4179-b07c-ed21250e6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98f8-7fea-4264-93d9-bb94d02c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7e9ac-e6c1-4179-b07c-ed21250e6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A47A7-FACA-4484-9199-AEFBB5FE4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AE4CD-ECE3-4322-804D-71502151A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98f8-7fea-4264-93d9-bb94d02cccb0"/>
    <ds:schemaRef ds:uri="d377e9ac-e6c1-4179-b07c-ed21250e6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2E310-2856-42FA-8726-E26274014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dc:description/>
  <cp:lastModifiedBy>Plášilová Iveta</cp:lastModifiedBy>
  <cp:revision>3</cp:revision>
  <cp:lastPrinted>2018-04-26T07:18:00Z</cp:lastPrinted>
  <dcterms:created xsi:type="dcterms:W3CDTF">2022-02-09T11:14:00Z</dcterms:created>
  <dcterms:modified xsi:type="dcterms:W3CDTF">2022-03-02T12:51:00Z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0x0101000BA57EC4CE80BB4BA61F3982EE63950A</vt:lpwstr>
  </property>
</Properties>
</file>