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47" w:rsidRPr="00F21E44" w:rsidRDefault="00F43847" w:rsidP="00F43847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</w:p>
    <w:p w:rsidR="00E47AA8" w:rsidRDefault="00F43847" w:rsidP="002D6A58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425DC6">
        <w:rPr>
          <w:rFonts w:ascii="Helvetica" w:hAnsi="Helvetica"/>
          <w:sz w:val="22"/>
          <w:szCs w:val="18"/>
        </w:rPr>
        <w:t>Č. j. NG/</w:t>
      </w:r>
      <w:r w:rsidR="00027BB6">
        <w:rPr>
          <w:rFonts w:ascii="Helvetica" w:hAnsi="Helvetica"/>
          <w:sz w:val="22"/>
          <w:szCs w:val="18"/>
        </w:rPr>
        <w:t>108</w:t>
      </w:r>
      <w:r w:rsidRPr="00425DC6">
        <w:rPr>
          <w:rFonts w:ascii="Helvetica" w:hAnsi="Helvetica"/>
          <w:sz w:val="22"/>
          <w:szCs w:val="18"/>
        </w:rPr>
        <w:t>/202</w:t>
      </w:r>
      <w:r w:rsidR="002D6A58">
        <w:rPr>
          <w:rFonts w:ascii="Helvetica" w:hAnsi="Helvetica"/>
          <w:sz w:val="22"/>
          <w:szCs w:val="18"/>
        </w:rPr>
        <w:t>2</w:t>
      </w:r>
    </w:p>
    <w:p w:rsidR="002D6A58" w:rsidRPr="002D6A58" w:rsidRDefault="002D6A58" w:rsidP="002D6A58">
      <w:pPr>
        <w:pStyle w:val="Podnadpis1"/>
      </w:pPr>
    </w:p>
    <w:p w:rsidR="00F43847" w:rsidRPr="00F21E44" w:rsidRDefault="00F43847" w:rsidP="00425DC6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SMLOUVA O </w:t>
      </w:r>
      <w:r w:rsidR="004966E8" w:rsidRPr="00F21E44">
        <w:rPr>
          <w:rFonts w:ascii="Helvetica" w:hAnsi="Helvetica"/>
          <w:sz w:val="22"/>
          <w:szCs w:val="18"/>
        </w:rPr>
        <w:t>VZÁJEMNÉ SPOLUPRÁCI</w:t>
      </w:r>
    </w:p>
    <w:p w:rsidR="00F43847" w:rsidRDefault="00F43847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uzavřená níže uvedeného dne, měsíce a roku mezi</w:t>
      </w:r>
    </w:p>
    <w:p w:rsidR="00425DC6" w:rsidRPr="00425DC6" w:rsidRDefault="00425DC6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</w:p>
    <w:p w:rsidR="00F43847" w:rsidRPr="00F21E44" w:rsidRDefault="00C65AEA" w:rsidP="00C65AEA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left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="00F43847" w:rsidRPr="00F21E44">
        <w:rPr>
          <w:rFonts w:ascii="Helvetica" w:hAnsi="Helvetica"/>
          <w:szCs w:val="18"/>
        </w:rPr>
        <w:t>I.</w:t>
      </w:r>
    </w:p>
    <w:p w:rsidR="00F43847" w:rsidRPr="00F21E44" w:rsidRDefault="00F43847" w:rsidP="0047653E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>Smluvní strany</w:t>
      </w:r>
    </w:p>
    <w:p w:rsidR="00425DC6" w:rsidRDefault="00425DC6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</w:p>
    <w:p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Národní galerie v Praze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se sídlem: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Staroměstské nám. 12, Praha 1</w:t>
      </w:r>
      <w:r w:rsidR="004966E8" w:rsidRPr="00F21E44">
        <w:rPr>
          <w:rFonts w:ascii="Helvetica" w:hAnsi="Helvetica"/>
          <w:sz w:val="22"/>
          <w:szCs w:val="18"/>
        </w:rPr>
        <w:t>, PSČ: 110 15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zastoupená: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2D6A58" w:rsidRPr="002D6A58">
        <w:rPr>
          <w:rFonts w:ascii="Helvetica" w:hAnsi="Helvetica"/>
          <w:sz w:val="22"/>
          <w:szCs w:val="18"/>
        </w:rPr>
        <w:t>Mgr. Eva Giese MBA</w:t>
      </w:r>
      <w:r w:rsidR="002D6A58">
        <w:rPr>
          <w:rFonts w:ascii="Helvetica" w:hAnsi="Helvetica"/>
          <w:sz w:val="22"/>
          <w:szCs w:val="18"/>
        </w:rPr>
        <w:t>, Kancléřka</w:t>
      </w:r>
      <w:r w:rsidRPr="00F21E44" w:rsidDel="00A20F81">
        <w:rPr>
          <w:rFonts w:ascii="Helvetica" w:hAnsi="Helvetica"/>
        </w:rPr>
        <w:t xml:space="preserve"> 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00023281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CZ00023281</w:t>
      </w:r>
    </w:p>
    <w:p w:rsidR="0047653E" w:rsidRPr="00F21E44" w:rsidRDefault="0047653E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bankovní spojení:</w:t>
      </w:r>
      <w:r w:rsidRPr="00F21E44">
        <w:rPr>
          <w:rFonts w:ascii="Helvetica" w:hAnsi="Helvetica"/>
          <w:sz w:val="22"/>
          <w:szCs w:val="18"/>
        </w:rPr>
        <w:tab/>
        <w:t>Česká národní banka</w:t>
      </w:r>
    </w:p>
    <w:p w:rsidR="00F43847" w:rsidRPr="00F21E44" w:rsidRDefault="00F43847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číslo </w:t>
      </w:r>
      <w:r w:rsidR="0047653E" w:rsidRPr="00F21E44">
        <w:rPr>
          <w:rFonts w:ascii="Helvetica" w:hAnsi="Helvetica"/>
          <w:sz w:val="22"/>
          <w:szCs w:val="18"/>
        </w:rPr>
        <w:t>účtu:</w:t>
      </w:r>
      <w:r w:rsidR="0047653E" w:rsidRPr="00F21E44">
        <w:rPr>
          <w:rFonts w:ascii="Helvetica" w:hAnsi="Helvetica"/>
          <w:sz w:val="22"/>
          <w:szCs w:val="18"/>
        </w:rPr>
        <w:tab/>
        <w:t xml:space="preserve">     </w:t>
      </w:r>
      <w:r w:rsidR="004966E8" w:rsidRPr="00F21E44">
        <w:rPr>
          <w:rFonts w:ascii="Helvetica" w:hAnsi="Helvetica"/>
          <w:sz w:val="22"/>
          <w:szCs w:val="18"/>
        </w:rPr>
        <w:t>050008-0008839011/0710</w:t>
      </w:r>
    </w:p>
    <w:p w:rsidR="00E47AA8" w:rsidRPr="00F21E44" w:rsidRDefault="00E47AA8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:rsidR="00F43847" w:rsidRPr="00F21E44" w:rsidRDefault="00F43847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r w:rsidRPr="00F21E44">
        <w:rPr>
          <w:rFonts w:ascii="Helvetica" w:hAnsi="Helvetica"/>
          <w:b/>
          <w:sz w:val="22"/>
          <w:szCs w:val="18"/>
        </w:rPr>
        <w:t>NG</w:t>
      </w:r>
      <w:r w:rsidR="004966E8" w:rsidRPr="00F21E44">
        <w:rPr>
          <w:rFonts w:ascii="Helvetica" w:hAnsi="Helvetica"/>
          <w:b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>“)</w:t>
      </w:r>
    </w:p>
    <w:p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a</w:t>
      </w:r>
    </w:p>
    <w:p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NEOLUXOR, s.r.o.</w:t>
      </w: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se sídlem: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  <w:t>Na Poříčí 1067/25, Praha 1, PSČ: 110 00</w:t>
      </w:r>
    </w:p>
    <w:p w:rsidR="0047653E" w:rsidRPr="00F21E44" w:rsidRDefault="0047653E" w:rsidP="0047653E">
      <w:pPr>
        <w:suppressAutoHyphens/>
        <w:spacing w:after="0"/>
        <w:jc w:val="both"/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</w:pPr>
      <w:r w:rsidRPr="00F21E44">
        <w:rPr>
          <w:rFonts w:ascii="Helvetica" w:hAnsi="Helvetica"/>
          <w:sz w:val="22"/>
          <w:szCs w:val="20"/>
        </w:rPr>
        <w:t xml:space="preserve">zastoupená: </w:t>
      </w:r>
      <w:r w:rsidRPr="00F21E44">
        <w:rPr>
          <w:rFonts w:ascii="Helvetica" w:hAnsi="Helvetica"/>
          <w:sz w:val="22"/>
          <w:szCs w:val="20"/>
        </w:rPr>
        <w:tab/>
      </w:r>
      <w:r w:rsidRPr="00F21E44">
        <w:rPr>
          <w:rFonts w:ascii="Helvetica" w:hAnsi="Helvetica"/>
          <w:sz w:val="22"/>
          <w:szCs w:val="20"/>
        </w:rPr>
        <w:tab/>
      </w:r>
      <w:r w:rsidR="002E0042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Adamem Lebedou</w:t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, ředitelem marketingu</w:t>
      </w:r>
    </w:p>
    <w:p w:rsidR="0047653E" w:rsidRPr="00F21E44" w:rsidRDefault="0047653E" w:rsidP="0047653E">
      <w:pPr>
        <w:suppressAutoHyphens/>
        <w:spacing w:after="0"/>
        <w:jc w:val="both"/>
        <w:rPr>
          <w:rFonts w:ascii="Helvetica" w:hAnsi="Helvetica" w:cs="Arial"/>
          <w:szCs w:val="20"/>
          <w:lang w:eastAsia="zh-CN"/>
        </w:rPr>
      </w:pP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 xml:space="preserve">IČ: </w:t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  <w:t>62577620</w:t>
      </w: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DIČ: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  <w:t>CZ62577620</w:t>
      </w:r>
    </w:p>
    <w:p w:rsidR="0047653E" w:rsidRPr="00F21E44" w:rsidRDefault="0047653E" w:rsidP="0047653E">
      <w:pPr>
        <w:suppressAutoHyphens/>
        <w:spacing w:after="0" w:line="240" w:lineRule="auto"/>
        <w:jc w:val="both"/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 xml:space="preserve">bankovní spojení: </w:t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="00111070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XXXXXXXXXXXXXXXXXXX</w:t>
      </w: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číslo účtu:</w:t>
      </w:r>
      <w:r w:rsidRPr="00F21E44">
        <w:rPr>
          <w:rFonts w:ascii="Helvetica" w:hAnsi="Helvetica"/>
          <w:sz w:val="22"/>
          <w:szCs w:val="18"/>
        </w:rPr>
        <w:tab/>
        <w:t xml:space="preserve">          </w:t>
      </w:r>
      <w:r w:rsidR="002E0042">
        <w:rPr>
          <w:rFonts w:ascii="Helvetica" w:hAnsi="Helvetica"/>
          <w:sz w:val="22"/>
          <w:szCs w:val="18"/>
        </w:rPr>
        <w:t xml:space="preserve"> </w:t>
      </w:r>
      <w:r w:rsidR="00111070">
        <w:rPr>
          <w:rFonts w:ascii="Helvetica" w:hAnsi="Helvetica"/>
          <w:sz w:val="22"/>
          <w:szCs w:val="18"/>
        </w:rPr>
        <w:t>XXXXXXXXXXXXXX</w:t>
      </w: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2124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zapsaná: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  <w:t>v obchodním rejstříku vedeném Městským soudem v Praze, oddíl C, vložka 32816</w:t>
      </w: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</w:p>
    <w:p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proofErr w:type="spellStart"/>
      <w:r w:rsidR="00C65AEA" w:rsidRPr="00F21E44">
        <w:rPr>
          <w:rFonts w:ascii="Helvetica" w:hAnsi="Helvetica"/>
          <w:b/>
          <w:sz w:val="22"/>
          <w:szCs w:val="18"/>
        </w:rPr>
        <w:t>Neol</w:t>
      </w:r>
      <w:r w:rsidRPr="00F21E44">
        <w:rPr>
          <w:rFonts w:ascii="Helvetica" w:hAnsi="Helvetica"/>
          <w:b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>“)</w:t>
      </w:r>
    </w:p>
    <w:p w:rsidR="00F43847" w:rsidRPr="00F21E44" w:rsidRDefault="004966E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br/>
      </w:r>
      <w:r w:rsidR="00F43847" w:rsidRPr="00F21E44">
        <w:rPr>
          <w:rFonts w:ascii="Helvetica" w:hAnsi="Helvetica"/>
          <w:b/>
          <w:sz w:val="22"/>
          <w:szCs w:val="18"/>
        </w:rPr>
        <w:t xml:space="preserve">II. </w:t>
      </w:r>
    </w:p>
    <w:p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Předmět smlouvy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Předmětem této smlouvy je </w:t>
      </w:r>
      <w:r w:rsidR="004966E8" w:rsidRPr="00F21E44">
        <w:rPr>
          <w:rFonts w:ascii="Helvetica" w:hAnsi="Helvetica"/>
          <w:sz w:val="22"/>
          <w:szCs w:val="18"/>
        </w:rPr>
        <w:t>úprava vzájemné spolupráce smluvních stran</w:t>
      </w:r>
      <w:r w:rsidRPr="00F21E44">
        <w:rPr>
          <w:rFonts w:ascii="Helvetica" w:hAnsi="Helvetica"/>
          <w:sz w:val="22"/>
          <w:szCs w:val="18"/>
        </w:rPr>
        <w:t xml:space="preserve"> v souvislosti s akcemi, které pořádá </w:t>
      </w:r>
      <w:proofErr w:type="spellStart"/>
      <w:r w:rsidR="0047653E" w:rsidRPr="00F21E44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a akcemi a výstavami, které pořádá </w:t>
      </w:r>
      <w:r w:rsidR="004966E8" w:rsidRPr="00F21E44">
        <w:rPr>
          <w:rFonts w:ascii="Helvetica" w:hAnsi="Helvetica"/>
          <w:sz w:val="22"/>
          <w:szCs w:val="18"/>
        </w:rPr>
        <w:t xml:space="preserve">NGP (akce </w:t>
      </w:r>
      <w:proofErr w:type="spellStart"/>
      <w:r w:rsidR="004966E8" w:rsidRPr="00F21E44">
        <w:rPr>
          <w:rFonts w:ascii="Helvetica" w:hAnsi="Helvetica"/>
          <w:sz w:val="22"/>
          <w:szCs w:val="18"/>
        </w:rPr>
        <w:t>Neoluxor</w:t>
      </w:r>
      <w:proofErr w:type="spellEnd"/>
      <w:r w:rsidR="004966E8" w:rsidRPr="00F21E44">
        <w:rPr>
          <w:rFonts w:ascii="Helvetica" w:hAnsi="Helvetica"/>
          <w:sz w:val="22"/>
          <w:szCs w:val="18"/>
        </w:rPr>
        <w:t xml:space="preserve"> a akce NGP dále společně též jako </w:t>
      </w:r>
      <w:r w:rsidR="004966E8" w:rsidRPr="00F21E44">
        <w:rPr>
          <w:rFonts w:ascii="Helvetica" w:hAnsi="Helvetica"/>
          <w:b/>
          <w:bCs/>
          <w:sz w:val="22"/>
          <w:szCs w:val="18"/>
        </w:rPr>
        <w:t>„Akce“</w:t>
      </w:r>
      <w:r w:rsidR="004966E8" w:rsidRPr="00F21E44">
        <w:rPr>
          <w:rFonts w:ascii="Helvetica" w:hAnsi="Helvetica"/>
          <w:sz w:val="22"/>
          <w:szCs w:val="18"/>
        </w:rPr>
        <w:t xml:space="preserve">), a to v době od </w:t>
      </w:r>
      <w:r w:rsidR="00DB61F7">
        <w:rPr>
          <w:rFonts w:ascii="Helvetica" w:hAnsi="Helvetica"/>
          <w:sz w:val="22"/>
          <w:szCs w:val="18"/>
        </w:rPr>
        <w:t>15</w:t>
      </w:r>
      <w:r w:rsidR="004966E8" w:rsidRPr="00F21E44">
        <w:rPr>
          <w:rFonts w:ascii="Helvetica" w:hAnsi="Helvetica"/>
          <w:sz w:val="22"/>
          <w:szCs w:val="18"/>
        </w:rPr>
        <w:t xml:space="preserve">. </w:t>
      </w:r>
      <w:r w:rsidR="002D6A58">
        <w:rPr>
          <w:rFonts w:ascii="Helvetica" w:hAnsi="Helvetica"/>
          <w:sz w:val="22"/>
          <w:szCs w:val="18"/>
        </w:rPr>
        <w:t>2. 2022 do 31. 12. 2022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F21E44" w:rsidRDefault="004966E8" w:rsidP="00F21E4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lastRenderedPageBreak/>
        <w:t>Vzájemná spolupráce</w:t>
      </w:r>
      <w:r w:rsidR="00F43847" w:rsidRPr="00F21E44">
        <w:rPr>
          <w:rFonts w:ascii="Helvetica" w:hAnsi="Helvetica"/>
          <w:sz w:val="22"/>
          <w:szCs w:val="18"/>
        </w:rPr>
        <w:t xml:space="preserve"> mezi smluvními stranami bude spočívat v poskytnutí mediálního prostoru ze strany </w:t>
      </w:r>
      <w:proofErr w:type="spellStart"/>
      <w:r w:rsidR="0047653E" w:rsidRPr="00F21E44">
        <w:rPr>
          <w:rFonts w:ascii="Helvetica" w:hAnsi="Helvetica"/>
          <w:sz w:val="22"/>
          <w:szCs w:val="18"/>
        </w:rPr>
        <w:t>Neol</w:t>
      </w:r>
      <w:r w:rsidR="00F43847" w:rsidRPr="00F21E44">
        <w:rPr>
          <w:rFonts w:ascii="Helvetica" w:hAnsi="Helvetica"/>
          <w:sz w:val="22"/>
          <w:szCs w:val="18"/>
        </w:rPr>
        <w:t>uxoru</w:t>
      </w:r>
      <w:proofErr w:type="spellEnd"/>
      <w:r w:rsidR="00F43847" w:rsidRPr="00F21E44">
        <w:rPr>
          <w:rFonts w:ascii="Helvetica" w:hAnsi="Helvetica"/>
          <w:sz w:val="22"/>
          <w:szCs w:val="18"/>
        </w:rPr>
        <w:t xml:space="preserve"> a poskytnutí prostor ze strany NGP a v další vzájemné podpoře a propagování obou smluvních stran v souvislosti s Akcemi.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 III. </w:t>
      </w:r>
    </w:p>
    <w:p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Závazky smluvních stran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poskytnout si plnění v následujícím rozsahu: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3F4AB9" w:rsidRDefault="0047653E" w:rsidP="00F43847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proofErr w:type="spellStart"/>
      <w:r w:rsidRPr="003F4AB9">
        <w:rPr>
          <w:rFonts w:ascii="Helvetica" w:hAnsi="Helvetica"/>
          <w:sz w:val="22"/>
          <w:szCs w:val="18"/>
        </w:rPr>
        <w:t>Neol</w:t>
      </w:r>
      <w:r w:rsidR="00F43847" w:rsidRPr="003F4AB9">
        <w:rPr>
          <w:rFonts w:ascii="Helvetica" w:hAnsi="Helvetica"/>
          <w:sz w:val="22"/>
          <w:szCs w:val="18"/>
        </w:rPr>
        <w:t>uxor</w:t>
      </w:r>
      <w:proofErr w:type="spellEnd"/>
      <w:r w:rsidR="00F43847" w:rsidRPr="003F4AB9">
        <w:rPr>
          <w:rFonts w:ascii="Helvetica" w:hAnsi="Helvetica"/>
          <w:sz w:val="22"/>
          <w:szCs w:val="18"/>
        </w:rPr>
        <w:t xml:space="preserve"> poskytne inzerci v magazínu </w:t>
      </w:r>
      <w:r w:rsidR="002D6A58" w:rsidRPr="003F4AB9">
        <w:rPr>
          <w:rFonts w:ascii="Helvetica" w:hAnsi="Helvetica"/>
          <w:sz w:val="22"/>
          <w:szCs w:val="18"/>
        </w:rPr>
        <w:t xml:space="preserve">Magazín Luxor </w:t>
      </w:r>
      <w:r w:rsidR="00F43847" w:rsidRPr="003F4AB9">
        <w:rPr>
          <w:rFonts w:ascii="Helvetica" w:hAnsi="Helvetica"/>
          <w:sz w:val="22"/>
          <w:szCs w:val="18"/>
        </w:rPr>
        <w:t>v období od 1</w:t>
      </w:r>
      <w:r w:rsidR="00DB61F7" w:rsidRPr="003F4AB9">
        <w:rPr>
          <w:rFonts w:ascii="Helvetica" w:hAnsi="Helvetica"/>
          <w:sz w:val="22"/>
          <w:szCs w:val="18"/>
        </w:rPr>
        <w:t>5</w:t>
      </w:r>
      <w:r w:rsidR="00F43847" w:rsidRPr="003F4AB9">
        <w:rPr>
          <w:rFonts w:ascii="Helvetica" w:hAnsi="Helvetica"/>
          <w:sz w:val="22"/>
          <w:szCs w:val="18"/>
        </w:rPr>
        <w:t xml:space="preserve">. </w:t>
      </w:r>
      <w:r w:rsidR="002D6A58" w:rsidRPr="003F4AB9">
        <w:rPr>
          <w:rFonts w:ascii="Helvetica" w:hAnsi="Helvetica"/>
          <w:sz w:val="22"/>
          <w:szCs w:val="18"/>
        </w:rPr>
        <w:t>2. 2022</w:t>
      </w:r>
      <w:r w:rsidR="00F43847" w:rsidRPr="003F4AB9">
        <w:rPr>
          <w:rFonts w:ascii="Helvetica" w:hAnsi="Helvetica"/>
          <w:sz w:val="22"/>
          <w:szCs w:val="18"/>
        </w:rPr>
        <w:t xml:space="preserve"> do 31. 12. 202</w:t>
      </w:r>
      <w:r w:rsidR="002D6A58" w:rsidRPr="003F4AB9">
        <w:rPr>
          <w:rFonts w:ascii="Helvetica" w:hAnsi="Helvetica"/>
          <w:sz w:val="22"/>
          <w:szCs w:val="18"/>
        </w:rPr>
        <w:t>2</w:t>
      </w:r>
      <w:r w:rsidR="00F43847" w:rsidRPr="003F4AB9">
        <w:rPr>
          <w:rFonts w:ascii="Helvetica" w:hAnsi="Helvetica"/>
          <w:sz w:val="22"/>
          <w:szCs w:val="18"/>
        </w:rPr>
        <w:t xml:space="preserve"> v následujícím rozsahu:</w:t>
      </w:r>
    </w:p>
    <w:p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4x </w:t>
      </w:r>
      <w:proofErr w:type="spellStart"/>
      <w:r w:rsidRPr="003F4AB9">
        <w:rPr>
          <w:rFonts w:ascii="Helvetica" w:hAnsi="Helvetica"/>
          <w:sz w:val="22"/>
          <w:szCs w:val="18"/>
        </w:rPr>
        <w:t>celostrannou</w:t>
      </w:r>
      <w:proofErr w:type="spellEnd"/>
      <w:r w:rsidRPr="003F4AB9">
        <w:rPr>
          <w:rFonts w:ascii="Helvetica" w:hAnsi="Helvetica"/>
          <w:sz w:val="22"/>
          <w:szCs w:val="18"/>
        </w:rPr>
        <w:t xml:space="preserve"> inzerci v </w:t>
      </w:r>
      <w:r w:rsidR="00EF3E44" w:rsidRPr="003F4AB9">
        <w:rPr>
          <w:rFonts w:ascii="Helvetica" w:hAnsi="Helvetica"/>
          <w:sz w:val="22"/>
          <w:szCs w:val="18"/>
        </w:rPr>
        <w:t>M</w:t>
      </w:r>
      <w:r w:rsidRPr="003F4AB9">
        <w:rPr>
          <w:rFonts w:ascii="Helvetica" w:hAnsi="Helvetica"/>
          <w:sz w:val="22"/>
          <w:szCs w:val="18"/>
        </w:rPr>
        <w:t xml:space="preserve">agazínu </w:t>
      </w:r>
      <w:r w:rsidR="00DB61F7" w:rsidRPr="003F4AB9">
        <w:rPr>
          <w:rFonts w:ascii="Helvetica" w:hAnsi="Helvetica"/>
          <w:sz w:val="22"/>
          <w:szCs w:val="18"/>
        </w:rPr>
        <w:t>Luxor</w:t>
      </w:r>
      <w:r w:rsidRPr="003F4AB9">
        <w:rPr>
          <w:rFonts w:ascii="Helvetica" w:hAnsi="Helvetica"/>
          <w:sz w:val="22"/>
          <w:szCs w:val="18"/>
        </w:rPr>
        <w:t>;</w:t>
      </w:r>
    </w:p>
    <w:p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6x knižní tip;</w:t>
      </w:r>
    </w:p>
    <w:p w:rsidR="00F43847" w:rsidRPr="003F4AB9" w:rsidRDefault="00E13B2B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1x </w:t>
      </w:r>
      <w:r w:rsidR="00F43847" w:rsidRPr="003F4AB9">
        <w:rPr>
          <w:rFonts w:ascii="Helvetica" w:hAnsi="Helvetica"/>
          <w:sz w:val="22"/>
          <w:szCs w:val="18"/>
        </w:rPr>
        <w:t xml:space="preserve">rozhovor; </w:t>
      </w:r>
    </w:p>
    <w:p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další mediální prostor dle uvážení</w:t>
      </w:r>
      <w:r w:rsidR="00E13B2B" w:rsidRPr="003F4AB9">
        <w:rPr>
          <w:rFonts w:ascii="Helvetica" w:hAnsi="Helvetica"/>
          <w:sz w:val="22"/>
          <w:szCs w:val="18"/>
        </w:rPr>
        <w:t xml:space="preserve"> </w:t>
      </w:r>
      <w:proofErr w:type="spellStart"/>
      <w:r w:rsidR="00E13B2B" w:rsidRPr="003F4AB9">
        <w:rPr>
          <w:rFonts w:ascii="Helvetica" w:hAnsi="Helvetica"/>
          <w:sz w:val="22"/>
          <w:szCs w:val="18"/>
        </w:rPr>
        <w:t>Neoluxoru</w:t>
      </w:r>
      <w:proofErr w:type="spellEnd"/>
    </w:p>
    <w:p w:rsidR="00F43847" w:rsidRPr="003F4AB9" w:rsidRDefault="00F43847" w:rsidP="00F43847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</w:p>
    <w:p w:rsidR="00F43847" w:rsidRPr="003F4AB9" w:rsidRDefault="0047653E" w:rsidP="00C65AEA">
      <w:pPr>
        <w:pStyle w:val="Normln1"/>
        <w:widowControl/>
        <w:numPr>
          <w:ilvl w:val="1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  <w:proofErr w:type="spellStart"/>
      <w:r w:rsidRPr="003F4AB9">
        <w:rPr>
          <w:rFonts w:ascii="Helvetica" w:hAnsi="Helvetica"/>
          <w:sz w:val="22"/>
          <w:szCs w:val="18"/>
        </w:rPr>
        <w:t>Neol</w:t>
      </w:r>
      <w:r w:rsidR="00F43847" w:rsidRPr="003F4AB9">
        <w:rPr>
          <w:rFonts w:ascii="Helvetica" w:hAnsi="Helvetica"/>
          <w:sz w:val="22"/>
          <w:szCs w:val="18"/>
        </w:rPr>
        <w:t>uxor</w:t>
      </w:r>
      <w:proofErr w:type="spellEnd"/>
      <w:r w:rsidR="00F43847" w:rsidRPr="003F4AB9">
        <w:rPr>
          <w:rFonts w:ascii="Helvetica" w:hAnsi="Helvetica"/>
          <w:sz w:val="22"/>
          <w:szCs w:val="18"/>
        </w:rPr>
        <w:t xml:space="preserve"> produkčně zajistí:</w:t>
      </w:r>
    </w:p>
    <w:p w:rsidR="00F43847" w:rsidRPr="003F4AB9" w:rsidRDefault="00CD5E05" w:rsidP="00F43847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      </w:t>
      </w:r>
      <w:r w:rsidR="009C1C1D" w:rsidRPr="003F4AB9">
        <w:rPr>
          <w:rFonts w:ascii="Helvetica" w:hAnsi="Helvetica"/>
          <w:sz w:val="22"/>
          <w:szCs w:val="18"/>
        </w:rPr>
        <w:t xml:space="preserve">Organizaci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="009C1C1D" w:rsidRPr="003F4AB9">
        <w:rPr>
          <w:rFonts w:ascii="Helvetica" w:hAnsi="Helvetica"/>
          <w:sz w:val="22"/>
          <w:szCs w:val="18"/>
        </w:rPr>
        <w:t>kce včetně její moderace. Vše dle domluvy s NG</w:t>
      </w:r>
      <w:r w:rsidR="00F21E44" w:rsidRPr="003F4AB9">
        <w:rPr>
          <w:rFonts w:ascii="Helvetica" w:hAnsi="Helvetica"/>
          <w:sz w:val="22"/>
          <w:szCs w:val="18"/>
        </w:rPr>
        <w:t>P</w:t>
      </w:r>
      <w:r w:rsidR="009C1C1D" w:rsidRPr="003F4AB9">
        <w:rPr>
          <w:rFonts w:ascii="Helvetica" w:hAnsi="Helvetica"/>
          <w:sz w:val="22"/>
          <w:szCs w:val="18"/>
        </w:rPr>
        <w:t xml:space="preserve">. </w:t>
      </w:r>
    </w:p>
    <w:p w:rsidR="00F43847" w:rsidRPr="003F4AB9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3F4AB9" w:rsidRDefault="00F43847" w:rsidP="00F43847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NG</w:t>
      </w:r>
      <w:r w:rsidR="00F21E44" w:rsidRPr="003F4AB9">
        <w:rPr>
          <w:rFonts w:ascii="Helvetica" w:hAnsi="Helvetica"/>
          <w:sz w:val="22"/>
          <w:szCs w:val="18"/>
        </w:rPr>
        <w:t>P</w:t>
      </w:r>
      <w:r w:rsidRPr="003F4AB9">
        <w:rPr>
          <w:rFonts w:ascii="Helvetica" w:hAnsi="Helvetica"/>
          <w:sz w:val="22"/>
          <w:szCs w:val="18"/>
        </w:rPr>
        <w:t xml:space="preserve"> v období od </w:t>
      </w:r>
      <w:r w:rsidR="002D6A58" w:rsidRPr="003F4AB9">
        <w:rPr>
          <w:rFonts w:ascii="Helvetica" w:hAnsi="Helvetica"/>
          <w:sz w:val="22"/>
          <w:szCs w:val="18"/>
        </w:rPr>
        <w:t>1</w:t>
      </w:r>
      <w:r w:rsidR="00DB61F7" w:rsidRPr="003F4AB9">
        <w:rPr>
          <w:rFonts w:ascii="Helvetica" w:hAnsi="Helvetica"/>
          <w:sz w:val="22"/>
          <w:szCs w:val="18"/>
        </w:rPr>
        <w:t>5</w:t>
      </w:r>
      <w:r w:rsidR="002D6A58" w:rsidRPr="003F4AB9">
        <w:rPr>
          <w:rFonts w:ascii="Helvetica" w:hAnsi="Helvetica"/>
          <w:sz w:val="22"/>
          <w:szCs w:val="18"/>
        </w:rPr>
        <w:t xml:space="preserve">. 2. 2022 do 31. 12. 2022 </w:t>
      </w:r>
      <w:r w:rsidRPr="003F4AB9">
        <w:rPr>
          <w:rFonts w:ascii="Helvetica" w:hAnsi="Helvetica"/>
          <w:sz w:val="22"/>
          <w:szCs w:val="18"/>
        </w:rPr>
        <w:t>poskytne:</w:t>
      </w:r>
    </w:p>
    <w:p w:rsidR="00F43847" w:rsidRPr="003F4AB9" w:rsidRDefault="00F43847" w:rsidP="00F43847">
      <w:pPr>
        <w:pStyle w:val="Normln1"/>
        <w:widowControl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prostory NG</w:t>
      </w:r>
      <w:r w:rsidR="004966E8" w:rsidRPr="003F4AB9">
        <w:rPr>
          <w:rFonts w:ascii="Helvetica" w:hAnsi="Helvetica"/>
          <w:sz w:val="22"/>
          <w:szCs w:val="18"/>
        </w:rPr>
        <w:t>P</w:t>
      </w:r>
      <w:r w:rsidRPr="003F4AB9">
        <w:rPr>
          <w:rFonts w:ascii="Helvetica" w:hAnsi="Helvetica"/>
          <w:sz w:val="22"/>
          <w:szCs w:val="18"/>
        </w:rPr>
        <w:t xml:space="preserve"> pro konání 4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Pr="003F4AB9">
        <w:rPr>
          <w:rFonts w:ascii="Helvetica" w:hAnsi="Helvetica"/>
          <w:sz w:val="22"/>
          <w:szCs w:val="18"/>
        </w:rPr>
        <w:t xml:space="preserve">kcí </w:t>
      </w:r>
      <w:proofErr w:type="spellStart"/>
      <w:r w:rsidR="00C65AEA" w:rsidRPr="003F4AB9">
        <w:rPr>
          <w:rFonts w:ascii="Helvetica" w:hAnsi="Helvetica"/>
          <w:sz w:val="22"/>
          <w:szCs w:val="18"/>
        </w:rPr>
        <w:t>Neol</w:t>
      </w:r>
      <w:r w:rsidRPr="003F4AB9">
        <w:rPr>
          <w:rFonts w:ascii="Helvetica" w:hAnsi="Helvetica"/>
          <w:sz w:val="22"/>
          <w:szCs w:val="18"/>
        </w:rPr>
        <w:t>uxoru</w:t>
      </w:r>
      <w:proofErr w:type="spellEnd"/>
      <w:r w:rsidRPr="003F4AB9">
        <w:rPr>
          <w:rFonts w:ascii="Helvetica" w:hAnsi="Helvetica"/>
          <w:sz w:val="22"/>
          <w:szCs w:val="18"/>
        </w:rPr>
        <w:t xml:space="preserve"> (besedy, křty knih, atd.); </w:t>
      </w:r>
    </w:p>
    <w:p w:rsidR="00F43847" w:rsidRPr="003F4AB9" w:rsidRDefault="00F43847" w:rsidP="00F43847">
      <w:pPr>
        <w:pStyle w:val="Normln1"/>
        <w:widowControl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produkční podporu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Pr="003F4AB9">
        <w:rPr>
          <w:rFonts w:ascii="Helvetica" w:hAnsi="Helvetica"/>
          <w:sz w:val="22"/>
          <w:szCs w:val="18"/>
        </w:rPr>
        <w:t>kcí;</w:t>
      </w:r>
    </w:p>
    <w:p w:rsidR="004966E8" w:rsidRPr="003F4AB9" w:rsidRDefault="004966E8" w:rsidP="004966E8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</w:p>
    <w:p w:rsidR="00F43847" w:rsidRPr="003F4AB9" w:rsidRDefault="004966E8" w:rsidP="00F21E44">
      <w:pPr>
        <w:pStyle w:val="Odstavecseseznamem"/>
        <w:numPr>
          <w:ilvl w:val="0"/>
          <w:numId w:val="11"/>
        </w:numPr>
        <w:rPr>
          <w:rFonts w:ascii="Helvetica" w:eastAsia="ヒラギノ角ゴ Pro W3" w:hAnsi="Helvetica" w:cs="Times New Roman"/>
          <w:bCs/>
          <w:color w:val="000000"/>
          <w:szCs w:val="18"/>
          <w:lang w:eastAsia="cs-CZ"/>
        </w:rPr>
      </w:pPr>
      <w:r w:rsidRPr="003F4AB9">
        <w:rPr>
          <w:rFonts w:ascii="Helvetica" w:eastAsia="ヒラギノ角ゴ Pro W3" w:hAnsi="Helvetica" w:cs="Times New Roman"/>
          <w:bCs/>
          <w:color w:val="000000"/>
          <w:szCs w:val="18"/>
          <w:lang w:eastAsia="cs-CZ"/>
        </w:rPr>
        <w:t>Plnění podle této Smlouvy bude čerpáno a schvalováno oběma smluvními stranami, a to vždy po vzájemné dohodě.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IV.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Specifikace podkladů k objednané inzerci</w:t>
      </w:r>
    </w:p>
    <w:p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Veškeré podklady k inzerci je nutno zasílat emailem na:</w:t>
      </w:r>
      <w:r w:rsidR="00130C58">
        <w:rPr>
          <w:rFonts w:ascii="Helvetica" w:hAnsi="Helvetica"/>
          <w:sz w:val="22"/>
          <w:szCs w:val="18"/>
        </w:rPr>
        <w:t xml:space="preserve"> XXXXXXXXXXXXXXXXXXX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V. </w:t>
      </w:r>
    </w:p>
    <w:p w:rsidR="00D718FA" w:rsidRPr="002D6A58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Odměna a platební podmínky</w:t>
      </w:r>
    </w:p>
    <w:p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Cena plnění poskytnutého </w:t>
      </w:r>
      <w:proofErr w:type="spellStart"/>
      <w:r w:rsidRPr="00F21E44">
        <w:rPr>
          <w:rFonts w:ascii="Helvetica" w:hAnsi="Helvetica"/>
          <w:sz w:val="22"/>
          <w:szCs w:val="18"/>
        </w:rPr>
        <w:t>Neoluxorem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dle čl. III, odst. 1 této Smlouvy, byla stanovena dohodou smluvních stran ve výši </w:t>
      </w:r>
      <w:r w:rsidR="00BA7A2D" w:rsidRPr="00F21E44">
        <w:rPr>
          <w:rFonts w:ascii="Helvetica" w:hAnsi="Helvetica"/>
          <w:sz w:val="22"/>
          <w:szCs w:val="18"/>
        </w:rPr>
        <w:t>200.000, -</w:t>
      </w:r>
      <w:r w:rsidRPr="00F21E44">
        <w:rPr>
          <w:rFonts w:ascii="Helvetica" w:hAnsi="Helvetica"/>
          <w:sz w:val="22"/>
          <w:szCs w:val="18"/>
        </w:rPr>
        <w:t xml:space="preserve"> Kč bez DPH.</w:t>
      </w:r>
    </w:p>
    <w:p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Cena plnění poskytnutého NGP dle čl. III, odst. 2 této Smlouvy, byla stanovena dohodou smluvních stran ve výši </w:t>
      </w:r>
      <w:r w:rsidR="00BA7A2D" w:rsidRPr="00F21E44">
        <w:rPr>
          <w:rFonts w:ascii="Helvetica" w:hAnsi="Helvetica"/>
          <w:sz w:val="22"/>
          <w:szCs w:val="18"/>
        </w:rPr>
        <w:t>200.000, -</w:t>
      </w:r>
      <w:r w:rsidRPr="00F21E44">
        <w:rPr>
          <w:rFonts w:ascii="Helvetica" w:hAnsi="Helvetica"/>
          <w:sz w:val="22"/>
          <w:szCs w:val="18"/>
        </w:rPr>
        <w:t xml:space="preserve"> Kč bez DPH.</w:t>
      </w:r>
    </w:p>
    <w:p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K ceně plnění bude připočteno DPH dle platných právních předpisů.</w:t>
      </w:r>
    </w:p>
    <w:p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Každá strana vy</w:t>
      </w:r>
      <w:r w:rsidR="008123E4">
        <w:rPr>
          <w:rFonts w:ascii="Helvetica" w:hAnsi="Helvetica"/>
          <w:sz w:val="22"/>
          <w:szCs w:val="18"/>
        </w:rPr>
        <w:t>staví fakturu – daňový doklad na</w:t>
      </w:r>
      <w:r w:rsidRPr="00F21E44">
        <w:rPr>
          <w:rFonts w:ascii="Helvetica" w:hAnsi="Helvetica"/>
          <w:sz w:val="22"/>
          <w:szCs w:val="18"/>
        </w:rPr>
        <w:t xml:space="preserve"> plnění, které bylo realizováno ve finančním objemu bodu 1 a 2 tohoto článku. </w:t>
      </w:r>
      <w:r w:rsidR="008123E4">
        <w:rPr>
          <w:rFonts w:ascii="Helvetica" w:hAnsi="Helvetica"/>
          <w:sz w:val="22"/>
          <w:szCs w:val="18"/>
        </w:rPr>
        <w:t xml:space="preserve">Daňový doklad bude vystaven do 15 dnů po datu  uskutečnění zdanitelného plnění, kterým je poslední den období, které je definováno v bodu 1 a v článku 2 bodu III. </w:t>
      </w:r>
      <w:r w:rsidRPr="00F21E44">
        <w:rPr>
          <w:rFonts w:ascii="Helvetica" w:hAnsi="Helvetica"/>
          <w:sz w:val="22"/>
          <w:szCs w:val="18"/>
        </w:rPr>
        <w:t>Faktury budou označeny „NEPROPLÁCET – ZÁPOČET “.</w:t>
      </w:r>
      <w:r w:rsidR="008123E4">
        <w:rPr>
          <w:rFonts w:ascii="Helvetica" w:hAnsi="Helvetica"/>
          <w:sz w:val="22"/>
          <w:szCs w:val="18"/>
        </w:rPr>
        <w:t xml:space="preserve"> V případě, že celková výše faktur nebude shodná</w:t>
      </w:r>
      <w:r w:rsidR="002418C8">
        <w:rPr>
          <w:rFonts w:ascii="Helvetica" w:hAnsi="Helvetica"/>
          <w:sz w:val="22"/>
          <w:szCs w:val="18"/>
        </w:rPr>
        <w:t xml:space="preserve"> (např. z důvodu rozdílné sazby DPH)</w:t>
      </w:r>
      <w:r w:rsidR="008123E4">
        <w:rPr>
          <w:rFonts w:ascii="Helvetica" w:hAnsi="Helvetica"/>
          <w:sz w:val="22"/>
          <w:szCs w:val="18"/>
        </w:rPr>
        <w:t>, uhradí dlužník rozdíl ve splatnosti dle bodu 5</w:t>
      </w:r>
      <w:r w:rsidR="002418C8">
        <w:rPr>
          <w:rFonts w:ascii="Helvetica" w:hAnsi="Helvetica"/>
          <w:sz w:val="22"/>
          <w:szCs w:val="18"/>
        </w:rPr>
        <w:t xml:space="preserve"> tohoto článku.</w:t>
      </w:r>
    </w:p>
    <w:p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Faktury budou mít splatnost 30 dnů </w:t>
      </w:r>
      <w:r w:rsidR="003363D5">
        <w:rPr>
          <w:rFonts w:ascii="Helvetica" w:hAnsi="Helvetica"/>
          <w:sz w:val="22"/>
          <w:szCs w:val="18"/>
        </w:rPr>
        <w:t>o</w:t>
      </w:r>
      <w:r w:rsidRPr="00F21E44">
        <w:rPr>
          <w:rFonts w:ascii="Helvetica" w:hAnsi="Helvetica"/>
          <w:sz w:val="22"/>
          <w:szCs w:val="18"/>
        </w:rPr>
        <w:t>de dne doručení a budou doručeny následovně: NGP na adresu fakt</w:t>
      </w:r>
      <w:r w:rsidR="00442C1E">
        <w:rPr>
          <w:rFonts w:ascii="Helvetica" w:hAnsi="Helvetica"/>
          <w:sz w:val="22"/>
          <w:szCs w:val="18"/>
        </w:rPr>
        <w:t>ury</w:t>
      </w:r>
      <w:r w:rsidRPr="00F21E44">
        <w:rPr>
          <w:rFonts w:ascii="Helvetica" w:hAnsi="Helvetica"/>
          <w:sz w:val="22"/>
          <w:szCs w:val="18"/>
        </w:rPr>
        <w:t xml:space="preserve">@ngprague.cz, </w:t>
      </w:r>
      <w:proofErr w:type="spellStart"/>
      <w:r w:rsidR="00442C1E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na adresu: </w:t>
      </w:r>
      <w:r w:rsidR="00282E0D">
        <w:rPr>
          <w:rFonts w:ascii="Helvetica" w:hAnsi="Helvetica"/>
          <w:sz w:val="22"/>
          <w:szCs w:val="18"/>
        </w:rPr>
        <w:t>XXXXXXXXXXXXXXXXXXXX</w:t>
      </w:r>
      <w:bookmarkStart w:id="0" w:name="_GoBack"/>
      <w:bookmarkEnd w:id="0"/>
      <w:r w:rsidRPr="00F21E44">
        <w:rPr>
          <w:rFonts w:ascii="Helvetica" w:hAnsi="Helvetica"/>
          <w:sz w:val="22"/>
          <w:szCs w:val="18"/>
        </w:rPr>
        <w:t>.</w:t>
      </w:r>
    </w:p>
    <w:p w:rsidR="00D718FA" w:rsidRPr="00F21E44" w:rsidRDefault="00D718FA" w:rsidP="00F21E44">
      <w:pPr>
        <w:pStyle w:val="Odstavecseseznamem"/>
        <w:numPr>
          <w:ilvl w:val="0"/>
          <w:numId w:val="16"/>
        </w:numPr>
        <w:spacing w:after="240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lastRenderedPageBreak/>
        <w:t>V případě, že některá smluvní strana nesplní dílčí závazky vyplývající z této smlouvy, vzniká druhé straně nárok na provedení úhrady (finančního plnění) ve výši neposkytnutého recipročního plnění podle této smlouvy.</w:t>
      </w:r>
    </w:p>
    <w:p w:rsidR="0047653E" w:rsidRPr="00F21E44" w:rsidRDefault="00D718FA" w:rsidP="00F21E44">
      <w:pPr>
        <w:pStyle w:val="Odstavecseseznamem"/>
        <w:numPr>
          <w:ilvl w:val="0"/>
          <w:numId w:val="16"/>
        </w:numPr>
        <w:spacing w:after="240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V případě, že </w:t>
      </w:r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NGP</w:t>
      </w:r>
      <w:r w:rsidR="005C55C9"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a/nebo </w:t>
      </w:r>
      <w:proofErr w:type="spellStart"/>
      <w:r w:rsidR="005C55C9"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Neoluxor</w:t>
      </w:r>
      <w:proofErr w:type="spellEnd"/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nemůže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dostát svým závazkům z důvodu vyšší moci (na základě přírodní nebo jiné jím neovlivnitelné katastrofy, politické situace státu jakýmkoliv způsobem dotýkajícím se této smlouvy, epidemiologických nařízení vlády ČR apod.) nevzniká ani jednomu z účastníků této smlouvy právo na náhradu škody.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VI.</w:t>
      </w:r>
    </w:p>
    <w:p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Ostatní ujednání</w:t>
      </w:r>
    </w:p>
    <w:p w:rsidR="00F43847" w:rsidRPr="00F21E44" w:rsidRDefault="00F43847" w:rsidP="00F21E44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dohodly, že v </w:t>
      </w:r>
      <w:r w:rsidR="00D718FA" w:rsidRPr="00F21E44">
        <w:rPr>
          <w:rFonts w:ascii="Helvetica" w:hAnsi="Helvetica"/>
          <w:sz w:val="22"/>
          <w:szCs w:val="18"/>
        </w:rPr>
        <w:t>rámci</w:t>
      </w:r>
      <w:r w:rsidRPr="00F21E44">
        <w:rPr>
          <w:rFonts w:ascii="Helvetica" w:hAnsi="Helvetica"/>
          <w:sz w:val="22"/>
          <w:szCs w:val="18"/>
        </w:rPr>
        <w:t xml:space="preserve"> vzájemn</w:t>
      </w:r>
      <w:r w:rsidR="00D718FA" w:rsidRPr="00F21E44">
        <w:rPr>
          <w:rFonts w:ascii="Helvetica" w:hAnsi="Helvetica"/>
          <w:sz w:val="22"/>
          <w:szCs w:val="18"/>
        </w:rPr>
        <w:t>é</w:t>
      </w:r>
      <w:r w:rsidRPr="00F21E44">
        <w:rPr>
          <w:rFonts w:ascii="Helvetica" w:hAnsi="Helvetica"/>
          <w:sz w:val="22"/>
          <w:szCs w:val="18"/>
        </w:rPr>
        <w:t xml:space="preserve"> </w:t>
      </w:r>
      <w:r w:rsidR="00D718FA" w:rsidRPr="00F21E44">
        <w:rPr>
          <w:rFonts w:ascii="Helvetica" w:hAnsi="Helvetica"/>
          <w:sz w:val="22"/>
          <w:szCs w:val="18"/>
        </w:rPr>
        <w:t>spolupráce v souvislosti s Akcemi</w:t>
      </w:r>
      <w:r w:rsidRPr="00F21E44">
        <w:rPr>
          <w:rFonts w:ascii="Helvetica" w:hAnsi="Helvetica"/>
          <w:sz w:val="22"/>
          <w:szCs w:val="18"/>
        </w:rPr>
        <w:t xml:space="preserve"> nebudou o sobě veřejnost informovat tak, aby vzájemně poškodily dobré jméno druhé smluvní strany, a současně vynaloží úsilí, aby vzájemná prezentace vedla k pozitivnímu vnímání </w:t>
      </w:r>
      <w:r w:rsidR="00D718FA" w:rsidRPr="00F21E44">
        <w:rPr>
          <w:rFonts w:ascii="Helvetica" w:hAnsi="Helvetica"/>
          <w:sz w:val="22"/>
          <w:szCs w:val="18"/>
        </w:rPr>
        <w:t>Akcí</w:t>
      </w:r>
      <w:r w:rsidRPr="00F21E44">
        <w:rPr>
          <w:rFonts w:ascii="Helvetica" w:hAnsi="Helvetica"/>
          <w:sz w:val="22"/>
          <w:szCs w:val="18"/>
        </w:rPr>
        <w:t xml:space="preserve"> i obou smluvních stran u veřejnosti. Porušení této </w:t>
      </w:r>
      <w:r w:rsidR="00D718FA" w:rsidRPr="00F21E44">
        <w:rPr>
          <w:rFonts w:ascii="Helvetica" w:hAnsi="Helvetica"/>
          <w:sz w:val="22"/>
          <w:szCs w:val="18"/>
        </w:rPr>
        <w:t>smlouvy</w:t>
      </w:r>
      <w:r w:rsidRPr="00F21E44">
        <w:rPr>
          <w:rFonts w:ascii="Helvetica" w:hAnsi="Helvetica"/>
          <w:sz w:val="22"/>
          <w:szCs w:val="18"/>
        </w:rPr>
        <w:t xml:space="preserve"> může být považováno za nesplnění závazků vyplývajících z této smlouvy a poškozená strana má v tomto případě nárok na okamžité odstoupení od smlouvy.</w:t>
      </w:r>
    </w:p>
    <w:p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Tato smlouva nahrazuje veškerá předešlá ústní i písemná ujednání smluvních stran.</w:t>
      </w:r>
    </w:p>
    <w:p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Žádná ze smluvních stran této smlouvy není oprávněna postoupit třetí straně závazky nebo práva vyplývající z této smlouvy, mohou si však za účelem splnění svých závazků třetí stranu sjednat, přičemž za toto plnění nesou odpovědnost tak, jako by jej vykonávaly samy.</w:t>
      </w:r>
    </w:p>
    <w:p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Odpovědným pracovníkem za NG</w:t>
      </w:r>
      <w:r w:rsidR="00D718FA" w:rsidRPr="00F21E44">
        <w:rPr>
          <w:rFonts w:ascii="Helvetica" w:hAnsi="Helvetica"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 xml:space="preserve"> je </w:t>
      </w:r>
      <w:r w:rsidR="00130C58">
        <w:rPr>
          <w:rFonts w:ascii="Helvetica" w:hAnsi="Helvetica"/>
          <w:sz w:val="22"/>
          <w:szCs w:val="18"/>
        </w:rPr>
        <w:t>XXXXXXXXXXXXX</w:t>
      </w:r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email:</w:t>
      </w:r>
      <w:r w:rsidR="00130C58">
        <w:rPr>
          <w:rFonts w:ascii="Helvetica" w:hAnsi="Helvetica"/>
          <w:sz w:val="22"/>
          <w:szCs w:val="18"/>
        </w:rPr>
        <w:t xml:space="preserve"> XXXXXXXXXXXXXXXX</w:t>
      </w:r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tel:</w:t>
      </w:r>
      <w:r w:rsidRPr="00F21E44">
        <w:rPr>
          <w:rFonts w:ascii="Helvetica" w:hAnsi="Helvetica"/>
          <w:sz w:val="22"/>
          <w:szCs w:val="18"/>
        </w:rPr>
        <w:t xml:space="preserve"> +</w:t>
      </w:r>
      <w:r w:rsidR="00130C58">
        <w:rPr>
          <w:rFonts w:ascii="Helvetica" w:hAnsi="Helvetica"/>
          <w:sz w:val="22"/>
          <w:szCs w:val="18"/>
        </w:rPr>
        <w:t>XXXXXXXXXXXX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21E44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Odpovědným pracovníkem za </w:t>
      </w:r>
      <w:proofErr w:type="spellStart"/>
      <w:r w:rsidR="00C65AEA" w:rsidRPr="00F21E44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je </w:t>
      </w:r>
      <w:r w:rsidR="00130C58">
        <w:rPr>
          <w:rFonts w:ascii="Helvetica" w:hAnsi="Helvetica"/>
          <w:sz w:val="22"/>
          <w:szCs w:val="18"/>
        </w:rPr>
        <w:t>XXXXXXXXXXXXXXXXXXX</w:t>
      </w:r>
      <w:r w:rsidR="00F21E44">
        <w:rPr>
          <w:rFonts w:ascii="Helvetica" w:hAnsi="Helvetica"/>
          <w:sz w:val="22"/>
          <w:szCs w:val="18"/>
        </w:rPr>
        <w:t xml:space="preserve">; </w:t>
      </w:r>
      <w:r w:rsidR="00C65AEA" w:rsidRPr="00F21E44">
        <w:rPr>
          <w:rFonts w:ascii="Helvetica" w:hAnsi="Helvetica"/>
          <w:sz w:val="22"/>
          <w:szCs w:val="18"/>
        </w:rPr>
        <w:t>email:</w:t>
      </w:r>
      <w:hyperlink r:id="rId8" w:history="1"/>
      <w:r w:rsidRPr="00F21E44">
        <w:rPr>
          <w:rFonts w:ascii="Helvetica" w:hAnsi="Helvetica"/>
          <w:sz w:val="18"/>
          <w:szCs w:val="18"/>
        </w:rPr>
        <w:t xml:space="preserve"> </w:t>
      </w:r>
      <w:proofErr w:type="gramStart"/>
      <w:r w:rsidR="00130C58">
        <w:rPr>
          <w:rFonts w:ascii="Helvetica" w:hAnsi="Helvetica"/>
          <w:sz w:val="22"/>
          <w:szCs w:val="18"/>
        </w:rPr>
        <w:t>XXXXXXXXXXXXXXXXXXXXXXX</w:t>
      </w:r>
      <w:r w:rsidR="001C70F9">
        <w:rPr>
          <w:rFonts w:ascii="Helvetica" w:hAnsi="Helvetica"/>
          <w:sz w:val="22"/>
          <w:szCs w:val="18"/>
        </w:rPr>
        <w:t xml:space="preserve"> </w:t>
      </w:r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tel</w:t>
      </w:r>
      <w:proofErr w:type="gramEnd"/>
      <w:r w:rsidR="00C65AEA" w:rsidRPr="00F21E44">
        <w:rPr>
          <w:rFonts w:ascii="Helvetica" w:hAnsi="Helvetica"/>
          <w:sz w:val="22"/>
          <w:szCs w:val="18"/>
        </w:rPr>
        <w:t>:</w:t>
      </w:r>
      <w:r w:rsidRPr="00F21E44">
        <w:rPr>
          <w:rFonts w:ascii="Helvetica" w:hAnsi="Helvetica"/>
          <w:sz w:val="22"/>
          <w:szCs w:val="18"/>
        </w:rPr>
        <w:t xml:space="preserve"> +</w:t>
      </w:r>
      <w:r w:rsidR="00130C58">
        <w:rPr>
          <w:rFonts w:ascii="Helvetica" w:hAnsi="Helvetica"/>
          <w:sz w:val="22"/>
          <w:szCs w:val="18"/>
        </w:rPr>
        <w:t>XXXXXXXXXXXX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43847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Daňový doklad bude ze strany </w:t>
      </w:r>
      <w:proofErr w:type="spellStart"/>
      <w:r w:rsidR="00C65AEA" w:rsidRPr="00F21E44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r w:rsidR="00C65AEA" w:rsidRPr="00F21E44">
        <w:rPr>
          <w:rFonts w:ascii="Helvetica" w:hAnsi="Helvetica"/>
          <w:sz w:val="22"/>
          <w:szCs w:val="18"/>
        </w:rPr>
        <w:t>u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zaslán elektronicky na adresu: </w:t>
      </w:r>
      <w:hyperlink r:id="rId9" w:history="1">
        <w:r w:rsidR="00130C58" w:rsidRPr="00D64A6A">
          <w:rPr>
            <w:rStyle w:val="Hypertextovodkaz"/>
            <w:rFonts w:ascii="Helvetica" w:hAnsi="Helvetica"/>
            <w:sz w:val="22"/>
            <w:szCs w:val="18"/>
          </w:rPr>
          <w:t>faktury@ngprague.cz</w:t>
        </w:r>
      </w:hyperlink>
      <w:r w:rsidR="001C70F9">
        <w:rPr>
          <w:rFonts w:ascii="Helvetica" w:hAnsi="Helvetica"/>
          <w:sz w:val="22"/>
          <w:szCs w:val="18"/>
        </w:rPr>
        <w:t xml:space="preserve"> 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VI. </w:t>
      </w:r>
    </w:p>
    <w:p w:rsidR="00F43847" w:rsidRPr="002D6A58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Závěrečná ujednání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Vztahy mezi smluvními stranami, vyplývající z této smlouvy a jí neupravené, se řídí ustanoveními občanského zákoníku. 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vzájemně si v dohodnutém termínu předat podklady nutné k naplnění předmětu této smlouvy.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Kterákoliv smluvní strana je oprávněna od smlouvy odstoupit, a to v případě, že druhá strana opakovaně (nejméně 2x) nesplní či poruší povinnosti stanovené touto smlouvou. Odstoupení musí být učiněno písemně a doručeno druhé smluvní straně. 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Tuto smlouvu může kterákoliv smluvní strana písemně vypovědět, a to i bez uvedení důvodu. Výpovědní doba je jeden měsíc a počíná běžet prvním dnem následujícího měsíce po doručení písemné výpovědi.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lastRenderedPageBreak/>
        <w:t>Tuto smlouvu lze ukončit též vzájemnou dohodou. Dohoda musí být uzavřena písemně a podepsána zástupci obou smluvních stran. V této dohodě musí být rovněž stanoveno, jakým způsobem budou vypořádány vzájemné závazky.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Jakékoliv obchodní podmínky </w:t>
      </w:r>
      <w:proofErr w:type="spellStart"/>
      <w:r w:rsidRPr="00F21E44">
        <w:rPr>
          <w:rFonts w:ascii="Helvetica" w:hAnsi="Helvetica"/>
          <w:sz w:val="22"/>
          <w:szCs w:val="18"/>
        </w:rPr>
        <w:t>Neoluxor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se při jednáních mezi stranami a v tomto závazkovém vztahu neuplatní.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Tato smlouva je vyhotovena ve dvou exemplářích, z nichž každá smluvní strana obdrží jeden. 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Případné změny a dodatky této smlouvy lze činit pouze ve formě písemného dodatku a se souhlasem obou stran. 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Smlouva nabývá platnosti a účinnosti dnem podpisu oběma smluvními stranami.</w:t>
      </w:r>
      <w:r w:rsidR="00D718FA" w:rsidRPr="00F21E44">
        <w:rPr>
          <w:rFonts w:ascii="Helvetica" w:hAnsi="Helvetica"/>
          <w:sz w:val="22"/>
          <w:szCs w:val="18"/>
        </w:rPr>
        <w:t xml:space="preserve"> Pokud se na tuto smlouvu vztahuje povinnost uveřejnění prostřednictvím registru smluv, nabývá tato smlouva účinnosti dnem uveřejnění.</w:t>
      </w:r>
    </w:p>
    <w:p w:rsidR="00F21E44" w:rsidRPr="00F21E44" w:rsidRDefault="00F21E44" w:rsidP="006C7B3E">
      <w:pPr>
        <w:pStyle w:val="Odstavecseseznamem"/>
        <w:numPr>
          <w:ilvl w:val="0"/>
          <w:numId w:val="15"/>
        </w:numPr>
        <w:spacing w:after="240"/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NGP.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NGP současně s uzavřením této smlouvy písemně upozornit. Druhá smluvní strana výslovně souhlasí s tím, že NGP v případě pochybností o tom, zda je dána povinnost uveřejnění této smlouvy v registru smluv, tuto smlouvu v zájmu transparentnosti a právní jistoty uveřejní.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Smlouva je uzavřena na dobu určitou do 31. 12. 202</w:t>
      </w:r>
      <w:r w:rsidR="002D6A58">
        <w:rPr>
          <w:rFonts w:ascii="Helvetica" w:hAnsi="Helvetica"/>
          <w:sz w:val="22"/>
          <w:szCs w:val="18"/>
        </w:rPr>
        <w:t>2</w:t>
      </w:r>
      <w:r w:rsidRPr="00F21E44">
        <w:rPr>
          <w:rFonts w:ascii="Helvetica" w:hAnsi="Helvetica"/>
          <w:sz w:val="22"/>
          <w:szCs w:val="18"/>
        </w:rPr>
        <w:t>.</w:t>
      </w:r>
    </w:p>
    <w:p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Obě smluvní strany potvrzují autentičnost této smlouvy svým podpisem. Zároveň smluvní strany prohlašují, že si tuto smlouvu přečetly a že tato nebyla ujednána v tísni ani za jinak jednostranně nevýhodných podmínek.</w:t>
      </w:r>
    </w:p>
    <w:p w:rsidR="00F43847" w:rsidRP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br/>
      </w:r>
      <w:r>
        <w:rPr>
          <w:rFonts w:ascii="Helvetica" w:hAnsi="Helvetica"/>
          <w:sz w:val="22"/>
          <w:szCs w:val="18"/>
        </w:rPr>
        <w:br/>
      </w:r>
      <w:r w:rsidR="00F43847" w:rsidRPr="00F21E44">
        <w:rPr>
          <w:rFonts w:ascii="Helvetica" w:hAnsi="Helvetica"/>
          <w:sz w:val="22"/>
          <w:szCs w:val="18"/>
        </w:rPr>
        <w:t>V Praze, dne</w:t>
      </w:r>
      <w:r w:rsidR="00F43847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 w:rsidRPr="00F21E44">
        <w:rPr>
          <w:rFonts w:ascii="Helvetica" w:hAnsi="Helvetica"/>
          <w:sz w:val="22"/>
          <w:szCs w:val="18"/>
        </w:rPr>
        <w:t>V Praze, dne</w:t>
      </w:r>
      <w:r w:rsidR="005F06B0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AA7448" w:rsidRDefault="00AA744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425DC6" w:rsidRDefault="00425DC6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2D6A58" w:rsidRPr="00F21E44" w:rsidRDefault="002D6A5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_______________________________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18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_______________________________</w:t>
      </w:r>
    </w:p>
    <w:p w:rsidR="00F43847" w:rsidRPr="00F21E44" w:rsidRDefault="002D6A58" w:rsidP="00F43847">
      <w:pPr>
        <w:pStyle w:val="Normln1"/>
        <w:widowControl/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2D6A58">
        <w:rPr>
          <w:rFonts w:ascii="Helvetica" w:hAnsi="Helvetica"/>
          <w:sz w:val="22"/>
          <w:szCs w:val="18"/>
        </w:rPr>
        <w:t>Mgr. Eva Giese MBA</w:t>
      </w:r>
      <w:r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21E44">
        <w:rPr>
          <w:rFonts w:ascii="Helvetica" w:hAnsi="Helvetica"/>
          <w:sz w:val="22"/>
          <w:szCs w:val="18"/>
        </w:rPr>
        <w:tab/>
      </w:r>
      <w:r w:rsidR="002E0042">
        <w:rPr>
          <w:rFonts w:ascii="Helvetica" w:hAnsi="Helvetica"/>
          <w:sz w:val="22"/>
          <w:szCs w:val="18"/>
        </w:rPr>
        <w:t>Adam Lebeda</w:t>
      </w:r>
    </w:p>
    <w:p w:rsidR="0047653E" w:rsidRPr="00F21E44" w:rsidRDefault="002D6A5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Kancléřka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 xml:space="preserve">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>ředitel marketingu</w:t>
      </w:r>
    </w:p>
    <w:p w:rsidR="00297E0D" w:rsidRPr="00F21E44" w:rsidRDefault="00F43847" w:rsidP="00F21E4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Národní galerie v</w:t>
      </w:r>
      <w:r w:rsidR="0047653E" w:rsidRPr="00F21E44">
        <w:rPr>
          <w:rFonts w:ascii="Helvetica" w:hAnsi="Helvetica"/>
          <w:sz w:val="22"/>
          <w:szCs w:val="18"/>
        </w:rPr>
        <w:t> </w:t>
      </w:r>
      <w:r w:rsidRPr="00F21E44">
        <w:rPr>
          <w:rFonts w:ascii="Helvetica" w:hAnsi="Helvetica"/>
          <w:sz w:val="22"/>
          <w:szCs w:val="18"/>
        </w:rPr>
        <w:t>Praze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  <w:t>NEOLUXOR, s.r.o.</w:t>
      </w:r>
    </w:p>
    <w:sectPr w:rsidR="00297E0D" w:rsidRPr="00F21E44" w:rsidSect="00980D1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DE" w:rsidRDefault="000430DE" w:rsidP="00440334">
      <w:r>
        <w:separator/>
      </w:r>
    </w:p>
  </w:endnote>
  <w:endnote w:type="continuationSeparator" w:id="0">
    <w:p w:rsidR="000430DE" w:rsidRDefault="000430DE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Italic">
    <w:altName w:val="MV Bol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624B44F2" wp14:editId="7CA0E5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3F" w:rsidRDefault="00A6023F" w:rsidP="00440334">
    <w:pPr>
      <w:pStyle w:val="Zpat"/>
      <w:rPr>
        <w:noProof/>
      </w:rPr>
    </w:pPr>
  </w:p>
  <w:p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3E046777" wp14:editId="4A0213C6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DE" w:rsidRDefault="000430DE" w:rsidP="00440334">
      <w:r>
        <w:separator/>
      </w:r>
    </w:p>
  </w:footnote>
  <w:footnote w:type="continuationSeparator" w:id="0">
    <w:p w:rsidR="000430DE" w:rsidRDefault="000430DE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276778A5" wp14:editId="478C09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4389E908" wp14:editId="1CBDAFF3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3413C12A" wp14:editId="74E6317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b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3" w15:restartNumberingAfterBreak="0">
    <w:nsid w:val="00000004"/>
    <w:multiLevelType w:val="multilevel"/>
    <w:tmpl w:val="DC74009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Helvetica" w:eastAsia="ヒラギノ角ゴ Pro W3" w:hAnsi="Helvetica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35AC6B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A5925D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E77F2"/>
    <w:multiLevelType w:val="hybridMultilevel"/>
    <w:tmpl w:val="BA9C84F6"/>
    <w:lvl w:ilvl="0" w:tplc="0405000F">
      <w:start w:val="1"/>
      <w:numFmt w:val="decimal"/>
      <w:lvlText w:val="%1."/>
      <w:lvlJc w:val="left"/>
      <w:pPr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2B2F7228"/>
    <w:multiLevelType w:val="hybridMultilevel"/>
    <w:tmpl w:val="F3AA7F46"/>
    <w:lvl w:ilvl="0" w:tplc="0D2240C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7269B"/>
    <w:multiLevelType w:val="multilevel"/>
    <w:tmpl w:val="D496178E"/>
    <w:lvl w:ilvl="0">
      <w:start w:val="1"/>
      <w:numFmt w:val="decimal"/>
      <w:lvlText w:val="%1."/>
      <w:lvlJc w:val="center"/>
      <w:pPr>
        <w:ind w:left="1559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9457A2"/>
    <w:multiLevelType w:val="hybridMultilevel"/>
    <w:tmpl w:val="B936C8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C69B1"/>
    <w:multiLevelType w:val="hybridMultilevel"/>
    <w:tmpl w:val="8304B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81513"/>
    <w:multiLevelType w:val="hybridMultilevel"/>
    <w:tmpl w:val="609A5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03DC9"/>
    <w:multiLevelType w:val="multilevel"/>
    <w:tmpl w:val="9D94B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B11BF4"/>
    <w:multiLevelType w:val="hybridMultilevel"/>
    <w:tmpl w:val="25CA0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E"/>
    <w:rsid w:val="00027BB6"/>
    <w:rsid w:val="000329F0"/>
    <w:rsid w:val="000430DE"/>
    <w:rsid w:val="00055D2D"/>
    <w:rsid w:val="00061A23"/>
    <w:rsid w:val="000913BB"/>
    <w:rsid w:val="000B2390"/>
    <w:rsid w:val="000B4A21"/>
    <w:rsid w:val="000C0C3B"/>
    <w:rsid w:val="00111070"/>
    <w:rsid w:val="00120914"/>
    <w:rsid w:val="00130C58"/>
    <w:rsid w:val="00132D92"/>
    <w:rsid w:val="001455CC"/>
    <w:rsid w:val="001545B7"/>
    <w:rsid w:val="001A12AC"/>
    <w:rsid w:val="001C70F9"/>
    <w:rsid w:val="001E0F4C"/>
    <w:rsid w:val="00236AAF"/>
    <w:rsid w:val="002418C8"/>
    <w:rsid w:val="00243336"/>
    <w:rsid w:val="00282E0D"/>
    <w:rsid w:val="00297E0D"/>
    <w:rsid w:val="002A3218"/>
    <w:rsid w:val="002B603B"/>
    <w:rsid w:val="002D6A58"/>
    <w:rsid w:val="002E0042"/>
    <w:rsid w:val="002E6A54"/>
    <w:rsid w:val="003363D5"/>
    <w:rsid w:val="00345303"/>
    <w:rsid w:val="00376D06"/>
    <w:rsid w:val="00385EC5"/>
    <w:rsid w:val="00387649"/>
    <w:rsid w:val="00392F25"/>
    <w:rsid w:val="003F481F"/>
    <w:rsid w:val="003F4AB9"/>
    <w:rsid w:val="004067F8"/>
    <w:rsid w:val="00425DC6"/>
    <w:rsid w:val="00440334"/>
    <w:rsid w:val="00442C1E"/>
    <w:rsid w:val="0047653E"/>
    <w:rsid w:val="004966E8"/>
    <w:rsid w:val="004C0F9B"/>
    <w:rsid w:val="004E1470"/>
    <w:rsid w:val="004F45FA"/>
    <w:rsid w:val="00512CCD"/>
    <w:rsid w:val="00571E51"/>
    <w:rsid w:val="005A55F9"/>
    <w:rsid w:val="005C55C9"/>
    <w:rsid w:val="005F06B0"/>
    <w:rsid w:val="00635819"/>
    <w:rsid w:val="006A2F7E"/>
    <w:rsid w:val="006B07A0"/>
    <w:rsid w:val="006C529C"/>
    <w:rsid w:val="006C7B3E"/>
    <w:rsid w:val="006D77CF"/>
    <w:rsid w:val="006E75F1"/>
    <w:rsid w:val="00712650"/>
    <w:rsid w:val="00717D4D"/>
    <w:rsid w:val="00724F76"/>
    <w:rsid w:val="007405D3"/>
    <w:rsid w:val="00764ACC"/>
    <w:rsid w:val="007870C6"/>
    <w:rsid w:val="0079580C"/>
    <w:rsid w:val="007A562A"/>
    <w:rsid w:val="007A75A3"/>
    <w:rsid w:val="007D7327"/>
    <w:rsid w:val="008123E4"/>
    <w:rsid w:val="00842CB6"/>
    <w:rsid w:val="0085137F"/>
    <w:rsid w:val="00852039"/>
    <w:rsid w:val="0086561B"/>
    <w:rsid w:val="00874FAB"/>
    <w:rsid w:val="008A4773"/>
    <w:rsid w:val="008B77D7"/>
    <w:rsid w:val="008F32F2"/>
    <w:rsid w:val="009147BA"/>
    <w:rsid w:val="00922B76"/>
    <w:rsid w:val="00950AD4"/>
    <w:rsid w:val="00962696"/>
    <w:rsid w:val="00980D15"/>
    <w:rsid w:val="009B4F0C"/>
    <w:rsid w:val="009C0C5F"/>
    <w:rsid w:val="009C1C1D"/>
    <w:rsid w:val="009D7FE8"/>
    <w:rsid w:val="009F387B"/>
    <w:rsid w:val="00A071D3"/>
    <w:rsid w:val="00A23A99"/>
    <w:rsid w:val="00A36BEA"/>
    <w:rsid w:val="00A43C2D"/>
    <w:rsid w:val="00A54DE6"/>
    <w:rsid w:val="00A6023F"/>
    <w:rsid w:val="00AA7448"/>
    <w:rsid w:val="00B06FBD"/>
    <w:rsid w:val="00B14BAB"/>
    <w:rsid w:val="00B172B1"/>
    <w:rsid w:val="00B52EBB"/>
    <w:rsid w:val="00B610BC"/>
    <w:rsid w:val="00B93222"/>
    <w:rsid w:val="00BA7A2D"/>
    <w:rsid w:val="00BB1768"/>
    <w:rsid w:val="00C010B8"/>
    <w:rsid w:val="00C01F0D"/>
    <w:rsid w:val="00C241EB"/>
    <w:rsid w:val="00C526EF"/>
    <w:rsid w:val="00C65AEA"/>
    <w:rsid w:val="00C83F15"/>
    <w:rsid w:val="00CA79A5"/>
    <w:rsid w:val="00CB663F"/>
    <w:rsid w:val="00CC3CFB"/>
    <w:rsid w:val="00CD5E05"/>
    <w:rsid w:val="00CF42DA"/>
    <w:rsid w:val="00D10AF9"/>
    <w:rsid w:val="00D40D82"/>
    <w:rsid w:val="00D718FA"/>
    <w:rsid w:val="00DB61F7"/>
    <w:rsid w:val="00DD25BF"/>
    <w:rsid w:val="00DE4083"/>
    <w:rsid w:val="00DF5C24"/>
    <w:rsid w:val="00E13B2B"/>
    <w:rsid w:val="00E224F1"/>
    <w:rsid w:val="00E47AA8"/>
    <w:rsid w:val="00E95C18"/>
    <w:rsid w:val="00EC0CCF"/>
    <w:rsid w:val="00EE4E83"/>
    <w:rsid w:val="00EF3E44"/>
    <w:rsid w:val="00F21E44"/>
    <w:rsid w:val="00F43847"/>
    <w:rsid w:val="00F54341"/>
    <w:rsid w:val="00F5458B"/>
    <w:rsid w:val="00F7242D"/>
    <w:rsid w:val="00F916E6"/>
    <w:rsid w:val="00FC345B"/>
    <w:rsid w:val="00FD0E54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3C97A"/>
  <w15:chartTrackingRefBased/>
  <w15:docId w15:val="{3FAA051E-BF0B-4393-A585-AC99685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"/>
      <w:color w:val="221E1F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610BC"/>
    <w:rPr>
      <w:rFonts w:ascii="Arial" w:hAnsi="Arial"/>
      <w:i/>
      <w:iCs/>
    </w:rPr>
  </w:style>
  <w:style w:type="paragraph" w:styleId="Odstavecseseznamem">
    <w:name w:val="List Paragraph"/>
    <w:basedOn w:val="Normln"/>
    <w:uiPriority w:val="34"/>
    <w:qFormat/>
    <w:rsid w:val="00B610B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unhideWhenUsed/>
    <w:rsid w:val="00B610BC"/>
    <w:rPr>
      <w:color w:val="0563C1" w:themeColor="hyperlink"/>
      <w:u w:val="single"/>
    </w:rPr>
  </w:style>
  <w:style w:type="paragraph" w:customStyle="1" w:styleId="Nadpis11">
    <w:name w:val="Nadpis 11"/>
    <w:next w:val="Normln1"/>
    <w:qFormat/>
    <w:rsid w:val="00F43847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Verdana" w:eastAsia="ヒラギノ角ゴ Pro W3" w:hAnsi="Verdana" w:cs="Times New Roman"/>
      <w:b/>
      <w:color w:val="000000"/>
      <w:szCs w:val="20"/>
      <w:lang w:eastAsia="cs-CZ"/>
    </w:rPr>
  </w:style>
  <w:style w:type="paragraph" w:customStyle="1" w:styleId="Normln1">
    <w:name w:val="Normální1"/>
    <w:rsid w:val="00F43847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HeadingA">
    <w:name w:val="Heading A"/>
    <w:next w:val="Podnadpis1"/>
    <w:rsid w:val="00F43847"/>
    <w:pPr>
      <w:suppressAutoHyphens/>
      <w:spacing w:after="0" w:line="240" w:lineRule="auto"/>
      <w:jc w:val="center"/>
    </w:pPr>
    <w:rPr>
      <w:rFonts w:ascii="Verdana" w:eastAsia="ヒラギノ角ゴ Pro W3" w:hAnsi="Verdana" w:cs="Times New Roman"/>
      <w:b/>
      <w:color w:val="000000"/>
      <w:sz w:val="32"/>
      <w:szCs w:val="20"/>
      <w:lang w:eastAsia="cs-CZ"/>
    </w:rPr>
  </w:style>
  <w:style w:type="paragraph" w:customStyle="1" w:styleId="Podnadpis1">
    <w:name w:val="Podnadpis1"/>
    <w:rsid w:val="00F43847"/>
    <w:pPr>
      <w:keepNext/>
      <w:widowControl w:val="0"/>
      <w:suppressAutoHyphens/>
      <w:spacing w:before="240" w:after="120" w:line="240" w:lineRule="auto"/>
      <w:jc w:val="center"/>
    </w:pPr>
    <w:rPr>
      <w:rFonts w:ascii="Arial Italic" w:eastAsia="ヒラギノ角ゴ Pro W3" w:hAnsi="Arial Italic" w:cs="Times New Roman"/>
      <w:color w:val="000000"/>
      <w:sz w:val="28"/>
      <w:szCs w:val="20"/>
      <w:lang w:eastAsia="cs-CZ"/>
    </w:rPr>
  </w:style>
  <w:style w:type="numbering" w:customStyle="1" w:styleId="Seznam21">
    <w:name w:val="Seznam 21"/>
    <w:rsid w:val="00F43847"/>
  </w:style>
  <w:style w:type="numbering" w:customStyle="1" w:styleId="Seznam51">
    <w:name w:val="Seznam 51"/>
    <w:rsid w:val="00F43847"/>
  </w:style>
  <w:style w:type="character" w:customStyle="1" w:styleId="InternetLink">
    <w:name w:val="Internet Link"/>
    <w:rsid w:val="00F43847"/>
    <w:rPr>
      <w:color w:val="0000FF"/>
      <w:u w:val="single"/>
    </w:rPr>
  </w:style>
  <w:style w:type="numbering" w:customStyle="1" w:styleId="List6">
    <w:name w:val="List 6"/>
    <w:rsid w:val="00F4384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8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A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AD4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A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AD4"/>
    <w:rPr>
      <w:rFonts w:ascii="Georgia" w:hAnsi="Georg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F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B61F7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FB45-64BB-4323-9420-C9F9CA99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17</TotalTime>
  <Pages>1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13</cp:revision>
  <cp:lastPrinted>2022-01-21T12:22:00Z</cp:lastPrinted>
  <dcterms:created xsi:type="dcterms:W3CDTF">2022-01-21T12:19:00Z</dcterms:created>
  <dcterms:modified xsi:type="dcterms:W3CDTF">2022-03-02T08:59:00Z</dcterms:modified>
</cp:coreProperties>
</file>