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7"/>
        <w:keepNext/>
        <w:keepLines/>
        <w:widowControl w:val="0"/>
        <w:shd w:val="clear" w:color="auto" w:fill="auto"/>
        <w:tabs>
          <w:tab w:leader="dot" w:pos="4777" w:val="left"/>
        </w:tabs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 č</w:t>
        <w:tab/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69" w:lineRule="auto"/>
        <w:ind w:left="7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jejich závazkový vztah se řídí § 2079 a násl. zákona č. 89/2012 Sb., občanského zákoníku v platném znění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I. Smluvní strany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1440" w:right="0" w:hanging="1440"/>
        <w:jc w:val="left"/>
        <w:rPr>
          <w:sz w:val="22"/>
          <w:szCs w:val="22"/>
        </w:rPr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Prodávající: Krajská správa a údržba silnic Vysočiny, příspěvková organizace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Kosovská 1122/16, 586 01 Jihlava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statutárním zástupcem: Ing. Radovanem Necidem - ředitelem organizace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777" w:val="left"/>
        </w:tabs>
        <w:bidi w:val="0"/>
        <w:spacing w:before="0" w:after="0" w:line="262" w:lineRule="auto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jednající ve věci:</w:t>
        <w:tab/>
        <w:t>- vedoucí výrobního oddělení Havl. Brod,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1018, 580 01 Havlíčkův Brod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00090450 DIČ: CZ00090450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62" w:lineRule="auto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 Jihlava, č.účtu: zástupce oprávněný jednat ve věcech technických: vedoucí cestmistrovství Ledeč nad Sázavou, telef. mob.</w:t>
      </w:r>
    </w:p>
    <w:p>
      <w:pPr>
        <w:pStyle w:val="Style9"/>
        <w:keepNext/>
        <w:keepLines/>
        <w:widowControl w:val="0"/>
        <w:shd w:val="clear" w:color="auto" w:fill="auto"/>
        <w:tabs>
          <w:tab w:pos="1395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Kupující:</w:t>
        <w:tab/>
        <w:t>TS Ledeč nad Sázavou, s.r.o.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 Stínadly 592,584 01 Ledeč nad Sázavou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zastoupené: Jaroslavem Nekolou - jednatelem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25281208 DIČ: CZ25281208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banka, č.účtu: zástupce oprávněný jednat ve věcech technických: jednatel společnosti, tel.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II. Předmět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2" w:val="left"/>
        </w:tabs>
        <w:bidi w:val="0"/>
        <w:spacing w:before="0" w:line="240" w:lineRule="auto"/>
        <w:ind w:left="0" w:right="0" w:firstLine="38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Předmětem smlouvy je: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Prodej posypové soli v zimním období roku 2022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line="262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prodávané soli: dle skutečné potřeby kupujícího a s ohledem na množství skladových zásob prodávajícího.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780" w:line="257" w:lineRule="auto"/>
        <w:ind w:left="720" w:right="0" w:hanging="34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3352800</wp:posOffset>
                </wp:positionH>
                <wp:positionV relativeFrom="paragraph">
                  <wp:posOffset>660400</wp:posOffset>
                </wp:positionV>
                <wp:extent cx="1127760" cy="20383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7760" cy="2038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III. Doba plnění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4.pt;margin-top:52.pt;width:88.799999999999997pt;height:16.0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cs-CZ" w:eastAsia="cs-CZ" w:bidi="cs-CZ"/>
                        </w:rPr>
                        <w:t>III. Doba plnění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se touto smlouvou zavazuje k prodeji soli a kupující se zavazuje sůl převzít a zaplatit.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od 1. 1.2022 do 31.12.2022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2" w:val="left"/>
        </w:tabs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Cena předmětu smlouvy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5" w:val="left"/>
        </w:tabs>
        <w:bidi w:val="0"/>
        <w:spacing w:before="0" w:after="56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Smluvní cena: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3.500,-Kč za 1 tunu soli bez DPH (4.235,-Kč/t s DPH)</w:t>
      </w:r>
    </w:p>
    <w:p>
      <w:pPr>
        <w:pStyle w:val="Style9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425" w:val="left"/>
        </w:tabs>
        <w:bidi w:val="0"/>
        <w:spacing w:before="0" w:after="560" w:line="240" w:lineRule="auto"/>
        <w:ind w:left="300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Fakturační a platební podmínky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2" w:val="left"/>
        </w:tabs>
        <w:bidi w:val="0"/>
        <w:spacing w:before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prohlašuje, že má zajištěny finanční prostředky na úhradu veškerých dodávek dle této smlouvy po celou dobu plnění.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9" w:val="left"/>
        </w:tabs>
        <w:bidi w:val="0"/>
        <w:spacing w:before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Účtování a placení probíhá dle podmínek této kupní smlouvy.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9" w:val="left"/>
        </w:tabs>
        <w:bidi w:val="0"/>
        <w:spacing w:before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prováděna měsíčně a to nejpozději do 15. dne následujícího měsíce.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5" w:val="left"/>
        </w:tabs>
        <w:bidi w:val="0"/>
        <w:spacing w:before="0" w:after="82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za 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>
      <w:pPr>
        <w:pStyle w:val="Style9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512" w:val="left"/>
        </w:tabs>
        <w:bidi w:val="0"/>
        <w:spacing w:before="0" w:after="260" w:line="233" w:lineRule="auto"/>
        <w:ind w:left="300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Závěrečná ujednání</w:t>
      </w:r>
      <w:bookmarkEnd w:id="10"/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2" w:val="left"/>
        </w:tabs>
        <w:bidi w:val="0"/>
        <w:spacing w:before="0" w:after="32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č.89/2012 Sb., občanský zákoník, v platném zněm.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86" w:val="left"/>
        </w:tabs>
        <w:bidi w:val="0"/>
        <w:spacing w:before="0" w:after="4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výslovně souhlasí se zveřejněním celého textu této smlouvy včetně podpisů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86" w:val="left"/>
        </w:tabs>
        <w:bidi w:val="0"/>
        <w:spacing w:before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smluvmmi stranami a účinnosti dnem uveřejnění 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2" w:val="left"/>
        </w:tabs>
        <w:bidi w:val="0"/>
        <w:spacing w:before="0" w:after="32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Účastnící smlouvy se dohodly, že zákonnou povinnost dle § 5 odst. 2 zákona č. 340/2015 Sb., v platném znění (zákon o registru smluv) splní prodávající.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8" w:val="left"/>
        </w:tabs>
        <w:bidi w:val="0"/>
        <w:spacing w:before="0" w:after="320" w:line="19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ujednám týkající se smlouvy.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9" w:val="left"/>
        </w:tabs>
        <w:bidi w:val="0"/>
        <w:spacing w:before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sepsána ve dvou vyhotoveních, z nichž každá smluvní strana obdrží po jednom.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2" w:val="left"/>
        </w:tabs>
        <w:bidi w:val="0"/>
        <w:spacing w:before="0" w:line="240" w:lineRule="auto"/>
        <w:ind w:left="260" w:right="0" w:hanging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i kupující si obsah smlouvy přečetli, s jejím obsahem bezvýhradně souhlasí a na důkaz svého zájmu opravdu a vážně, nikoliv za nápadně nevýhodných podmínek či v tísni, připojují své vlastnoruční podpisy.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4800"/>
        <w:gridCol w:w="4728"/>
      </w:tblGrid>
      <w:tr>
        <w:trPr>
          <w:trHeight w:val="8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67" w:val="left"/>
              </w:tabs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Jihlavě dne:</w:t>
              <w:tab/>
              <w:t>'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Ledči nad Sázavou dne: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23. 0?. 2022</w:t>
            </w:r>
          </w:p>
        </w:tc>
      </w:tr>
      <w:tr>
        <w:trPr>
          <w:trHeight w:val="97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Prodávající: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Kupující:</w:t>
            </w:r>
          </w:p>
        </w:tc>
      </w:tr>
      <w:tr>
        <w:trPr>
          <w:trHeight w:val="12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 Neciá ředitel organizace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Jaroslav Nekola jednatel společnosti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p.o.</w:t>
      </w:r>
    </w:p>
    <w:sectPr>
      <w:footnotePr>
        <w:pos w:val="pageBottom"/>
        <w:numFmt w:val="decimal"/>
        <w:numRestart w:val="continuous"/>
      </w:footnotePr>
      <w:pgSz w:w="11900" w:h="16840"/>
      <w:pgMar w:top="433" w:left="1335" w:right="1025" w:bottom="1531" w:header="5" w:footer="110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4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5"/>
      <w:numFmt w:val="upperRoman"/>
      <w:lvlText w:val="%1,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6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Základní text (3)_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Nadpis #1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0">
    <w:name w:val="Nadpis #2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Základní text (2)_"/>
    <w:basedOn w:val="DefaultParagraphFont"/>
    <w:link w:val="Style1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Jiné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60"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spacing w:after="180" w:line="269" w:lineRule="auto"/>
      <w:ind w:left="66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spacing w:after="130"/>
      <w:ind w:left="222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FFFFFF"/>
      <w:spacing w:after="260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FFFFFF"/>
      <w:spacing w:after="260"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