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  <w:sz w:val="40"/>
          <w:szCs w:val="40"/>
        </w:rPr>
        <w:t>Smlouva o spolupráci</w:t>
      </w:r>
    </w:p>
    <w:p w:rsidR="00E468DD" w:rsidRDefault="008C0B68">
      <w:pPr>
        <w:widowControl w:val="0"/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v souladu s ustanoven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1746 odst. 2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89/2012 Sb.,</w:t>
      </w:r>
    </w:p>
    <w:p w:rsidR="00E468DD" w:rsidRDefault="008C0B68">
      <w:pPr>
        <w:widowControl w:val="0"/>
        <w:spacing w:line="360" w:lineRule="auto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k, v 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</w:p>
    <w:p w:rsidR="00E468DD" w:rsidRDefault="00E468DD">
      <w:pPr>
        <w:widowControl w:val="0"/>
        <w:spacing w:line="360" w:lineRule="auto"/>
        <w:jc w:val="center"/>
      </w:pPr>
    </w:p>
    <w:p w:rsidR="00E468DD" w:rsidRDefault="008C0B68">
      <w:pPr>
        <w:widowControl w:val="0"/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íž</w:t>
      </w:r>
      <w:r>
        <w:rPr>
          <w:rFonts w:ascii="Times New Roman" w:hAnsi="Times New Roman"/>
          <w:i/>
          <w:iCs/>
          <w:sz w:val="24"/>
          <w:szCs w:val="24"/>
        </w:rPr>
        <w:t>e uveden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ho dne, m</w:t>
      </w:r>
      <w:r>
        <w:rPr>
          <w:rFonts w:ascii="Times New Roman" w:hAnsi="Times New Roman"/>
          <w:i/>
          <w:iCs/>
          <w:sz w:val="24"/>
          <w:szCs w:val="24"/>
        </w:rPr>
        <w:t>ě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 xml:space="preserve">ce a roku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uzav</w:t>
      </w:r>
      <w:r>
        <w:rPr>
          <w:rFonts w:ascii="Times New Roman" w:hAnsi="Times New Roman"/>
          <w:i/>
          <w:iCs/>
          <w:sz w:val="24"/>
          <w:szCs w:val="24"/>
        </w:rPr>
        <w:t>ř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eli:</w:t>
      </w:r>
    </w:p>
    <w:p w:rsidR="00E468DD" w:rsidRDefault="00E468DD">
      <w:pPr>
        <w:widowControl w:val="0"/>
        <w:spacing w:line="360" w:lineRule="auto"/>
        <w:jc w:val="center"/>
      </w:pPr>
    </w:p>
    <w:p w:rsidR="00E468DD" w:rsidRDefault="008C0B68">
      <w:pPr>
        <w:widowControl w:val="0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Bc. Jakub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Hota</w:t>
      </w:r>
      <w:r>
        <w:rPr>
          <w:rFonts w:ascii="Times New Roman" w:hAnsi="Times New Roman"/>
          <w:b/>
          <w:bCs/>
          <w:sz w:val="24"/>
          <w:szCs w:val="24"/>
        </w:rPr>
        <w:t>ř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BA (Hons)</w:t>
      </w:r>
    </w:p>
    <w:p w:rsidR="00E468DD" w:rsidRDefault="008C0B68">
      <w:pPr>
        <w:widowControl w:val="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se 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dlem: Chodsk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1414/11, B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eclav, 690 02</w:t>
      </w:r>
    </w:p>
    <w:p w:rsidR="00E468DD" w:rsidRDefault="008C0B68">
      <w:pPr>
        <w:spacing w:line="360" w:lineRule="auto"/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 87708493</w:t>
      </w:r>
    </w:p>
    <w:p w:rsidR="00E468DD" w:rsidRDefault="008C0B68">
      <w:pPr>
        <w:widowControl w:val="0"/>
        <w:spacing w:line="360" w:lineRule="auto"/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datum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narozen</w:t>
      </w:r>
      <w:proofErr w:type="spellEnd"/>
      <w:r>
        <w:rPr>
          <w:rFonts w:ascii="Times New Roman" w:hAnsi="Times New Roman"/>
          <w:sz w:val="24"/>
          <w:szCs w:val="24"/>
        </w:rPr>
        <w:t>í</w:t>
      </w:r>
      <w:r w:rsidR="00417913">
        <w:rPr>
          <w:rFonts w:ascii="Times New Roman" w:hAnsi="Times New Roman"/>
          <w:sz w:val="24"/>
          <w:szCs w:val="24"/>
        </w:rPr>
        <w:t>: xxxxxxxxxxxxxxxxxxxxx</w:t>
      </w:r>
      <w:bookmarkStart w:id="0" w:name="_GoBack"/>
      <w:bookmarkEnd w:id="0"/>
    </w:p>
    <w:p w:rsidR="00E468DD" w:rsidRDefault="008C0B68">
      <w:pPr>
        <w:widowControl w:val="0"/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le jen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Hota</w:t>
      </w:r>
      <w:r>
        <w:rPr>
          <w:rFonts w:ascii="Times New Roman" w:hAnsi="Times New Roman"/>
          <w:b/>
          <w:bCs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468DD" w:rsidRDefault="00E468DD">
      <w:pPr>
        <w:widowControl w:val="0"/>
        <w:spacing w:line="360" w:lineRule="auto"/>
        <w:jc w:val="both"/>
      </w:pPr>
    </w:p>
    <w:p w:rsidR="00E468DD" w:rsidRDefault="008C0B68">
      <w:pPr>
        <w:widowControl w:val="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</w:p>
    <w:p w:rsidR="00E468DD" w:rsidRDefault="00E468DD">
      <w:pPr>
        <w:widowControl w:val="0"/>
        <w:spacing w:line="360" w:lineRule="auto"/>
      </w:pPr>
    </w:p>
    <w:p w:rsidR="00E468DD" w:rsidRDefault="008C0B68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NEMOCNICE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HAVL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ÍČ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Ů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 BROD, p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sp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vkov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organizace</w:t>
      </w:r>
    </w:p>
    <w:p w:rsidR="00E468DD" w:rsidRDefault="008C0B68">
      <w:pPr>
        <w:spacing w:line="360" w:lineRule="auto"/>
      </w:pPr>
      <w:r>
        <w:rPr>
          <w:rFonts w:ascii="Times New Roman" w:hAnsi="Times New Roman"/>
          <w:sz w:val="24"/>
          <w:szCs w:val="24"/>
        </w:rPr>
        <w:t>se 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dlem: Husova 2624, 580 01 Havl</w:t>
      </w:r>
      <w:r>
        <w:rPr>
          <w:rFonts w:ascii="Times New Roman" w:hAnsi="Times New Roman"/>
          <w:sz w:val="24"/>
          <w:szCs w:val="24"/>
        </w:rPr>
        <w:t>íč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 Brod</w:t>
      </w:r>
    </w:p>
    <w:p w:rsidR="00E468DD" w:rsidRDefault="008C0B68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zastoupena: Mgr. Davidem </w:t>
      </w:r>
      <w:proofErr w:type="spellStart"/>
      <w:r>
        <w:rPr>
          <w:rFonts w:ascii="Times New Roman" w:hAnsi="Times New Roman"/>
          <w:sz w:val="24"/>
          <w:szCs w:val="24"/>
        </w:rPr>
        <w:t>Rezni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enkem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editelem</w:t>
      </w:r>
    </w:p>
    <w:p w:rsidR="00E468DD" w:rsidRDefault="008C0B68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: 00179540</w:t>
      </w:r>
    </w:p>
    <w:p w:rsidR="00E468DD" w:rsidRDefault="008C0B68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DI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: CZ 00179540</w:t>
      </w:r>
    </w:p>
    <w:p w:rsidR="00E468DD" w:rsidRDefault="008C0B68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 jen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)</w:t>
      </w:r>
    </w:p>
    <w:p w:rsidR="00E468DD" w:rsidRDefault="00E468DD">
      <w:pPr>
        <w:widowControl w:val="0"/>
        <w:spacing w:line="360" w:lineRule="auto"/>
        <w:jc w:val="both"/>
      </w:pPr>
    </w:p>
    <w:p w:rsidR="00E468DD" w:rsidRDefault="008C0B68">
      <w:pPr>
        <w:pStyle w:val="Zkladntext"/>
        <w:spacing w:after="0"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na z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>klad</w:t>
      </w:r>
      <w:r>
        <w:rPr>
          <w:rFonts w:ascii="Times New Roman" w:hAnsi="Times New Roman"/>
          <w:i/>
          <w:iCs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vz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>jemn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i/>
          <w:iCs/>
          <w:sz w:val="24"/>
          <w:szCs w:val="24"/>
        </w:rPr>
        <w:t>shody tuto</w:t>
      </w:r>
    </w:p>
    <w:p w:rsidR="00E468DD" w:rsidRDefault="00E468DD">
      <w:pPr>
        <w:widowControl w:val="0"/>
        <w:spacing w:line="360" w:lineRule="auto"/>
        <w:ind w:left="3540"/>
        <w:jc w:val="both"/>
      </w:pPr>
    </w:p>
    <w:p w:rsidR="00E468DD" w:rsidRDefault="008C0B68">
      <w:pPr>
        <w:widowControl w:val="0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smlouvu o spolupr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ci</w:t>
      </w:r>
    </w:p>
    <w:p w:rsidR="00E468DD" w:rsidRDefault="00E468DD">
      <w:pPr>
        <w:widowControl w:val="0"/>
        <w:spacing w:line="360" w:lineRule="auto"/>
        <w:jc w:val="center"/>
      </w:pPr>
    </w:p>
    <w:p w:rsidR="00E468DD" w:rsidRDefault="008C0B68">
      <w:pPr>
        <w:widowControl w:val="0"/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>sleduj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m zn</w:t>
      </w:r>
      <w:r>
        <w:rPr>
          <w:rFonts w:ascii="Times New Roman" w:hAnsi="Times New Roman"/>
          <w:i/>
          <w:iCs/>
          <w:sz w:val="24"/>
          <w:szCs w:val="24"/>
        </w:rPr>
        <w:t>ě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E468DD" w:rsidRDefault="00E468DD">
      <w:pPr>
        <w:widowControl w:val="0"/>
        <w:spacing w:line="360" w:lineRule="auto"/>
        <w:jc w:val="center"/>
      </w:pPr>
    </w:p>
    <w:p w:rsidR="00E468DD" w:rsidRDefault="00E468DD">
      <w:pPr>
        <w:widowControl w:val="0"/>
        <w:spacing w:line="360" w:lineRule="auto"/>
        <w:jc w:val="center"/>
      </w:pPr>
    </w:p>
    <w:p w:rsidR="00E468DD" w:rsidRDefault="00E468DD">
      <w:pPr>
        <w:widowControl w:val="0"/>
        <w:spacing w:line="360" w:lineRule="auto"/>
        <w:jc w:val="center"/>
      </w:pPr>
    </w:p>
    <w:p w:rsidR="00E468DD" w:rsidRDefault="00E468DD">
      <w:pPr>
        <w:widowControl w:val="0"/>
        <w:spacing w:line="360" w:lineRule="auto"/>
        <w:jc w:val="center"/>
      </w:pPr>
    </w:p>
    <w:p w:rsidR="00E468DD" w:rsidRDefault="00E468DD">
      <w:pPr>
        <w:pStyle w:val="Normlnweb"/>
        <w:spacing w:before="0" w:after="0" w:line="360" w:lineRule="auto"/>
        <w:jc w:val="center"/>
      </w:pPr>
    </w:p>
    <w:p w:rsidR="00E468DD" w:rsidRDefault="00E468DD">
      <w:pPr>
        <w:pStyle w:val="Normlnweb"/>
        <w:spacing w:before="0" w:after="0" w:line="360" w:lineRule="auto"/>
        <w:jc w:val="center"/>
      </w:pP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I.</w:t>
      </w: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>Předmět smlouvy</w:t>
      </w:r>
    </w:p>
    <w:p w:rsidR="00E468DD" w:rsidRDefault="008C0B68">
      <w:pPr>
        <w:pStyle w:val="Normlnweb"/>
        <w:spacing w:before="0" w:after="0" w:line="360" w:lineRule="auto"/>
      </w:pPr>
      <w:r>
        <w:tab/>
        <w:t xml:space="preserve">Předmětem smlouvy je úprava vztahů smluvních stran při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spolupráci ve věci vysílání a provozování reklamních a informačních obrazovek ve </w:t>
      </w:r>
      <w:r>
        <w:t>vybraných prostorách (č</w:t>
      </w:r>
      <w:r>
        <w:t>e</w:t>
      </w:r>
      <w:r>
        <w:lastRenderedPageBreak/>
        <w:t>kárny, chodby, oddělení) Nemocnice. Seznam prostor a počet TV tvoří přílohu č. 1 k t</w:t>
      </w:r>
      <w:r>
        <w:rPr>
          <w:lang w:val="fr-FR"/>
        </w:rPr>
        <w:t>é</w:t>
      </w:r>
      <w:r>
        <w:t>to smlouvě.</w:t>
      </w:r>
    </w:p>
    <w:p w:rsidR="00E468DD" w:rsidRDefault="00E468DD">
      <w:pPr>
        <w:pStyle w:val="Normlnweb"/>
        <w:spacing w:before="0" w:after="0" w:line="360" w:lineRule="auto"/>
      </w:pP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II.</w:t>
      </w: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>Práva a povinnosti smluvních stran</w:t>
      </w:r>
      <w:r>
        <w:t> </w:t>
      </w:r>
    </w:p>
    <w:p w:rsidR="00E468DD" w:rsidRDefault="008C0B68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Hota</w:t>
      </w:r>
      <w:r>
        <w:rPr>
          <w:rFonts w:ascii="Times New Roman" w:hAnsi="Times New Roman"/>
          <w:b/>
          <w:bCs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se zavazuje  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zakoupit domluven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 LED TV a dal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enstv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(stoj</w:t>
      </w:r>
      <w:r>
        <w:rPr>
          <w:rFonts w:ascii="Times New Roman" w:hAnsi="Times New Roman"/>
          <w:sz w:val="24"/>
          <w:szCs w:val="24"/>
        </w:rPr>
        <w:t xml:space="preserve">any, </w:t>
      </w:r>
      <w:proofErr w:type="spellStart"/>
      <w:r>
        <w:rPr>
          <w:rFonts w:ascii="Times New Roman" w:hAnsi="Times New Roman"/>
          <w:sz w:val="24"/>
          <w:szCs w:val="24"/>
        </w:rPr>
        <w:t>flash</w:t>
      </w:r>
      <w:proofErr w:type="spellEnd"/>
      <w:r>
        <w:rPr>
          <w:rFonts w:ascii="Times New Roman" w:hAnsi="Times New Roman"/>
          <w:sz w:val="24"/>
          <w:szCs w:val="24"/>
        </w:rPr>
        <w:t xml:space="preserve"> disky)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</w:t>
      </w:r>
      <w:r>
        <w:rPr>
          <w:rFonts w:ascii="Times New Roman" w:hAnsi="Times New Roman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ovat program na domluven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tu LED TV na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de-DE"/>
        </w:rPr>
        <w:t>edem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stech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Nemocnici, 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1,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lat na 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chto LED TV programovou 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ku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celkov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lce</w:t>
      </w:r>
      <w:proofErr w:type="spellEnd"/>
      <w:r>
        <w:rPr>
          <w:rFonts w:ascii="Times New Roman" w:hAnsi="Times New Roman"/>
          <w:sz w:val="24"/>
          <w:szCs w:val="24"/>
        </w:rPr>
        <w:t xml:space="preserve"> 15-20 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nut, opakuj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se nep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etr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od 07:00 do 16:00 </w:t>
      </w:r>
      <w:r>
        <w:rPr>
          <w:rFonts w:ascii="Times New Roman" w:hAnsi="Times New Roman"/>
          <w:sz w:val="24"/>
          <w:szCs w:val="24"/>
        </w:rPr>
        <w:t>hodin po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echny 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dny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ci, 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prostor Nemocnici pro jej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prezentaci v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ce,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dal</w:t>
      </w:r>
      <w:r>
        <w:rPr>
          <w:rFonts w:ascii="Times New Roman" w:hAnsi="Times New Roman"/>
          <w:sz w:val="24"/>
          <w:szCs w:val="24"/>
        </w:rPr>
        <w:t xml:space="preserve">ší </w:t>
      </w:r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program (informa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reklamn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spoty) pro pacienty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ekaj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ch a rozhodovat o tomto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programu dle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nejlep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ho 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sv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souladu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obecn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platn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etick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normami,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volit reklamn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vhodn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prostoru, ve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jsou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a jsou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souladu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obecn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platn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mi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edpisy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vat povinnou ml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enlivost o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 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nostech </w:t>
      </w:r>
      <w:r>
        <w:rPr>
          <w:rFonts w:ascii="Times New Roman" w:hAnsi="Times New Roman"/>
          <w:sz w:val="24"/>
          <w:szCs w:val="24"/>
        </w:rPr>
        <w:t>vztahuj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se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provozu Nemocnice, jej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klient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 a zam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stnanc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m, o kter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gramStart"/>
      <w:r>
        <w:rPr>
          <w:rFonts w:ascii="Times New Roman" w:hAnsi="Times New Roman"/>
          <w:sz w:val="24"/>
          <w:szCs w:val="24"/>
        </w:rPr>
        <w:t>se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zaji</w:t>
      </w:r>
      <w:r>
        <w:rPr>
          <w:rFonts w:ascii="Times New Roman" w:hAnsi="Times New Roman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tu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dozv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l,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lat pravideln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Nemocnice seznam klient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 kte</w:t>
      </w:r>
      <w:r>
        <w:rPr>
          <w:rFonts w:ascii="Times New Roman" w:hAnsi="Times New Roman"/>
          <w:sz w:val="24"/>
          <w:szCs w:val="24"/>
        </w:rPr>
        <w:t xml:space="preserve">ří </w:t>
      </w:r>
      <w:r>
        <w:rPr>
          <w:rFonts w:ascii="Times New Roman" w:hAnsi="Times New Roman"/>
          <w:sz w:val="24"/>
          <w:szCs w:val="24"/>
        </w:rPr>
        <w:t>budou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 propagov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obrazovk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,</w:t>
      </w:r>
    </w:p>
    <w:p w:rsidR="00E468DD" w:rsidRDefault="008C0B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 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Nem</w:t>
      </w:r>
      <w:r>
        <w:rPr>
          <w:rFonts w:ascii="Times New Roman" w:hAnsi="Times New Roman"/>
          <w:sz w:val="24"/>
          <w:szCs w:val="24"/>
        </w:rPr>
        <w:t xml:space="preserve">ocnice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plnou 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ku na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c, a to </w:t>
      </w:r>
      <w:proofErr w:type="gramStart"/>
      <w:r>
        <w:rPr>
          <w:rFonts w:ascii="Times New Roman" w:hAnsi="Times New Roman"/>
          <w:sz w:val="24"/>
          <w:szCs w:val="24"/>
        </w:rPr>
        <w:t xml:space="preserve">elektronicky 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ed</w:t>
      </w:r>
      <w:proofErr w:type="gramEnd"/>
      <w:r>
        <w:rPr>
          <w:rFonts w:ascii="Times New Roman" w:hAnsi="Times New Roman"/>
          <w:sz w:val="24"/>
          <w:szCs w:val="24"/>
          <w:lang w:val="da-DK"/>
        </w:rPr>
        <w:t xml:space="preserve"> spu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ky na LED TV (p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jinak dle domluvy).</w:t>
      </w:r>
    </w:p>
    <w:p w:rsidR="00E468DD" w:rsidRDefault="00E468DD">
      <w:pPr>
        <w:spacing w:line="360" w:lineRule="auto"/>
        <w:jc w:val="both"/>
      </w:pPr>
    </w:p>
    <w:p w:rsidR="00E468DD" w:rsidRDefault="00E468DD">
      <w:pPr>
        <w:pStyle w:val="Odstavecseseznamem"/>
        <w:spacing w:line="360" w:lineRule="auto"/>
        <w:ind w:left="1068"/>
        <w:jc w:val="both"/>
      </w:pPr>
    </w:p>
    <w:p w:rsidR="00E468DD" w:rsidRDefault="00E468DD">
      <w:pPr>
        <w:pStyle w:val="Odstavecseseznamem"/>
        <w:spacing w:line="360" w:lineRule="auto"/>
        <w:ind w:left="1068"/>
        <w:jc w:val="both"/>
      </w:pPr>
    </w:p>
    <w:p w:rsidR="00E468DD" w:rsidRDefault="008C0B6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 xml:space="preserve"> se zavazuje: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poskytnout ve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ch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prostor pro domluven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et LED TV, </w:t>
      </w:r>
      <w:proofErr w:type="gramStart"/>
      <w:r>
        <w:rPr>
          <w:rFonts w:ascii="Times New Roman" w:hAnsi="Times New Roman"/>
          <w:sz w:val="24"/>
          <w:szCs w:val="24"/>
        </w:rPr>
        <w:t>dle</w:t>
      </w:r>
      <w:proofErr w:type="gram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elektrickou energii pro provoz 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chto LED TV,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 tyto LED TV po celou ordina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dobu, tedy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den od 7:00 hod do 16:00 hod,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ustanovit osobu (v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osob) na zap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 LED TV, a to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den v 7:00 hod (pokud </w:t>
      </w:r>
      <w:r>
        <w:rPr>
          <w:rFonts w:ascii="Times New Roman" w:hAnsi="Times New Roman"/>
          <w:sz w:val="24"/>
          <w:szCs w:val="24"/>
        </w:rPr>
        <w:t>nebude stanoveno jinak),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ustanovit osobu na nam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tkovou kontrolu funk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ech LED TV</w:t>
      </w:r>
      <w:r>
        <w:rPr>
          <w:rFonts w:ascii="Times New Roman" w:hAnsi="Times New Roman"/>
          <w:sz w:val="24"/>
          <w:szCs w:val="24"/>
        </w:rPr>
        <w:t>, a to dle pot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eby, nap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klad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padech </w:t>
      </w:r>
      <w:proofErr w:type="spellStart"/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de-DE"/>
        </w:rPr>
        <w:t>ekan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padku proudu a podobn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o jak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chkoli 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novan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padc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ch jednoho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kus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  <w:lang w:val="da-DK"/>
        </w:rPr>
        <w:t>LED TV,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Jakubovi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ovi</w:t>
      </w:r>
      <w:proofErr w:type="spellEnd"/>
      <w:r>
        <w:rPr>
          <w:rFonts w:ascii="Times New Roman" w:hAnsi="Times New Roman"/>
          <w:sz w:val="24"/>
          <w:szCs w:val="24"/>
        </w:rPr>
        <w:t xml:space="preserve">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 Nemocnice nejpozd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ji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25. dni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ce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pt-PT"/>
        </w:rPr>
        <w:t>m term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nem</w:t>
      </w:r>
      <w:proofErr w:type="spellEnd"/>
      <w:r>
        <w:rPr>
          <w:rFonts w:ascii="Times New Roman" w:hAnsi="Times New Roman"/>
          <w:sz w:val="24"/>
          <w:szCs w:val="24"/>
        </w:rPr>
        <w:t xml:space="preserve"> prvn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ky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</w:t>
      </w:r>
    </w:p>
    <w:p w:rsidR="00E468DD" w:rsidRDefault="008C0B68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spolupracovat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tomto typu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hradn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Jakubem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, 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ednostn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na prodlou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spolupr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ce.</w:t>
      </w:r>
    </w:p>
    <w:p w:rsidR="00E468DD" w:rsidRDefault="00E468DD">
      <w:pPr>
        <w:pStyle w:val="Normlnweb"/>
        <w:spacing w:before="0" w:after="0" w:line="360" w:lineRule="auto"/>
        <w:jc w:val="center"/>
      </w:pP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III.</w:t>
      </w: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>Cena a platební podmínky</w:t>
      </w:r>
      <w:r>
        <w:t> </w:t>
      </w:r>
    </w:p>
    <w:p w:rsidR="00E468DD" w:rsidRDefault="008C0B6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prohla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uje,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je nepl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tcem DPH. </w:t>
      </w:r>
    </w:p>
    <w:p w:rsidR="00E468DD" w:rsidRDefault="008C0B6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Nemocnice prohla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uje,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je 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tcem DPH.</w:t>
      </w:r>
    </w:p>
    <w:p w:rsidR="00E468DD" w:rsidRDefault="008C0B6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strany se dohodly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sledovn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:</w:t>
      </w:r>
    </w:p>
    <w:p w:rsidR="00E468DD" w:rsidRDefault="008C0B68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klady spojen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kupem LED TV (stejn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jako s jejich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- stojany, </w:t>
      </w:r>
      <w:proofErr w:type="spellStart"/>
      <w:r>
        <w:rPr>
          <w:rFonts w:ascii="Times New Roman" w:hAnsi="Times New Roman"/>
          <w:sz w:val="24"/>
          <w:szCs w:val="24"/>
        </w:rPr>
        <w:t>flash</w:t>
      </w:r>
      <w:proofErr w:type="spellEnd"/>
      <w:r>
        <w:rPr>
          <w:rFonts w:ascii="Times New Roman" w:hAnsi="Times New Roman"/>
          <w:sz w:val="24"/>
          <w:szCs w:val="24"/>
        </w:rPr>
        <w:t xml:space="preserve"> disky atd.) 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68DD" w:rsidRDefault="008C0B68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klady spojen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 odebranou elektrickou energi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stejn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jako s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nou mont</w:t>
      </w:r>
      <w:r>
        <w:rPr>
          <w:rFonts w:ascii="Times New Roman" w:hAnsi="Times New Roman"/>
          <w:sz w:val="24"/>
          <w:szCs w:val="24"/>
        </w:rPr>
        <w:t xml:space="preserve">áží </w:t>
      </w:r>
      <w:r>
        <w:rPr>
          <w:rFonts w:ascii="Times New Roman" w:hAnsi="Times New Roman"/>
          <w:sz w:val="24"/>
          <w:szCs w:val="24"/>
        </w:rPr>
        <w:t>elektrick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suvek, 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Nemocnice.</w:t>
      </w:r>
    </w:p>
    <w:p w:rsidR="00E468DD" w:rsidRDefault="008C0B68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echny LED TV +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enstv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jsou v majetku Jakuba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 kter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v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losti na tomto zv</w:t>
      </w:r>
      <w:r>
        <w:rPr>
          <w:rFonts w:ascii="Times New Roman" w:hAnsi="Times New Roman"/>
          <w:sz w:val="24"/>
          <w:szCs w:val="24"/>
        </w:rPr>
        <w:t xml:space="preserve">áží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poji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obrazovek (proti ztr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kr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i,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>é š</w:t>
      </w:r>
      <w:r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apod.). LED TV jsou v majetku Jakuba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i po ukon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lupr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 s Nemocnic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kdy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 LED TV odinstalovat z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prostor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i se v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  <w:lang w:val="pt-PT"/>
        </w:rPr>
        <w:t>m p</w:t>
      </w:r>
      <w:proofErr w:type="spellStart"/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enstv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68DD" w:rsidRDefault="008C0B68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Nemocnici poplatek za pron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prostor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dohodnut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i, kter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celkov</w:t>
      </w:r>
      <w:r>
        <w:rPr>
          <w:rFonts w:ascii="Times New Roman" w:hAnsi="Times New Roman"/>
          <w:sz w:val="24"/>
          <w:szCs w:val="24"/>
        </w:rPr>
        <w:t>ě č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de-DE"/>
        </w:rPr>
        <w:t>500 K</w:t>
      </w:r>
      <w:r>
        <w:rPr>
          <w:rFonts w:ascii="Times New Roman" w:hAnsi="Times New 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reklamn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klienta za 1 kalend</w:t>
      </w:r>
      <w:r>
        <w:rPr>
          <w:rFonts w:ascii="Times New Roman" w:hAnsi="Times New Roman"/>
          <w:sz w:val="24"/>
          <w:szCs w:val="24"/>
        </w:rPr>
        <w:t>ář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c. Seznam klient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na dan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 bude 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pravide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edkl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dat 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Nemocnice. </w:t>
      </w:r>
    </w:p>
    <w:p w:rsidR="00E468DD" w:rsidRDefault="008C0B68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Fakturace bude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hat </w:t>
      </w:r>
      <w:r>
        <w:rPr>
          <w:rFonts w:ascii="Times New Roman" w:hAnsi="Times New Roman"/>
          <w:sz w:val="24"/>
          <w:szCs w:val="24"/>
        </w:rPr>
        <w:t>kvart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na adresu:</w:t>
      </w:r>
    </w:p>
    <w:p w:rsidR="00E468DD" w:rsidRDefault="008C0B68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68DD" w:rsidRDefault="008C0B68">
      <w:pPr>
        <w:spacing w:line="360" w:lineRule="auto"/>
        <w:ind w:left="144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Hota</w:t>
      </w:r>
      <w:r>
        <w:rPr>
          <w:rFonts w:ascii="Times New Roman" w:hAnsi="Times New Roman"/>
          <w:b/>
          <w:bCs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Chodsk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 xml:space="preserve">á 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11, B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ř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eclav, 690 02</w:t>
      </w:r>
    </w:p>
    <w:p w:rsidR="00E468DD" w:rsidRDefault="008C0B68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>Faktury budou Nemocnic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vystaveny nejpozd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ji 5. den 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po </w:t>
      </w:r>
      <w:proofErr w:type="gramStart"/>
      <w:r>
        <w:rPr>
          <w:rFonts w:ascii="Times New Roman" w:hAnsi="Times New Roman"/>
          <w:sz w:val="24"/>
          <w:szCs w:val="24"/>
        </w:rPr>
        <w:t>uzav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 xml:space="preserve">ří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gramStart"/>
      <w:r>
        <w:rPr>
          <w:rFonts w:ascii="Times New Roman" w:hAnsi="Times New Roman"/>
          <w:sz w:val="24"/>
          <w:szCs w:val="24"/>
        </w:rPr>
        <w:t>cyklu</w:t>
      </w:r>
      <w:proofErr w:type="gramEnd"/>
      <w:r>
        <w:rPr>
          <w:rFonts w:ascii="Times New Roman" w:hAnsi="Times New Roman"/>
          <w:sz w:val="24"/>
          <w:szCs w:val="24"/>
        </w:rPr>
        <w:t xml:space="preserve">. 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faktury ve </w:t>
      </w:r>
      <w:proofErr w:type="gramStart"/>
      <w:r>
        <w:rPr>
          <w:rFonts w:ascii="Times New Roman" w:hAnsi="Times New Roman"/>
          <w:sz w:val="24"/>
          <w:szCs w:val="24"/>
        </w:rPr>
        <w:t>14-ti</w:t>
      </w:r>
      <w:proofErr w:type="gramEnd"/>
      <w:r>
        <w:rPr>
          <w:rFonts w:ascii="Times New Roman" w:hAnsi="Times New Roman"/>
          <w:sz w:val="24"/>
          <w:szCs w:val="24"/>
        </w:rPr>
        <w:t xml:space="preserve"> denn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splatnosti na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et Nemocnice uveden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  <w:lang w:val="sv-SE"/>
        </w:rPr>
        <w:t>na faktu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it-IT"/>
        </w:rPr>
        <w:t xml:space="preserve">e.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hradou se rozum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da-DK"/>
        </w:rPr>
        <w:t>den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ips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fakturovan</w:t>
      </w:r>
      <w:r>
        <w:rPr>
          <w:rFonts w:ascii="Times New Roman" w:hAnsi="Times New Roman"/>
          <w:sz w:val="24"/>
          <w:szCs w:val="24"/>
        </w:rPr>
        <w:t>é čá</w:t>
      </w:r>
      <w:r>
        <w:rPr>
          <w:rFonts w:ascii="Times New Roman" w:hAnsi="Times New Roman"/>
          <w:sz w:val="24"/>
          <w:szCs w:val="24"/>
        </w:rPr>
        <w:t xml:space="preserve">stky na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et Nemocnice.</w:t>
      </w:r>
    </w:p>
    <w:p w:rsidR="00E468DD" w:rsidRDefault="00E468DD">
      <w:pPr>
        <w:spacing w:line="360" w:lineRule="auto"/>
      </w:pP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 xml:space="preserve">Článek IV. </w:t>
      </w:r>
    </w:p>
    <w:p w:rsidR="00E468DD" w:rsidRDefault="008C0B68">
      <w:pPr>
        <w:pStyle w:val="Nadpis2"/>
        <w:spacing w:before="0" w:after="0" w:line="360" w:lineRule="auto"/>
        <w:jc w:val="center"/>
      </w:pPr>
      <w:r>
        <w:rPr>
          <w:sz w:val="24"/>
          <w:szCs w:val="24"/>
        </w:rPr>
        <w:t>Program vysílání</w:t>
      </w:r>
    </w:p>
    <w:p w:rsidR="00E468DD" w:rsidRDefault="008C0B68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ka bude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den od 7:00 hod do 16:00 hod na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ech LED TV sou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1. </w:t>
      </w:r>
    </w:p>
    <w:p w:rsidR="00E468DD" w:rsidRDefault="008C0B68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z w:val="24"/>
          <w:szCs w:val="24"/>
        </w:rPr>
        <w:t xml:space="preserve">ň </w:t>
      </w:r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asu bude slo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ena z:</w:t>
      </w:r>
    </w:p>
    <w:p w:rsidR="00E468DD" w:rsidRDefault="008C0B6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informa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Nemocnice</w:t>
      </w:r>
    </w:p>
    <w:p w:rsidR="00E468DD" w:rsidRDefault="008C0B6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obchodn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partner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 xml:space="preserve">Jakuba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proofErr w:type="spellEnd"/>
    </w:p>
    <w:p w:rsidR="00E468DD" w:rsidRDefault="008C0B6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ensko-kulturn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pt-PT"/>
        </w:rPr>
        <w:t>program m</w:t>
      </w:r>
      <w:proofErr w:type="spellStart"/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sta</w:t>
      </w:r>
      <w:proofErr w:type="spellEnd"/>
      <w:r>
        <w:rPr>
          <w:rFonts w:ascii="Times New Roman" w:hAnsi="Times New Roman"/>
          <w:sz w:val="24"/>
          <w:szCs w:val="24"/>
        </w:rPr>
        <w:t xml:space="preserve"> a okol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, region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program</w:t>
      </w:r>
    </w:p>
    <w:p w:rsidR="00E468DD" w:rsidRDefault="008C0B68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programov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plni jsou zak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ny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koliv</w:t>
      </w:r>
      <w:proofErr w:type="spellEnd"/>
      <w:r>
        <w:rPr>
          <w:rFonts w:ascii="Times New Roman" w:hAnsi="Times New Roman"/>
          <w:sz w:val="24"/>
          <w:szCs w:val="24"/>
        </w:rPr>
        <w:t xml:space="preserve"> reklamn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zalo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podprahov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skryt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reklama, reklamn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sahuj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jakoukoliv diskriminaci z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rasy, pohlav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rodnosti, napadaj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nebo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rodnostn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ohro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ijateln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sobem mravnost, sni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lidskou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stojnost, obsahuj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prvky pornografie,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sil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prvky vyu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motivu strachu, reklama nesm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napadat </w:t>
      </w:r>
      <w:proofErr w:type="spellStart"/>
      <w:r>
        <w:rPr>
          <w:rFonts w:ascii="Times New Roman" w:hAnsi="Times New Roman"/>
          <w:sz w:val="24"/>
          <w:szCs w:val="24"/>
        </w:rPr>
        <w:t>politick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esv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zak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jsou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podporuj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chov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kozuj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zdrav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ohro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bezpe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 osob nebo majetku, jako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i 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kozuj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jmy na ochranu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ivotn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prost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le reklamn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sm</w:t>
      </w:r>
      <w:r>
        <w:rPr>
          <w:rFonts w:ascii="Times New Roman" w:hAnsi="Times New Roman"/>
          <w:sz w:val="24"/>
          <w:szCs w:val="24"/>
        </w:rPr>
        <w:t>ěř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reklam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provozov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by, provozov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krematoria nebo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balzamace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/>
          <w:sz w:val="24"/>
          <w:szCs w:val="24"/>
        </w:rPr>
        <w:t>konzervace  a sp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ty</w:t>
      </w:r>
      <w:proofErr w:type="gramEnd"/>
      <w:r>
        <w:rPr>
          <w:rFonts w:ascii="Times New Roman" w:hAnsi="Times New Roman"/>
          <w:sz w:val="24"/>
          <w:szCs w:val="24"/>
        </w:rPr>
        <w:t xml:space="preserve"> propaguj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politick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strany nebo hnut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edvolebn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agitaci.</w:t>
      </w:r>
    </w:p>
    <w:p w:rsidR="00E468DD" w:rsidRDefault="008C0B68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e zm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sleduje </w:t>
      </w:r>
      <w:proofErr w:type="spellStart"/>
      <w:r>
        <w:rPr>
          <w:rFonts w:ascii="Times New Roman" w:hAnsi="Times New Roman"/>
          <w:sz w:val="24"/>
          <w:szCs w:val="24"/>
        </w:rPr>
        <w:t>okam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upozorn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na tuto </w:t>
      </w:r>
      <w:proofErr w:type="gramStart"/>
      <w:r>
        <w:rPr>
          <w:rFonts w:ascii="Times New Roman" w:hAnsi="Times New Roman"/>
          <w:sz w:val="24"/>
          <w:szCs w:val="24"/>
        </w:rPr>
        <w:t>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  Jakuba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a sjedn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pravy z jeho strany. </w:t>
      </w:r>
      <w:proofErr w:type="spellStart"/>
      <w:r>
        <w:rPr>
          <w:rFonts w:ascii="Times New Roman" w:hAnsi="Times New Roman"/>
          <w:sz w:val="24"/>
          <w:szCs w:val="24"/>
        </w:rPr>
        <w:t>Opakovan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ůž</w:t>
      </w:r>
      <w:r>
        <w:rPr>
          <w:rFonts w:ascii="Times New Roman" w:hAnsi="Times New Roman"/>
          <w:sz w:val="24"/>
          <w:szCs w:val="24"/>
        </w:rPr>
        <w:t>e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pov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 ja</w:t>
      </w:r>
      <w:r>
        <w:rPr>
          <w:rFonts w:ascii="Times New Roman" w:hAnsi="Times New Roman"/>
          <w:sz w:val="24"/>
          <w:szCs w:val="24"/>
        </w:rPr>
        <w:t>ko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 pro odstoupen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od smlouvy.</w:t>
      </w:r>
    </w:p>
    <w:p w:rsidR="00E468DD" w:rsidRDefault="008C0B68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ka bude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na bez </w:t>
      </w:r>
      <w:proofErr w:type="spellStart"/>
      <w:r>
        <w:rPr>
          <w:rFonts w:ascii="Times New Roman" w:hAnsi="Times New Roman"/>
          <w:sz w:val="24"/>
          <w:szCs w:val="24"/>
        </w:rPr>
        <w:t>zvukov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stopy. </w:t>
      </w:r>
    </w:p>
    <w:p w:rsidR="00E468DD" w:rsidRDefault="008C0B68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Platbu za vyu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autorsk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 z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produkce autorsk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eba hradit, jeliko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 xml:space="preserve">se ve </w:t>
      </w:r>
      <w:proofErr w:type="spellStart"/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programu </w:t>
      </w:r>
      <w:r>
        <w:rPr>
          <w:rFonts w:ascii="Times New Roman" w:hAnsi="Times New Roman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autorsk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nebudou objevovat (vys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je bez </w:t>
      </w:r>
      <w:proofErr w:type="spellStart"/>
      <w:r>
        <w:rPr>
          <w:rFonts w:ascii="Times New Roman" w:hAnsi="Times New Roman"/>
          <w:sz w:val="24"/>
          <w:szCs w:val="24"/>
        </w:rPr>
        <w:t>zvukov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stopy). Pokud by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hu trv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povinnost k</w:t>
      </w:r>
      <w:r>
        <w:rPr>
          <w:rFonts w:ascii="Times New Roman" w:hAnsi="Times New Roman"/>
          <w:sz w:val="24"/>
          <w:szCs w:val="24"/>
        </w:rPr>
        <w:t> ú</w:t>
      </w:r>
      <w:r>
        <w:rPr>
          <w:rFonts w:ascii="Times New Roman" w:hAnsi="Times New Roman"/>
          <w:sz w:val="24"/>
          <w:szCs w:val="24"/>
        </w:rPr>
        <w:t>hrad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nosti OSA </w:t>
      </w:r>
      <w:proofErr w:type="gramStart"/>
      <w:r>
        <w:rPr>
          <w:rFonts w:ascii="Times New Roman" w:hAnsi="Times New Roman"/>
          <w:sz w:val="24"/>
          <w:szCs w:val="24"/>
        </w:rPr>
        <w:t>vznikla,  Jakub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zavazuje,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tuto platbu uhrad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E468DD" w:rsidRDefault="00E468DD">
      <w:pPr>
        <w:pStyle w:val="Odstavecseseznamem"/>
      </w:pPr>
    </w:p>
    <w:p w:rsidR="00E468DD" w:rsidRDefault="008C0B68">
      <w:pPr>
        <w:pStyle w:val="Normlnweb"/>
        <w:spacing w:before="0" w:after="0" w:line="360" w:lineRule="auto"/>
        <w:jc w:val="center"/>
      </w:pPr>
      <w:r>
        <w:rPr>
          <w:b/>
          <w:bCs/>
        </w:rPr>
        <w:t xml:space="preserve">Článek V. </w:t>
      </w:r>
    </w:p>
    <w:p w:rsidR="00E468DD" w:rsidRDefault="008C0B68">
      <w:pPr>
        <w:pStyle w:val="Nadpis2"/>
        <w:spacing w:before="0" w:after="0" w:line="360" w:lineRule="auto"/>
        <w:jc w:val="center"/>
      </w:pPr>
      <w:r>
        <w:rPr>
          <w:sz w:val="24"/>
          <w:szCs w:val="24"/>
        </w:rPr>
        <w:t>Závěrečná ustanovení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uzav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na dobu 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itou a to na dobu 2 let po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 xml:space="preserve">naje </w:t>
      </w:r>
      <w:proofErr w:type="gramStart"/>
      <w:r>
        <w:rPr>
          <w:rFonts w:ascii="Times New Roman" w:hAnsi="Times New Roman"/>
          <w:sz w:val="24"/>
          <w:szCs w:val="24"/>
        </w:rPr>
        <w:t xml:space="preserve">datem </w:t>
      </w:r>
      <w:r>
        <w:rPr>
          <w:rFonts w:ascii="Times New Roman" w:hAnsi="Times New Roman"/>
          <w:sz w:val="24"/>
          <w:szCs w:val="24"/>
          <w:u w:val="single"/>
        </w:rPr>
        <w:t>1.dubna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2017</w:t>
      </w:r>
      <w:r>
        <w:rPr>
          <w:rFonts w:ascii="Times New Roman" w:hAnsi="Times New Roman"/>
          <w:sz w:val="24"/>
          <w:szCs w:val="24"/>
        </w:rPr>
        <w:t>. Platnost a</w:t>
      </w:r>
      <w:r>
        <w:rPr>
          <w:rFonts w:ascii="Times New Roman" w:hAnsi="Times New Roman"/>
          <w:sz w:val="24"/>
          <w:szCs w:val="24"/>
        </w:rPr>
        <w:t> úč</w:t>
      </w:r>
      <w:r>
        <w:rPr>
          <w:rFonts w:ascii="Times New Roman" w:hAnsi="Times New Roman"/>
          <w:sz w:val="24"/>
          <w:szCs w:val="24"/>
        </w:rPr>
        <w:t>innost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je 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 dnem podpisu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stran.</w:t>
      </w:r>
      <w:r>
        <w:rPr>
          <w:rFonts w:ascii="Times New Roman" w:hAnsi="Times New Roman"/>
          <w:sz w:val="24"/>
          <w:szCs w:val="24"/>
        </w:rPr>
        <w:t> 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ednostn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na prodlou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m</w:t>
      </w:r>
      <w:r>
        <w:rPr>
          <w:rFonts w:ascii="Times New Roman" w:hAnsi="Times New Roman"/>
          <w:sz w:val="24"/>
          <w:szCs w:val="24"/>
        </w:rPr>
        <w:t>ůž</w:t>
      </w:r>
      <w:r>
        <w:rPr>
          <w:rFonts w:ascii="Times New Roman" w:hAnsi="Times New Roman"/>
          <w:sz w:val="24"/>
          <w:szCs w:val="24"/>
        </w:rPr>
        <w:t>e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ukon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ena vz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jemnou dohodou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stran.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smlouvy,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 II odst. 1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sm. e) 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 IV. odst. 3 smlouvy,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Nemocnice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od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odstoupit.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ny a dopl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ky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mohou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ny pouze formou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semnou.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strany se dohodly,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echny spory budou 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it dle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du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publiky.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ve dvou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de-DE"/>
        </w:rPr>
        <w:t>tisc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>,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strana obdr</w:t>
      </w:r>
      <w:r>
        <w:rPr>
          <w:rFonts w:ascii="Times New Roman" w:hAnsi="Times New Roman"/>
          <w:sz w:val="24"/>
          <w:szCs w:val="24"/>
        </w:rPr>
        <w:t xml:space="preserve">ží </w:t>
      </w:r>
      <w:r>
        <w:rPr>
          <w:rFonts w:ascii="Times New Roman" w:hAnsi="Times New Roman"/>
          <w:sz w:val="24"/>
          <w:szCs w:val="24"/>
        </w:rPr>
        <w:t>jeden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tisk.</w:t>
      </w:r>
    </w:p>
    <w:p w:rsidR="00E468DD" w:rsidRDefault="008C0B68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prohla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si text smlouvy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etly, sezn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mily se s jej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obsahem a bezv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hradn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souhlas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smlouva je projevem jejich prav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svobodn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le, a na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kaz toho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ipojuj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podpisy sv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opr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.</w:t>
      </w:r>
    </w:p>
    <w:p w:rsidR="00E468DD" w:rsidRDefault="00E468DD">
      <w:pPr>
        <w:spacing w:line="360" w:lineRule="auto"/>
        <w:ind w:left="720"/>
        <w:jc w:val="both"/>
      </w:pPr>
    </w:p>
    <w:p w:rsidR="00E468DD" w:rsidRDefault="00E468DD">
      <w:pPr>
        <w:spacing w:line="360" w:lineRule="auto"/>
        <w:ind w:left="720"/>
        <w:jc w:val="both"/>
      </w:pPr>
    </w:p>
    <w:p w:rsidR="00E468DD" w:rsidRDefault="00E468DD">
      <w:pPr>
        <w:spacing w:line="360" w:lineRule="auto"/>
        <w:ind w:left="720"/>
        <w:jc w:val="both"/>
      </w:pPr>
    </w:p>
    <w:p w:rsidR="00E468DD" w:rsidRDefault="008C0B68">
      <w:pPr>
        <w:pStyle w:val="Normlnweb"/>
        <w:spacing w:before="0" w:after="0" w:line="360" w:lineRule="auto"/>
      </w:pPr>
      <w:proofErr w:type="gramStart"/>
      <w:r>
        <w:t>Ve</w:t>
      </w:r>
      <w:proofErr w:type="gramEnd"/>
      <w:r>
        <w:t xml:space="preserve"> ............................. </w:t>
      </w:r>
      <w:proofErr w:type="gramStart"/>
      <w:r>
        <w:t>dne ..........................</w:t>
      </w:r>
      <w:proofErr w:type="gramEnd"/>
      <w:r>
        <w:t> </w:t>
      </w:r>
    </w:p>
    <w:p w:rsidR="00E468DD" w:rsidRDefault="00E468DD">
      <w:pPr>
        <w:pStyle w:val="Normlnweb"/>
        <w:spacing w:before="0" w:after="0" w:line="360" w:lineRule="auto"/>
      </w:pPr>
    </w:p>
    <w:p w:rsidR="00E468DD" w:rsidRDefault="008C0B68">
      <w:pPr>
        <w:pStyle w:val="Normlnweb"/>
        <w:spacing w:before="0" w:after="0" w:line="360" w:lineRule="auto"/>
      </w:pPr>
      <w:r>
        <w:t xml:space="preserve">............................................................                </w:t>
      </w:r>
      <w:r>
        <w:tab/>
      </w:r>
      <w:r>
        <w:t>............................................................</w:t>
      </w:r>
    </w:p>
    <w:p w:rsidR="00E468DD" w:rsidRDefault="008C0B68">
      <w:pPr>
        <w:widowControl w:val="0"/>
      </w:pPr>
      <w:r>
        <w:rPr>
          <w:rFonts w:ascii="Times New Roman" w:hAnsi="Times New Roman"/>
          <w:sz w:val="24"/>
          <w:szCs w:val="24"/>
        </w:rPr>
        <w:t xml:space="preserve">Bc. Jakub </w:t>
      </w:r>
      <w:proofErr w:type="spellStart"/>
      <w:r>
        <w:rPr>
          <w:rFonts w:ascii="Times New Roman" w:hAnsi="Times New Roman"/>
          <w:sz w:val="24"/>
          <w:szCs w:val="24"/>
        </w:rPr>
        <w:t>Hota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</w:rPr>
        <w:t>, BA (Hons)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Nemocnice Havl</w:t>
      </w:r>
      <w:r>
        <w:rPr>
          <w:rFonts w:ascii="Times New Roman" w:hAnsi="Times New Roman"/>
          <w:sz w:val="24"/>
          <w:szCs w:val="24"/>
        </w:rPr>
        <w:t>íč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v Brod,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468DD" w:rsidRDefault="008C0B68">
      <w:pPr>
        <w:widowControl w:val="0"/>
        <w:spacing w:line="360" w:lineRule="auto"/>
        <w:jc w:val="both"/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    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  <w:t xml:space="preserve">          </w:t>
      </w:r>
    </w:p>
    <w:p w:rsidR="00E468DD" w:rsidRDefault="00E468DD">
      <w:pPr>
        <w:widowControl w:val="0"/>
        <w:spacing w:line="360" w:lineRule="auto"/>
        <w:jc w:val="both"/>
      </w:pPr>
    </w:p>
    <w:p w:rsidR="00E468DD" w:rsidRDefault="00E468DD">
      <w:pPr>
        <w:widowControl w:val="0"/>
      </w:pPr>
    </w:p>
    <w:p w:rsidR="00E468DD" w:rsidRDefault="00E468DD">
      <w:pPr>
        <w:widowControl w:val="0"/>
      </w:pPr>
    </w:p>
    <w:p w:rsidR="00E468DD" w:rsidRDefault="00E468DD">
      <w:pPr>
        <w:widowControl w:val="0"/>
      </w:pPr>
    </w:p>
    <w:p w:rsidR="00E468DD" w:rsidRDefault="00E468DD">
      <w:pPr>
        <w:widowControl w:val="0"/>
      </w:pPr>
    </w:p>
    <w:p w:rsidR="00E468DD" w:rsidRDefault="008C0B68">
      <w:pPr>
        <w:widowControl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ří</w:t>
      </w:r>
      <w:r>
        <w:rPr>
          <w:rFonts w:ascii="Times New Roman" w:hAnsi="Times New Roman"/>
          <w:b/>
          <w:bCs/>
          <w:sz w:val="24"/>
          <w:szCs w:val="24"/>
        </w:rPr>
        <w:t xml:space="preserve">loha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. 1</w:t>
      </w:r>
    </w:p>
    <w:p w:rsidR="00E468DD" w:rsidRDefault="008C0B68">
      <w:pPr>
        <w:widowControl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Seznam m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st instalac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</w:rPr>
        <w:t>LED TV v budov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ch Nemocnice Havl</w:t>
      </w:r>
      <w:r>
        <w:rPr>
          <w:rFonts w:ascii="Times New Roman" w:hAnsi="Times New Roman"/>
          <w:b/>
          <w:bCs/>
          <w:sz w:val="24"/>
          <w:szCs w:val="24"/>
        </w:rPr>
        <w:t>íč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ů</w:t>
      </w:r>
      <w:r>
        <w:rPr>
          <w:rFonts w:ascii="Times New Roman" w:hAnsi="Times New Roman"/>
          <w:b/>
          <w:bCs/>
          <w:sz w:val="24"/>
          <w:szCs w:val="24"/>
        </w:rPr>
        <w:t>v Brod</w:t>
      </w:r>
    </w:p>
    <w:p w:rsidR="00E468DD" w:rsidRDefault="00E468DD">
      <w:pPr>
        <w:widowControl w:val="0"/>
      </w:pPr>
    </w:p>
    <w:p w:rsidR="00E468DD" w:rsidRDefault="008C0B68">
      <w:pPr>
        <w:widowControl w:val="0"/>
      </w:pPr>
      <w:r>
        <w:rPr>
          <w:rFonts w:ascii="Times New Roman" w:hAnsi="Times New Roman"/>
          <w:sz w:val="24"/>
          <w:szCs w:val="24"/>
          <w:u w:val="single"/>
        </w:rPr>
        <w:t>Hlavn</w:t>
      </w:r>
      <w:r>
        <w:rPr>
          <w:rFonts w:ascii="Times New Roman" w:hAnsi="Times New Roman"/>
          <w:sz w:val="24"/>
          <w:szCs w:val="24"/>
          <w:u w:val="single"/>
        </w:rPr>
        <w:t xml:space="preserve">í </w:t>
      </w:r>
      <w:r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  <w:u w:val="single"/>
        </w:rPr>
        <w:t>ůž</w:t>
      </w:r>
      <w:r>
        <w:rPr>
          <w:rFonts w:ascii="Times New Roman" w:hAnsi="Times New Roman"/>
          <w:sz w:val="24"/>
          <w:szCs w:val="24"/>
          <w:u w:val="single"/>
        </w:rPr>
        <w:t>kov</w:t>
      </w:r>
      <w:r>
        <w:rPr>
          <w:rFonts w:ascii="Times New Roman" w:hAnsi="Times New Roman"/>
          <w:sz w:val="24"/>
          <w:szCs w:val="24"/>
          <w:u w:val="single"/>
        </w:rPr>
        <w:t xml:space="preserve">á </w:t>
      </w:r>
      <w:r>
        <w:rPr>
          <w:rFonts w:ascii="Times New Roman" w:hAnsi="Times New Roman"/>
          <w:sz w:val="24"/>
          <w:szCs w:val="24"/>
          <w:u w:val="single"/>
        </w:rPr>
        <w:t>budova NHB</w:t>
      </w:r>
    </w:p>
    <w:p w:rsidR="00E468DD" w:rsidRDefault="00E468DD">
      <w:pPr>
        <w:widowControl w:val="0"/>
      </w:pPr>
    </w:p>
    <w:p w:rsidR="00E468DD" w:rsidRDefault="008C0B68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Emergency</w:t>
      </w:r>
      <w:proofErr w:type="spellEnd"/>
    </w:p>
    <w:p w:rsidR="00E468DD" w:rsidRDefault="008C0B68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Ambulance LPS</w:t>
      </w:r>
    </w:p>
    <w:p w:rsidR="00E468DD" w:rsidRDefault="008C0B68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tsk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ambulance</w:t>
      </w:r>
    </w:p>
    <w:p w:rsidR="00E468DD" w:rsidRDefault="008C0B68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rna ortopedick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ambulance a CT</w:t>
      </w:r>
    </w:p>
    <w:p w:rsidR="00E468DD" w:rsidRDefault="008C0B68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rna RDG - sn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mkovny</w:t>
      </w:r>
    </w:p>
    <w:p w:rsidR="00E468DD" w:rsidRDefault="00E468DD">
      <w:pPr>
        <w:widowControl w:val="0"/>
      </w:pPr>
    </w:p>
    <w:p w:rsidR="00E468DD" w:rsidRDefault="008C0B68">
      <w:pPr>
        <w:widowControl w:val="0"/>
      </w:pPr>
      <w:r>
        <w:rPr>
          <w:rFonts w:ascii="Times New Roman" w:hAnsi="Times New Roman"/>
          <w:sz w:val="24"/>
          <w:szCs w:val="24"/>
          <w:u w:val="single"/>
        </w:rPr>
        <w:t xml:space="preserve">Pavilon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č</w:t>
      </w:r>
      <w:r>
        <w:rPr>
          <w:rFonts w:ascii="Times New Roman" w:hAnsi="Times New Roman"/>
          <w:sz w:val="24"/>
          <w:szCs w:val="24"/>
          <w:u w:val="single"/>
        </w:rPr>
        <w:t>.13</w:t>
      </w:r>
      <w:proofErr w:type="gramEnd"/>
    </w:p>
    <w:p w:rsidR="00E468DD" w:rsidRDefault="00E468DD">
      <w:pPr>
        <w:widowControl w:val="0"/>
      </w:pPr>
    </w:p>
    <w:p w:rsidR="00E468DD" w:rsidRDefault="008C0B68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rna endokrinologick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ambulance a ambulance bolesti</w:t>
      </w:r>
    </w:p>
    <w:sectPr w:rsidR="00E468DD">
      <w:headerReference w:type="default" r:id="rId8"/>
      <w:footerReference w:type="default" r:id="rId9"/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68" w:rsidRDefault="008C0B68">
      <w:r>
        <w:separator/>
      </w:r>
    </w:p>
  </w:endnote>
  <w:endnote w:type="continuationSeparator" w:id="0">
    <w:p w:rsidR="008C0B68" w:rsidRDefault="008C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DD" w:rsidRDefault="008C0B68">
    <w:pPr>
      <w:pStyle w:val="Zpat"/>
      <w:tabs>
        <w:tab w:val="clear" w:pos="9072"/>
        <w:tab w:val="right" w:pos="9046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1791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17913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68" w:rsidRDefault="008C0B68">
      <w:r>
        <w:separator/>
      </w:r>
    </w:p>
  </w:footnote>
  <w:footnote w:type="continuationSeparator" w:id="0">
    <w:p w:rsidR="008C0B68" w:rsidRDefault="008C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DD" w:rsidRDefault="00E468DD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7C0"/>
    <w:multiLevelType w:val="hybridMultilevel"/>
    <w:tmpl w:val="1F1AAE0A"/>
    <w:styleLink w:val="Importovanstyl7"/>
    <w:lvl w:ilvl="0" w:tplc="63703766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87E3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8A6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CAEB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073D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FFF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EA5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4A20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9C889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9B3359"/>
    <w:multiLevelType w:val="hybridMultilevel"/>
    <w:tmpl w:val="26B6943C"/>
    <w:styleLink w:val="Importovanstyl2"/>
    <w:lvl w:ilvl="0" w:tplc="4A60C22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2278D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0EEA2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AB17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C3868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4A2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C604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E3F3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A6320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B33040"/>
    <w:multiLevelType w:val="hybridMultilevel"/>
    <w:tmpl w:val="7160E6B0"/>
    <w:styleLink w:val="Importovanstyl6"/>
    <w:lvl w:ilvl="0" w:tplc="956A9A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AB1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46D8F0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C37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E37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C9744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0EC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4BE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E932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277D6F"/>
    <w:multiLevelType w:val="hybridMultilevel"/>
    <w:tmpl w:val="A3A0BDA8"/>
    <w:numStyleLink w:val="Importovanstyl3"/>
  </w:abstractNum>
  <w:abstractNum w:abstractNumId="4">
    <w:nsid w:val="169879A4"/>
    <w:multiLevelType w:val="hybridMultilevel"/>
    <w:tmpl w:val="D2C20D52"/>
    <w:styleLink w:val="Odrky"/>
    <w:lvl w:ilvl="0" w:tplc="67406EA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1A01E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4EA8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C761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8E6AA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0DDC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A78A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06CB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251B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7B141D"/>
    <w:multiLevelType w:val="hybridMultilevel"/>
    <w:tmpl w:val="1F1AAE0A"/>
    <w:numStyleLink w:val="Importovanstyl7"/>
  </w:abstractNum>
  <w:abstractNum w:abstractNumId="6">
    <w:nsid w:val="2A76353B"/>
    <w:multiLevelType w:val="hybridMultilevel"/>
    <w:tmpl w:val="C49874D8"/>
    <w:styleLink w:val="Importovanstyl5"/>
    <w:lvl w:ilvl="0" w:tplc="FCEA49DA">
      <w:start w:val="1"/>
      <w:numFmt w:val="decimal"/>
      <w:lvlText w:val="%1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89E4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62EF4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294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0CF5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667E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411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28FD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EBB6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1211D5"/>
    <w:multiLevelType w:val="hybridMultilevel"/>
    <w:tmpl w:val="A3A0BDA8"/>
    <w:styleLink w:val="Importovanstyl3"/>
    <w:lvl w:ilvl="0" w:tplc="75C44A1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AC1B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242C6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C6C1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8515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261C4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8E71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40F8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6B07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AEE6B01"/>
    <w:multiLevelType w:val="hybridMultilevel"/>
    <w:tmpl w:val="931C3770"/>
    <w:styleLink w:val="Importovanstyl8"/>
    <w:lvl w:ilvl="0" w:tplc="56C2D9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0A11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6D3F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EA5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4C875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022D8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0C2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149FA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6BB7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A8B0960"/>
    <w:multiLevelType w:val="hybridMultilevel"/>
    <w:tmpl w:val="7160E6B0"/>
    <w:numStyleLink w:val="Importovanstyl6"/>
  </w:abstractNum>
  <w:abstractNum w:abstractNumId="10">
    <w:nsid w:val="4F5F32FA"/>
    <w:multiLevelType w:val="hybridMultilevel"/>
    <w:tmpl w:val="D2C20D52"/>
    <w:numStyleLink w:val="Odrky"/>
  </w:abstractNum>
  <w:abstractNum w:abstractNumId="11">
    <w:nsid w:val="58FC040D"/>
    <w:multiLevelType w:val="hybridMultilevel"/>
    <w:tmpl w:val="C49874D8"/>
    <w:numStyleLink w:val="Importovanstyl5"/>
  </w:abstractNum>
  <w:abstractNum w:abstractNumId="12">
    <w:nsid w:val="6061332A"/>
    <w:multiLevelType w:val="hybridMultilevel"/>
    <w:tmpl w:val="931C3770"/>
    <w:numStyleLink w:val="Importovanstyl8"/>
  </w:abstractNum>
  <w:abstractNum w:abstractNumId="13">
    <w:nsid w:val="624A0926"/>
    <w:multiLevelType w:val="hybridMultilevel"/>
    <w:tmpl w:val="A9C47686"/>
    <w:numStyleLink w:val="Importovanstyl4"/>
  </w:abstractNum>
  <w:abstractNum w:abstractNumId="14">
    <w:nsid w:val="66F921E6"/>
    <w:multiLevelType w:val="hybridMultilevel"/>
    <w:tmpl w:val="46F489D6"/>
    <w:numStyleLink w:val="Importovanstyl1"/>
  </w:abstractNum>
  <w:abstractNum w:abstractNumId="15">
    <w:nsid w:val="692E6716"/>
    <w:multiLevelType w:val="hybridMultilevel"/>
    <w:tmpl w:val="26B6943C"/>
    <w:numStyleLink w:val="Importovanstyl2"/>
  </w:abstractNum>
  <w:abstractNum w:abstractNumId="16">
    <w:nsid w:val="6A9232C8"/>
    <w:multiLevelType w:val="hybridMultilevel"/>
    <w:tmpl w:val="A9C47686"/>
    <w:styleLink w:val="Importovanstyl4"/>
    <w:lvl w:ilvl="0" w:tplc="7E2E367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E174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E28AE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C0FF4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8A356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A00F78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01542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2B69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8A6B4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A6B1EEA"/>
    <w:multiLevelType w:val="hybridMultilevel"/>
    <w:tmpl w:val="46F489D6"/>
    <w:styleLink w:val="Importovanstyl1"/>
    <w:lvl w:ilvl="0" w:tplc="7ECCE5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5AEDF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940BF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093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AB06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403E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72F2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2314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4B47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5"/>
  </w:num>
  <w:num w:numId="5">
    <w:abstractNumId w:val="14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  <w:num w:numId="16">
    <w:abstractNumId w:val="9"/>
    <w:lvlOverride w:ilvl="0">
      <w:startOverride w:val="3"/>
    </w:lvlOverride>
  </w:num>
  <w:num w:numId="17">
    <w:abstractNumId w:val="8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68DD"/>
    <w:rsid w:val="00417913"/>
    <w:rsid w:val="008C0B68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ahoma" w:hAnsi="Tahoma" w:cs="Arial Unicode MS"/>
      <w:color w:val="000000"/>
      <w:u w:color="000000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Odrky">
    <w:name w:val="Odrážk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ahoma" w:hAnsi="Tahoma" w:cs="Arial Unicode MS"/>
      <w:color w:val="000000"/>
      <w:u w:color="000000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Odrky">
    <w:name w:val="Odrážk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Pokorná Jana</cp:lastModifiedBy>
  <cp:revision>2</cp:revision>
  <dcterms:created xsi:type="dcterms:W3CDTF">2017-04-13T06:30:00Z</dcterms:created>
  <dcterms:modified xsi:type="dcterms:W3CDTF">2017-04-13T06:30:00Z</dcterms:modified>
</cp:coreProperties>
</file>