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2035" w:h="547" w:wrap="none" w:hAnchor="page" w:x="910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£230 02W</w:t>
      </w:r>
      <w:bookmarkEnd w:id="0"/>
      <w:bookmarkEnd w:id="1"/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" w:left="1485" w:right="757" w:bottom="1317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133985" distL="114300" distR="114300" simplePos="0" relativeHeight="125829378" behindDoc="0" locked="0" layoutInCell="1" allowOverlap="1">
            <wp:simplePos x="0" y="0"/>
            <wp:positionH relativeFrom="page">
              <wp:posOffset>3470275</wp:posOffset>
            </wp:positionH>
            <wp:positionV relativeFrom="paragraph">
              <wp:posOffset>12700</wp:posOffset>
            </wp:positionV>
            <wp:extent cx="1597025" cy="396240"/>
            <wp:wrapSquare wrapText="left"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597025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390525</wp:posOffset>
                </wp:positionV>
                <wp:extent cx="871855" cy="149225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KSAUSV000704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02.30000000000001pt;margin-top:30.75pt;width:68.650000000000006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KSAUSV000704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5228590</wp:posOffset>
            </wp:positionH>
            <wp:positionV relativeFrom="paragraph">
              <wp:posOffset>4337050</wp:posOffset>
            </wp:positionV>
            <wp:extent cx="1657985" cy="975360"/>
            <wp:wrapSquare wrapText="bothSides"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657985" cy="9753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20" w:line="254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Drtě určené k posypu vozovek Vysočiny, část XVIII - 2/11 pro cestmistrovství Třebíč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2"/>
      <w:bookmarkEnd w:id="3"/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Drtě určené k posypu vozovek Vysočiny</w:t>
      </w:r>
      <w:bookmarkEnd w:id="4"/>
      <w:bookmarkEnd w:id="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XVIII - pro cestmistrovství Třebíč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 29. 04. 2010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Č/s/o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smlouvy kupujícího: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73/KSÚSV/TR/10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prodávajícího: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COL-RO/10/PROD/113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tbl>
      <w:tblPr>
        <w:tblOverlap w:val="never"/>
        <w:jc w:val="left"/>
        <w:tblLayout w:type="fixed"/>
      </w:tblPr>
      <w:tblGrid>
        <w:gridCol w:w="1454"/>
        <w:gridCol w:w="6499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11"/>
        <w:keepNext/>
        <w:keepLines/>
        <w:widowControl w:val="0"/>
        <w:shd w:val="clear" w:color="auto" w:fill="auto"/>
        <w:tabs>
          <w:tab w:pos="2006" w:val="left"/>
        </w:tabs>
        <w:bidi w:val="0"/>
        <w:spacing w:before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Radovanem Necidem, ředitelem organizace</w:t>
      </w:r>
      <w:bookmarkEnd w:id="6"/>
      <w:bookmarkEnd w:id="7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80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smluvních:</w:t>
        <w:tab/>
        <w:t>“editel organizace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00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000 90 450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00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CZ00090450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0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„kupující")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1"/>
        <w:keepNext/>
        <w:keepLines/>
        <w:widowControl w:val="0"/>
        <w:shd w:val="clear" w:color="auto" w:fill="auto"/>
        <w:tabs>
          <w:tab w:pos="2006" w:val="left"/>
        </w:tabs>
        <w:bidi w:val="0"/>
        <w:spacing w:before="0" w:line="240" w:lineRule="auto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  <w:tab/>
        <w:t>COLAS CZ, a.s.</w:t>
      </w:r>
      <w:bookmarkEnd w:id="8"/>
      <w:bookmarkEnd w:id="9"/>
    </w:p>
    <w:p>
      <w:pPr>
        <w:pStyle w:val="Style13"/>
        <w:keepNext w:val="0"/>
        <w:keepLines w:val="0"/>
        <w:widowControl w:val="0"/>
        <w:shd w:val="clear" w:color="auto" w:fill="auto"/>
        <w:tabs>
          <w:tab w:pos="20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  <w:tab/>
        <w:t>Rubeška 215/1, 190 00 Praha 9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Závod Lomy, Kosovská 10, 586 37 Jihlava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006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Josefem Lapšo, ředitelem závodu LOMY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006" w:val="left"/>
          <w:tab w:pos="342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smluvních:</w:t>
        <w:tab/>
        <w:t>_</w:t>
        <w:tab/>
        <w:t>. ia základě plné moci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00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261 77 005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00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CZ26177005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„prodávající")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strany"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strana“)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10"/>
      <w:bookmarkEnd w:id="11"/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2" w:val="left"/>
        </w:tabs>
        <w:bidi w:val="0"/>
        <w:spacing w:before="0" w:after="520" w:line="257" w:lineRule="auto"/>
        <w:ind w:left="0" w:right="0" w:firstLine="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Smluvní strany se vzájemně dohodly na změně stávající smlouvy číslo kupujícího 73/KSÚSV/TR/10, číslo prodávajícího COL-RO/10/PROD/113, ze dne 29. 04. 2010, spočívající ve změně ceny plnění v souladu s odst. 11.2.,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Článku 11. Závěrečná ustanoveni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po naplnění podmínek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Článku 9 Inflační doložka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smlouvy na základě ročního růstu indexu spotřebitelských cen vyhlášených Českým statistickým úřadem za roky 2012, 2013, 2014, 2015, 2016, 2017, 2018, 2019, 2020 a 2021. Zároveň se smluvní strany dohodly na změně kupní ceny z důvodu vysokého nárůstu nákladů souvisejících s těžbou a výrobou kameniva (energie, vrtací a trhací práce apod.) převyšující inflaci </w:t>
      </w:r>
      <w:r>
        <w:rPr>
          <w:rStyle w:val="CharStyle10"/>
        </w:rPr>
        <w:t>Drtě určené k posypu vozovek Vysočiny, část XVIII - 2/11 pro cestmistrovstvi Třebíč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vyjádřenou přírůstkem průměrného ročního indexu spotřebitelských cen, především v letech 2020-2021, a které prodávající nemohl ovlivnit.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1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ve znění platných dodatků se mění o průměrnou míru inflace v roce 2012, tj. +3,3%, 2013, tj. +1,4%, 2014, tj. +0,4%, 2015, tj. +0,3%, 2016, tj. +0,7%, 2017, tj. +2,5%, 2018, tj. +2,1 %; 2019, tj. +2,8 %; 2020, tj. +3,2 %; 2021, tj. +3,8 %; celkem tedy 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+20,5 %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platných cen aktualizovaných Dodatkem č. 1.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souvislosti s dalšími náklady dochází k navýšení ceny v souladu s § 222 odst. 4 ZZVZ 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4,5 %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 platných cen aktualizovaných Dodatkem č. 1. Celkové navýšení kupních cen činí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25 %.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1" w:val="left"/>
        </w:tabs>
        <w:bidi w:val="0"/>
        <w:spacing w:before="0" w:after="40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Ceny plnění sjednané v odstavci 3.1.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Cena za plnění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ve znění platných dodatků se nahrazují novými cenami takto:</w:t>
      </w:r>
    </w:p>
    <w:tbl>
      <w:tblPr>
        <w:tblOverlap w:val="never"/>
        <w:jc w:val="center"/>
        <w:tblLayout w:type="fixed"/>
      </w:tblPr>
      <w:tblGrid>
        <w:gridCol w:w="1699"/>
        <w:gridCol w:w="1886"/>
        <w:gridCol w:w="1920"/>
      </w:tblGrid>
      <w:tr>
        <w:trPr>
          <w:trHeight w:val="374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Drť frakce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1 tunu v Kč bez DPH</w:t>
            </w:r>
          </w:p>
        </w:tc>
      </w:tr>
      <w:tr>
        <w:trPr>
          <w:trHeight w:val="34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 dopravy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dopravy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2/11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375,00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00" w:line="257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ujednáni</w:t>
      </w:r>
      <w:bookmarkEnd w:id="12"/>
      <w:bookmarkEnd w:id="13"/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1" w:val="left"/>
        </w:tabs>
        <w:bidi w:val="0"/>
        <w:spacing w:before="0" w:after="1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1" w:val="left"/>
        </w:tabs>
        <w:bidi w:val="0"/>
        <w:spacing w:before="0" w:after="1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smlouvy v aktuálním znění.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1" w:val="left"/>
        </w:tabs>
        <w:bidi w:val="0"/>
        <w:spacing w:before="0" w:after="1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vyhotoven ve 3 výtiscích, z nichž objednatel obdrží 2 a zhotovitel 1 vyhotovení.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1" w:val="left"/>
        </w:tabs>
        <w:bidi w:val="0"/>
        <w:spacing w:before="0" w:after="100" w:line="257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platný dnem podpisu oběma smluvními stranami a je účinný dnem jeho zveřejnění v registru smluv.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1" w:val="left"/>
        </w:tabs>
        <w:bidi w:val="0"/>
        <w:spacing w:before="0" w:after="100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1" w:val="left"/>
        </w:tabs>
        <w:bidi w:val="0"/>
        <w:spacing w:before="0" w:after="100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1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1" w:val="left"/>
        </w:tabs>
        <w:bidi w:val="0"/>
        <w:spacing w:before="0" w:after="460" w:line="257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8" w:left="1547" w:right="1641" w:bottom="173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Jihlavě dne </w:t>
      </w:r>
      <w:r>
        <w:rPr>
          <w:color w:val="838CCE"/>
          <w:spacing w:val="0"/>
          <w:w w:val="100"/>
          <w:position w:val="0"/>
          <w:shd w:val="clear" w:color="auto" w:fill="auto"/>
          <w:lang w:val="cs-CZ" w:eastAsia="cs-CZ" w:bidi="cs-CZ"/>
        </w:rPr>
        <w:t>&lt;? ?-1.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5" w:after="7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80" w:left="0" w:right="0" w:bottom="141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Josef Lapšo, ředitel závodu Lomy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80" w:left="1716" w:right="1947" w:bottom="1410" w:header="0" w:footer="3" w:gutter="0"/>
      <w:cols w:num="2" w:space="1594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3430270</wp:posOffset>
              </wp:positionH>
              <wp:positionV relativeFrom="page">
                <wp:posOffset>9808845</wp:posOffset>
              </wp:positionV>
              <wp:extent cx="557530" cy="730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753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0.10000000000002pt;margin-top:772.35000000000002pt;width:43.8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946150</wp:posOffset>
              </wp:positionH>
              <wp:positionV relativeFrom="page">
                <wp:posOffset>9761855</wp:posOffset>
              </wp:positionV>
              <wp:extent cx="553212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532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5pt;margin-top:768.64999999999998pt;width:43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38CCE"/>
      <w:sz w:val="44"/>
      <w:szCs w:val="44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itulek obrázku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Nadpis #2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Základní text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38CCE"/>
      <w:sz w:val="44"/>
      <w:szCs w:val="44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itulek obrázku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after="570" w:line="247" w:lineRule="auto"/>
      <w:ind w:left="1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spacing w:after="1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Základní text"/>
    <w:basedOn w:val="Normal"/>
    <w:link w:val="CharStyle14"/>
    <w:pPr>
      <w:widowControl w:val="0"/>
      <w:shd w:val="clear" w:color="auto" w:fill="FFFFFF"/>
      <w:spacing w:after="120"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  <w:spacing w:after="120"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