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9778" w:h="542" w:hRule="exact" w:wrap="none" w:vAnchor="page" w:hAnchor="page" w:x="1094" w:y="362"/>
        <w:widowControl w:val="0"/>
        <w:shd w:val="clear" w:color="auto" w:fill="auto"/>
        <w:bidi w:val="0"/>
        <w:spacing w:before="0" w:after="0"/>
        <w:ind w:right="0" w:firstLine="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Raiffeisen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LEASING</w:t>
      </w:r>
      <w:bookmarkEnd w:id="0"/>
      <w:bookmarkEnd w:id="1"/>
    </w:p>
    <w:p>
      <w:pPr>
        <w:pStyle w:val="Style8"/>
        <w:keepNext w:val="0"/>
        <w:keepLines w:val="0"/>
        <w:framePr w:w="9778" w:h="696" w:hRule="exact" w:wrap="none" w:vAnchor="page" w:hAnchor="page" w:x="1094" w:y="1120"/>
        <w:widowControl w:val="0"/>
        <w:shd w:val="clear" w:color="auto" w:fill="auto"/>
        <w:tabs>
          <w:tab w:pos="7478" w:val="left"/>
          <w:tab w:leader="underscore" w:pos="9293" w:val="left"/>
        </w:tabs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</w:t>
        <w:tab/>
        <w:tab/>
      </w:r>
      <w:bookmarkEnd w:id="2"/>
      <w:bookmarkEnd w:id="3"/>
    </w:p>
    <w:p>
      <w:pPr>
        <w:pStyle w:val="Style8"/>
        <w:keepNext w:val="0"/>
        <w:keepLines w:val="0"/>
        <w:framePr w:w="9778" w:h="696" w:hRule="exact" w:wrap="none" w:vAnchor="page" w:hAnchor="page" w:x="1094" w:y="1120"/>
        <w:widowControl w:val="0"/>
        <w:shd w:val="clear" w:color="auto" w:fill="auto"/>
        <w:tabs>
          <w:tab w:pos="7834" w:val="left"/>
        </w:tabs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Leasingové smlouvě</w:t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7008004752</w:t>
      </w:r>
      <w:bookmarkEnd w:id="4"/>
      <w:bookmarkEnd w:id="5"/>
    </w:p>
    <w:tbl>
      <w:tblPr>
        <w:tblOverlap w:val="never"/>
        <w:jc w:val="left"/>
        <w:tblLayout w:type="fixed"/>
      </w:tblPr>
      <w:tblGrid>
        <w:gridCol w:w="4872"/>
        <w:gridCol w:w="4877"/>
      </w:tblGrid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49" w:h="1834" w:wrap="none" w:vAnchor="page" w:hAnchor="page" w:x="1123" w:y="1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PODNIK měst Mostu a Litvínova, a.s.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49" w:h="1834" w:wrap="none" w:vAnchor="page" w:hAnchor="page" w:x="1123" w:y="1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Raiffeisen - Leasing, s.r.o.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49" w:h="1834" w:wrap="none" w:vAnchor="page" w:hAnchor="page" w:x="1123" w:y="1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 tř. Budovatelů 1395/23. 43401 Most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49" w:h="1834" w:wrap="none" w:vAnchor="page" w:hAnchor="page" w:x="1123" w:y="1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 Hvězdova 1716/2b, 140 00 Praha 4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749" w:h="1834" w:wrap="none" w:vAnchor="page" w:hAnchor="page" w:x="1123" w:y="1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 62242504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749" w:h="1834" w:wrap="none" w:vAnchor="page" w:hAnchor="page" w:x="1123" w:y="1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 61467863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749" w:h="1834" w:wrap="none" w:vAnchor="page" w:hAnchor="page" w:x="1123" w:y="1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 CZ62242504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749" w:h="1834" w:wrap="none" w:vAnchor="page" w:hAnchor="page" w:x="1123" w:y="1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 CZ61467863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49" w:h="1834" w:wrap="none" w:vAnchor="page" w:hAnchor="page" w:x="1123" w:y="1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zapsaná v obchodním rejstříku vedeném Krajským soudem 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49" w:h="1834" w:wrap="none" w:vAnchor="page" w:hAnchor="page" w:x="1123" w:y="1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zapsaná v obchodním rejstříku vedeném Městským soudem</w:t>
            </w: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749" w:h="1834" w:wrap="none" w:vAnchor="page" w:hAnchor="page" w:x="1123" w:y="1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Ústí nad Labem, oddíl B, vložka 660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749" w:h="1834" w:wrap="none" w:vAnchor="page" w:hAnchor="page" w:x="1123" w:y="1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Praze, oddíl C, vložka 29553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49" w:h="1834" w:wrap="none" w:vAnchor="page" w:hAnchor="page" w:x="1123" w:y="1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příjemce leasingu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49" w:h="1834" w:wrap="none" w:vAnchor="page" w:hAnchor="page" w:x="1123" w:y="1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poskytovatel leasingu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749" w:h="1834" w:wrap="none" w:vAnchor="page" w:hAnchor="page" w:x="1123" w:y="1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dále jen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„Příjemce“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749" w:h="1834" w:wrap="none" w:vAnchor="page" w:hAnchor="page" w:x="1123" w:y="19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dále jen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„Poskytovatel“</w:t>
            </w:r>
          </w:p>
        </w:tc>
      </w:tr>
    </w:tbl>
    <w:p>
      <w:pPr>
        <w:pStyle w:val="Style14"/>
        <w:keepNext w:val="0"/>
        <w:keepLines w:val="0"/>
        <w:framePr w:w="9778" w:h="379" w:hRule="exact" w:wrap="none" w:vAnchor="page" w:hAnchor="page" w:x="1094" w:y="4048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a Příjemce uzavírají tento dodatek k výše uvedené leasingové smlouvě (dále jen „Smlouva“), který je její nedílnou součástí:</w:t>
      </w:r>
    </w:p>
    <w:p>
      <w:pPr>
        <w:pStyle w:val="Style16"/>
        <w:keepNext w:val="0"/>
        <w:keepLines w:val="0"/>
        <w:framePr w:w="9706" w:h="624" w:hRule="exact" w:wrap="none" w:vAnchor="page" w:hAnchor="page" w:x="1094" w:y="4610"/>
        <w:widowControl w:val="0"/>
        <w:shd w:val="clear" w:color="auto" w:fill="auto"/>
        <w:bidi w:val="0"/>
        <w:spacing w:before="0" w:after="0" w:line="240" w:lineRule="auto"/>
        <w:ind w:left="15" w:right="15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I. Úvodní ustanovení</w:t>
      </w:r>
    </w:p>
    <w:p>
      <w:pPr>
        <w:pStyle w:val="Style16"/>
        <w:keepNext w:val="0"/>
        <w:keepLines w:val="0"/>
        <w:framePr w:w="9706" w:h="624" w:hRule="exact" w:wrap="none" w:vAnchor="page" w:hAnchor="page" w:x="1094" w:y="4610"/>
        <w:widowControl w:val="0"/>
        <w:shd w:val="clear" w:color="auto" w:fill="auto"/>
        <w:tabs>
          <w:tab w:pos="514" w:val="left"/>
        </w:tabs>
        <w:bidi w:val="0"/>
        <w:spacing w:before="0" w:after="0" w:line="216" w:lineRule="auto"/>
        <w:ind w:left="15" w:right="15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I.1.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Specifikace předmětu leasingu dle výše uvedené leasingové smlouvy, jehož se týká technické zhodnocení dle tohoto</w:t>
      </w:r>
    </w:p>
    <w:p>
      <w:pPr>
        <w:pStyle w:val="Style16"/>
        <w:keepNext w:val="0"/>
        <w:keepLines w:val="0"/>
        <w:framePr w:w="9706" w:h="624" w:hRule="exact" w:wrap="none" w:vAnchor="page" w:hAnchor="page" w:x="1094" w:y="4610"/>
        <w:widowControl w:val="0"/>
        <w:shd w:val="clear" w:color="auto" w:fill="auto"/>
        <w:bidi w:val="0"/>
        <w:spacing w:before="0" w:after="0" w:line="216" w:lineRule="auto"/>
        <w:ind w:left="15" w:right="1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dodatku (dále jen „Předmět“): </w:t>
      </w:r>
    </w:p>
    <w:tbl>
      <w:tblPr>
        <w:tblOverlap w:val="never"/>
        <w:jc w:val="left"/>
        <w:tblLayout w:type="fixed"/>
      </w:tblPr>
      <w:tblGrid>
        <w:gridCol w:w="3254"/>
        <w:gridCol w:w="6494"/>
      </w:tblGrid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49" w:h="514" w:wrap="none" w:vAnchor="page" w:hAnchor="page" w:x="1123" w:y="5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Obecná specifikace Předmětu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49" w:h="514" w:wrap="none" w:vAnchor="page" w:hAnchor="page" w:x="1123" w:y="5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IVECO bus URBANWAY 18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749" w:h="514" w:wrap="none" w:vAnchor="page" w:hAnchor="page" w:x="1123" w:y="5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Výrobní číslo / VIN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749" w:h="514" w:wrap="none" w:vAnchor="page" w:hAnchor="page" w:x="1123" w:y="5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VNE422CP500308694</w:t>
            </w:r>
          </w:p>
        </w:tc>
      </w:tr>
    </w:tbl>
    <w:p>
      <w:pPr>
        <w:pStyle w:val="Style16"/>
        <w:keepNext w:val="0"/>
        <w:keepLines w:val="0"/>
        <w:framePr w:wrap="none" w:vAnchor="page" w:hAnchor="page" w:x="1104" w:y="5656"/>
        <w:widowControl w:val="0"/>
        <w:shd w:val="clear" w:color="auto" w:fill="auto"/>
        <w:tabs>
          <w:tab w:pos="509" w:val="left"/>
        </w:tabs>
        <w:bidi w:val="0"/>
        <w:spacing w:before="0" w:after="0" w:line="240" w:lineRule="auto"/>
        <w:ind w:left="5" w:right="5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1.2.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Specifikace technického zhodnocení dle tohoto dodatku (dále jen „Technické zhodnocení“):</w:t>
      </w:r>
    </w:p>
    <w:tbl>
      <w:tblPr>
        <w:tblOverlap w:val="never"/>
        <w:jc w:val="left"/>
        <w:tblLayout w:type="fixed"/>
      </w:tblPr>
      <w:tblGrid>
        <w:gridCol w:w="3254"/>
        <w:gridCol w:w="6494"/>
      </w:tblGrid>
      <w:tr>
        <w:trPr>
          <w:trHeight w:val="13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749" w:h="2400" w:wrap="none" w:vAnchor="page" w:hAnchor="page" w:x="1123" w:y="58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Specifikace Technického zhodnocení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49" w:h="2400" w:wrap="none" w:vAnchor="page" w:hAnchor="page" w:x="1123" w:y="5867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10" w:val="left"/>
              </w:tabs>
              <w:bidi w:val="0"/>
              <w:spacing w:before="0" w:after="0" w:line="21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instalace odbavovacího systému (1x zařízení USV-24C, 1x zařízení OCU, 4x zařízení Camel, vysílačka s příslušenstvím, palubní počítač, displej palubního počítače)</w:t>
            </w:r>
          </w:p>
          <w:p>
            <w:pPr>
              <w:pStyle w:val="Style11"/>
              <w:keepNext w:val="0"/>
              <w:keepLines w:val="0"/>
              <w:framePr w:w="9749" w:h="2400" w:wrap="none" w:vAnchor="page" w:hAnchor="page" w:x="1123" w:y="5867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06" w:val="left"/>
              </w:tabs>
              <w:bidi w:val="0"/>
              <w:spacing w:before="0" w:after="0" w:line="21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instalace informačních panelů, přední vnější informační panel a dva vnitřní LCD informační panely</w:t>
            </w:r>
          </w:p>
          <w:p>
            <w:pPr>
              <w:pStyle w:val="Style11"/>
              <w:keepNext w:val="0"/>
              <w:keepLines w:val="0"/>
              <w:framePr w:w="9749" w:h="2400" w:wrap="none" w:vAnchor="page" w:hAnchor="page" w:x="1123" w:y="5867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06" w:val="left"/>
              </w:tabs>
              <w:bidi w:val="0"/>
              <w:spacing w:before="0" w:after="0" w:line="21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lakování žlutého dolního pruhu, lakování nárazníků na červeno, lakování předního a zadního čela na žluto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749" w:h="2400" w:wrap="none" w:vAnchor="page" w:hAnchor="page" w:x="1123" w:y="58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 Technického zhodnocení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749" w:h="2400" w:wrap="none" w:vAnchor="page" w:hAnchor="page" w:x="1123" w:y="58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Bustec s.r.o., IČO 2832671 7, sídlo č.p. 373, 798 47 Horní Štěpánov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49" w:h="2400" w:wrap="none" w:vAnchor="page" w:hAnchor="page" w:x="1123" w:y="58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Technického zhodnocení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49" w:h="2400" w:wrap="none" w:vAnchor="page" w:hAnchor="page" w:x="1123" w:y="58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175 409,00 Kč bez DPH, tj. 212 244,90 Kč s 21 % DPH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749" w:h="2400" w:wrap="none" w:vAnchor="page" w:hAnchor="page" w:x="1123" w:y="5867"/>
              <w:widowControl w:val="0"/>
              <w:shd w:val="clear" w:color="auto" w:fill="auto"/>
              <w:tabs>
                <w:tab w:pos="955" w:val="left"/>
                <w:tab w:pos="210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Termín</w:t>
              <w:tab/>
              <w:t>realizace</w:t>
              <w:tab/>
              <w:t>Technického</w:t>
            </w:r>
          </w:p>
          <w:p>
            <w:pPr>
              <w:pStyle w:val="Style11"/>
              <w:keepNext w:val="0"/>
              <w:keepLines w:val="0"/>
              <w:framePr w:w="9749" w:h="2400" w:wrap="none" w:vAnchor="page" w:hAnchor="page" w:x="1123" w:y="5867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zhodnocení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749" w:h="2400" w:wrap="none" w:vAnchor="page" w:hAnchor="page" w:x="1123" w:y="58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31. 1.2022</w:t>
            </w:r>
          </w:p>
        </w:tc>
      </w:tr>
    </w:tbl>
    <w:p>
      <w:pPr>
        <w:pStyle w:val="Style20"/>
        <w:keepNext w:val="0"/>
        <w:keepLines w:val="0"/>
        <w:framePr w:w="9778" w:h="7440" w:hRule="exact" w:wrap="none" w:vAnchor="page" w:hAnchor="page" w:x="1094" w:y="8488"/>
        <w:widowControl w:val="0"/>
        <w:numPr>
          <w:ilvl w:val="0"/>
          <w:numId w:val="3"/>
        </w:numPr>
        <w:shd w:val="clear" w:color="auto" w:fill="auto"/>
        <w:tabs>
          <w:tab w:pos="565" w:val="left"/>
        </w:tabs>
        <w:bidi w:val="0"/>
        <w:spacing w:before="0" w:after="0"/>
        <w:ind w:left="0" w:right="0" w:firstLine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dodatku</w:t>
      </w:r>
      <w:bookmarkEnd w:id="6"/>
      <w:bookmarkEnd w:id="7"/>
    </w:p>
    <w:p>
      <w:pPr>
        <w:pStyle w:val="Style14"/>
        <w:keepNext w:val="0"/>
        <w:keepLines w:val="0"/>
        <w:framePr w:w="9778" w:h="7440" w:hRule="exact" w:wrap="none" w:vAnchor="page" w:hAnchor="page" w:x="1094" w:y="8488"/>
        <w:widowControl w:val="0"/>
        <w:numPr>
          <w:ilvl w:val="0"/>
          <w:numId w:val="5"/>
        </w:numPr>
        <w:shd w:val="clear" w:color="auto" w:fill="auto"/>
        <w:tabs>
          <w:tab w:pos="565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Příjemce je na základě tohoto dodatku oprávněn provést na vlastní náklady a nebezpečí technické zhodnocení Předmětu.</w:t>
      </w:r>
    </w:p>
    <w:p>
      <w:pPr>
        <w:pStyle w:val="Style14"/>
        <w:keepNext w:val="0"/>
        <w:keepLines w:val="0"/>
        <w:framePr w:w="9778" w:h="7440" w:hRule="exact" w:wrap="none" w:vAnchor="page" w:hAnchor="page" w:x="1094" w:y="8488"/>
        <w:widowControl w:val="0"/>
        <w:numPr>
          <w:ilvl w:val="0"/>
          <w:numId w:val="5"/>
        </w:numPr>
        <w:shd w:val="clear" w:color="auto" w:fill="auto"/>
        <w:tabs>
          <w:tab w:pos="565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Technickým zhodnocením Předmětu se rozumí vždy výdaje na dokončené nástavby, vestavby, přístavby, stavební a jiné úpravy, rekonstrukce a modernizace Předmětu.</w:t>
      </w:r>
    </w:p>
    <w:p>
      <w:pPr>
        <w:pStyle w:val="Style14"/>
        <w:keepNext w:val="0"/>
        <w:keepLines w:val="0"/>
        <w:framePr w:w="9778" w:h="7440" w:hRule="exact" w:wrap="none" w:vAnchor="page" w:hAnchor="page" w:x="1094" w:y="8488"/>
        <w:widowControl w:val="0"/>
        <w:numPr>
          <w:ilvl w:val="0"/>
          <w:numId w:val="5"/>
        </w:numPr>
        <w:shd w:val="clear" w:color="auto" w:fill="auto"/>
        <w:tabs>
          <w:tab w:pos="565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Příjemce tímto prohlašuje, že Technické zhodnocení splňuje veškeré technické požadavky a podmínky kladené na něj právními předpisy. Dále Příjemce prohlašuje, že provedením výše uvedeného Technického zhodnocení nedojde ke znehodnocení nebo poškození Předmětu. Příjemce je povinen při zhodnocování Předmětu a při případném odstraňování Technického zhodnocení dbát na to, aby nedošlo ke znehodnocení nebo poškození Předmětu. Příjemce je při zhodnocování Předmětu a při případném odstraňování Technického zhodnocení povinen dodržovat veškeré bezpečnostní předpisy i nařízení.</w:t>
      </w:r>
    </w:p>
    <w:p>
      <w:pPr>
        <w:pStyle w:val="Style14"/>
        <w:keepNext w:val="0"/>
        <w:keepLines w:val="0"/>
        <w:framePr w:w="9778" w:h="7440" w:hRule="exact" w:wrap="none" w:vAnchor="page" w:hAnchor="page" w:x="1094" w:y="8488"/>
        <w:widowControl w:val="0"/>
        <w:numPr>
          <w:ilvl w:val="0"/>
          <w:numId w:val="5"/>
        </w:numPr>
        <w:shd w:val="clear" w:color="auto" w:fill="auto"/>
        <w:tabs>
          <w:tab w:pos="565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Příjemce tímto výslovně prohlašuje, že Předmět, i po provedení jeho Technického zhodnocení bude provozuschopný a bude odpovídat všem zákonným předpisům a technickým normám.</w:t>
      </w:r>
    </w:p>
    <w:p>
      <w:pPr>
        <w:pStyle w:val="Style14"/>
        <w:keepNext w:val="0"/>
        <w:keepLines w:val="0"/>
        <w:framePr w:w="9778" w:h="7440" w:hRule="exact" w:wrap="none" w:vAnchor="page" w:hAnchor="page" w:x="1094" w:y="8488"/>
        <w:widowControl w:val="0"/>
        <w:numPr>
          <w:ilvl w:val="0"/>
          <w:numId w:val="5"/>
        </w:numPr>
        <w:shd w:val="clear" w:color="auto" w:fill="auto"/>
        <w:tabs>
          <w:tab w:pos="565" w:val="left"/>
        </w:tabs>
        <w:bidi w:val="0"/>
        <w:spacing w:before="0" w:after="22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dále dohodly, že identifikace Předmětu dle Smlouvy se rozšiřuje o Technické zhodnocení.</w:t>
      </w:r>
    </w:p>
    <w:p>
      <w:pPr>
        <w:pStyle w:val="Style20"/>
        <w:keepNext w:val="0"/>
        <w:keepLines w:val="0"/>
        <w:framePr w:w="9778" w:h="7440" w:hRule="exact" w:wrap="none" w:vAnchor="page" w:hAnchor="page" w:x="1094" w:y="8488"/>
        <w:widowControl w:val="0"/>
        <w:numPr>
          <w:ilvl w:val="0"/>
          <w:numId w:val="3"/>
        </w:numPr>
        <w:shd w:val="clear" w:color="auto" w:fill="auto"/>
        <w:tabs>
          <w:tab w:pos="565" w:val="left"/>
        </w:tabs>
        <w:bidi w:val="0"/>
        <w:spacing w:before="0" w:after="0" w:line="214" w:lineRule="auto"/>
        <w:ind w:left="0" w:right="0" w:firstLine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Odepisování Technického zhodnocení</w:t>
      </w:r>
      <w:bookmarkEnd w:id="8"/>
      <w:bookmarkEnd w:id="9"/>
    </w:p>
    <w:p>
      <w:pPr>
        <w:pStyle w:val="Style14"/>
        <w:keepNext w:val="0"/>
        <w:keepLines w:val="0"/>
        <w:framePr w:w="9778" w:h="7440" w:hRule="exact" w:wrap="none" w:vAnchor="page" w:hAnchor="page" w:x="1094" w:y="8488"/>
        <w:widowControl w:val="0"/>
        <w:numPr>
          <w:ilvl w:val="0"/>
          <w:numId w:val="7"/>
        </w:numPr>
        <w:shd w:val="clear" w:color="auto" w:fill="auto"/>
        <w:tabs>
          <w:tab w:pos="308" w:val="left"/>
        </w:tabs>
        <w:bidi w:val="0"/>
        <w:spacing w:before="0" w:after="220" w:line="21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Technické zhodnocení Předmětu odepisuje na základě tohoto dodatku Příjemce, který toto Technické zhodnocení zařadí do odpisové skupiny, ve které je zatříděn Předmět, a odepisuje jej na základě zákona č. 586/1992 Sb., o daních z příjmů, ve znění pozdějších předpisů a způsobem stanoveným pro hmotný majetek.</w:t>
      </w:r>
    </w:p>
    <w:p>
      <w:pPr>
        <w:pStyle w:val="Style20"/>
        <w:keepNext w:val="0"/>
        <w:keepLines w:val="0"/>
        <w:framePr w:w="9778" w:h="7440" w:hRule="exact" w:wrap="none" w:vAnchor="page" w:hAnchor="page" w:x="1094" w:y="8488"/>
        <w:widowControl w:val="0"/>
        <w:numPr>
          <w:ilvl w:val="0"/>
          <w:numId w:val="7"/>
        </w:numPr>
        <w:shd w:val="clear" w:color="auto" w:fill="auto"/>
        <w:tabs>
          <w:tab w:pos="565" w:val="left"/>
        </w:tabs>
        <w:bidi w:val="0"/>
        <w:spacing w:before="0" w:after="0"/>
        <w:ind w:left="0" w:right="0" w:firstLine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Předčasné ukončení smlouvy</w:t>
      </w:r>
      <w:bookmarkEnd w:id="10"/>
      <w:bookmarkEnd w:id="11"/>
    </w:p>
    <w:p>
      <w:pPr>
        <w:pStyle w:val="Style14"/>
        <w:keepNext w:val="0"/>
        <w:keepLines w:val="0"/>
        <w:framePr w:w="9778" w:h="7440" w:hRule="exact" w:wrap="none" w:vAnchor="page" w:hAnchor="page" w:x="1094" w:y="8488"/>
        <w:widowControl w:val="0"/>
        <w:numPr>
          <w:ilvl w:val="0"/>
          <w:numId w:val="3"/>
        </w:numPr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Příjemci v případě předčasného ukončení Smlouvy nevzniká nárok na úhradu nákladů vynaložených na toto Technické zhodnocení.</w:t>
      </w:r>
    </w:p>
    <w:p>
      <w:pPr>
        <w:pStyle w:val="Style14"/>
        <w:keepNext w:val="0"/>
        <w:keepLines w:val="0"/>
        <w:framePr w:w="9778" w:h="7440" w:hRule="exact" w:wrap="none" w:vAnchor="page" w:hAnchor="page" w:x="1094" w:y="8488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IV.2.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 předčasného ukončení Smlouvy v souladu se Smlouvou může Poskytovatel vyzvat Příjemce k odstranění Technického zhodnocení Předmětu.</w:t>
      </w:r>
    </w:p>
    <w:p>
      <w:pPr>
        <w:pStyle w:val="Style14"/>
        <w:keepNext w:val="0"/>
        <w:keepLines w:val="0"/>
        <w:framePr w:w="9778" w:h="7440" w:hRule="exact" w:wrap="none" w:vAnchor="page" w:hAnchor="page" w:x="1094" w:y="8488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IV.3.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Poskytovatel odstranění technického zhodnocení požaduje, je Příjemce povinen na základě výzvy Poskytovatele na vlastní náklady odstranit Technické zhodnocení v Poskytovatelem stanovené lhůtě, maximálně však ve lhůtě 10 dnů od doručení výzvy, a uvést Předmět do původního stavu, pokud nebude Poskytovatelem stanoveno jinak.</w:t>
      </w:r>
    </w:p>
    <w:p>
      <w:pPr>
        <w:pStyle w:val="Style14"/>
        <w:keepNext w:val="0"/>
        <w:keepLines w:val="0"/>
        <w:framePr w:w="9778" w:h="7440" w:hRule="exact" w:wrap="none" w:vAnchor="page" w:hAnchor="page" w:x="1094" w:y="8488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IV.4.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Příjemce výslovně prohlašuje, že je mu známa skutečnost, že mu v případě předčasného ukončení Smlouvy vznikne při neodstranění Technického zhodnocení nepeněžní příjem v hodnotě zůstatkové ceny Technického zhodnocení, který je povinen zdanit příslušnou sazbou daně z příjmu dle zákona č. 586/1992 Sb., o daních z příjmů, ve znění pozdějších předpisů.</w:t>
      </w:r>
    </w:p>
    <w:p>
      <w:pPr>
        <w:pStyle w:val="Style14"/>
        <w:keepNext w:val="0"/>
        <w:keepLines w:val="0"/>
        <w:framePr w:w="9778" w:h="7440" w:hRule="exact" w:wrap="none" w:vAnchor="page" w:hAnchor="page" w:x="1094" w:y="8488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IV.5.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Poskytovatel odstranění Technického zhodnocení nepožaduje, je Příjemce povinen Poskytovateli do 10 dnů od doručení výpovědi nebo odstoupení sdělit způsob odepisování Technického zhodnocení a jeho účetní zůstatkovou hodnotu. Pokud Příjemce tyto informace Poskytovateli nesdělí, je povinen uhradit Poskytovateli smluvní pokutu ve výši 0,05% z pořizovací ceny Předmětu, včetně DPH za každý den prodlení. Dále je v tomto případě Poskytovatel oprávněn vypočítat zůstatkovou cenu Technického zhodnocení v souladu se zákonem č. 586/1992 Sb., o daních z příjmů, ve znění pozdějších předpisů.</w:t>
      </w:r>
    </w:p>
    <w:p>
      <w:pPr>
        <w:pStyle w:val="Style14"/>
        <w:keepNext w:val="0"/>
        <w:keepLines w:val="0"/>
        <w:framePr w:w="9778" w:h="7440" w:hRule="exact" w:wrap="none" w:vAnchor="page" w:hAnchor="page" w:x="1094" w:y="8488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IV.6.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Příjemce Technické zhodnocení po předčasném ukončení Smlouvy neodstraní, je Poskytovatel oprávněn dle své volby:</w:t>
      </w:r>
    </w:p>
    <w:p>
      <w:pPr>
        <w:pStyle w:val="Style14"/>
        <w:keepNext w:val="0"/>
        <w:keepLines w:val="0"/>
        <w:framePr w:w="9778" w:h="7440" w:hRule="exact" w:wrap="none" w:vAnchor="page" w:hAnchor="page" w:x="1094" w:y="8488"/>
        <w:widowControl w:val="0"/>
        <w:shd w:val="clear" w:color="auto" w:fill="auto"/>
        <w:bidi w:val="0"/>
        <w:spacing w:before="0" w:after="0" w:line="204" w:lineRule="auto"/>
        <w:ind w:left="0" w:right="0" w:firstLine="240"/>
        <w:jc w:val="left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IV.6.1.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nechat odstranit Technické zhodnocení na náklady Příjemce</w:t>
      </w:r>
    </w:p>
    <w:p>
      <w:pPr>
        <w:pStyle w:val="Style14"/>
        <w:keepNext w:val="0"/>
        <w:keepLines w:val="0"/>
        <w:framePr w:w="9778" w:h="7440" w:hRule="exact" w:wrap="none" w:vAnchor="page" w:hAnchor="page" w:x="1094" w:y="8488"/>
        <w:widowControl w:val="0"/>
        <w:shd w:val="clear" w:color="auto" w:fill="auto"/>
        <w:bidi w:val="0"/>
        <w:spacing w:before="0" w:after="0" w:line="204" w:lineRule="auto"/>
        <w:ind w:left="0" w:right="0" w:firstLine="240"/>
        <w:jc w:val="left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IV.6.2.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ponechat Technické zhodnocení Předmětu a nakládat s ním dle svého uvážení.</w:t>
      </w:r>
    </w:p>
    <w:p>
      <w:pPr>
        <w:pStyle w:val="Style24"/>
        <w:keepNext w:val="0"/>
        <w:keepLines w:val="0"/>
        <w:framePr w:wrap="none" w:vAnchor="page" w:hAnchor="page" w:x="1090" w:y="162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Verze 099-01 platná od: 01.01.2014</w:t>
      </w:r>
    </w:p>
    <w:p>
      <w:pPr>
        <w:pStyle w:val="Style24"/>
        <w:keepNext w:val="0"/>
        <w:keepLines w:val="0"/>
        <w:framePr w:wrap="none" w:vAnchor="page" w:hAnchor="page" w:x="9422" w:y="162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1 (celkem 2)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9773" w:h="542" w:hRule="exact" w:wrap="none" w:vAnchor="page" w:hAnchor="page" w:x="1097" w:y="362"/>
        <w:widowControl w:val="0"/>
        <w:shd w:val="clear" w:color="auto" w:fill="auto"/>
        <w:bidi w:val="0"/>
        <w:spacing w:before="0" w:after="0"/>
        <w:ind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Raiffeisen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LEASING</w:t>
      </w:r>
      <w:bookmarkEnd w:id="12"/>
      <w:bookmarkEnd w:id="13"/>
    </w:p>
    <w:p>
      <w:pPr>
        <w:pStyle w:val="Style20"/>
        <w:keepNext w:val="0"/>
        <w:keepLines w:val="0"/>
        <w:framePr w:w="9773" w:h="2054" w:hRule="exact" w:wrap="none" w:vAnchor="page" w:hAnchor="page" w:x="1097" w:y="1120"/>
        <w:widowControl w:val="0"/>
        <w:numPr>
          <w:ilvl w:val="0"/>
          <w:numId w:val="3"/>
        </w:numPr>
        <w:shd w:val="clear" w:color="auto" w:fill="auto"/>
        <w:tabs>
          <w:tab w:pos="558" w:val="left"/>
        </w:tabs>
        <w:bidi w:val="0"/>
        <w:spacing w:before="0" w:after="0" w:line="214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Odpovědnost za škodu</w:t>
      </w:r>
      <w:bookmarkEnd w:id="14"/>
      <w:bookmarkEnd w:id="15"/>
    </w:p>
    <w:p>
      <w:pPr>
        <w:pStyle w:val="Style14"/>
        <w:keepNext w:val="0"/>
        <w:keepLines w:val="0"/>
        <w:framePr w:w="9773" w:h="2054" w:hRule="exact" w:wrap="none" w:vAnchor="page" w:hAnchor="page" w:x="1097" w:y="1120"/>
        <w:widowControl w:val="0"/>
        <w:numPr>
          <w:ilvl w:val="0"/>
          <w:numId w:val="7"/>
        </w:numPr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Odpovědnost za škody způsobené v souvislosti s Technickým zhodnocením nese výhradně Příjemce.</w:t>
      </w:r>
    </w:p>
    <w:p>
      <w:pPr>
        <w:pStyle w:val="Style14"/>
        <w:keepNext w:val="0"/>
        <w:keepLines w:val="0"/>
        <w:framePr w:w="9773" w:h="2054" w:hRule="exact" w:wrap="none" w:vAnchor="page" w:hAnchor="page" w:x="1097" w:y="112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dojde k předčasnému ukončení Smlouvy a Poskytovatel vyzve k odstranění Technického zhodnocení a uvedení Předmětu do původního stavu, nese odpovědnost za neuvedení Předmětu do původního stavu Příjemce.</w:t>
      </w:r>
    </w:p>
    <w:p>
      <w:pPr>
        <w:pStyle w:val="Style14"/>
        <w:keepNext w:val="0"/>
        <w:keepLines w:val="0"/>
        <w:framePr w:w="9773" w:h="2054" w:hRule="exact" w:wrap="none" w:vAnchor="page" w:hAnchor="page" w:x="1097" w:y="1120"/>
        <w:widowControl w:val="0"/>
        <w:shd w:val="clear" w:color="auto" w:fill="auto"/>
        <w:tabs>
          <w:tab w:pos="558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V.3.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výběr Technického zhodnocení, jeho Dodavatele, převzetí Technického zhodnocení, sepis a doručení protokolu a</w:t>
      </w:r>
    </w:p>
    <w:p>
      <w:pPr>
        <w:pStyle w:val="Style14"/>
        <w:keepNext w:val="0"/>
        <w:keepLines w:val="0"/>
        <w:framePr w:w="9773" w:h="2054" w:hRule="exact" w:wrap="none" w:vAnchor="page" w:hAnchor="page" w:x="1097" w:y="112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úkony týkající se Technického zhodnocení se přiměřeně použijí ustanovení Smlouvy týkající se zejména Předmětu, jeho výběru, výběru jeho Dodavatele, převzetí a uplatnění jeho vad.</w:t>
      </w:r>
    </w:p>
    <w:p>
      <w:pPr>
        <w:pStyle w:val="Style20"/>
        <w:keepNext w:val="0"/>
        <w:keepLines w:val="0"/>
        <w:framePr w:w="9773" w:h="2054" w:hRule="exact" w:wrap="none" w:vAnchor="page" w:hAnchor="page" w:x="1097" w:y="1120"/>
        <w:widowControl w:val="0"/>
        <w:numPr>
          <w:ilvl w:val="0"/>
          <w:numId w:val="7"/>
        </w:numPr>
        <w:shd w:val="clear" w:color="auto" w:fill="auto"/>
        <w:tabs>
          <w:tab w:pos="558" w:val="left"/>
        </w:tabs>
        <w:bidi w:val="0"/>
        <w:spacing w:before="0" w:after="0" w:line="218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poplatek</w:t>
      </w:r>
      <w:bookmarkEnd w:id="16"/>
      <w:bookmarkEnd w:id="17"/>
    </w:p>
    <w:p>
      <w:pPr>
        <w:pStyle w:val="Style14"/>
        <w:keepNext w:val="0"/>
        <w:keepLines w:val="0"/>
        <w:framePr w:w="9773" w:h="2054" w:hRule="exact" w:wrap="none" w:vAnchor="page" w:hAnchor="page" w:x="1097" w:y="112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Příjemce se zavazuje za provedení změny Smlouvy zaplatit Poskytovateli ve lhůtě uvedené na příslušném daňovém dokladu smluvní poplatek ve výši stanovené dle aktuálního ceníku Poskytovatele.</w:t>
      </w:r>
    </w:p>
    <w:p>
      <w:pPr>
        <w:pStyle w:val="Style14"/>
        <w:keepNext w:val="0"/>
        <w:keepLines w:val="0"/>
        <w:framePr w:w="9773" w:h="1699" w:hRule="exact" w:wrap="none" w:vAnchor="page" w:hAnchor="page" w:x="1097" w:y="3367"/>
        <w:widowControl w:val="0"/>
        <w:numPr>
          <w:ilvl w:val="0"/>
          <w:numId w:val="7"/>
        </w:numPr>
        <w:shd w:val="clear" w:color="auto" w:fill="auto"/>
        <w:tabs>
          <w:tab w:pos="558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</w:t>
      </w:r>
    </w:p>
    <w:p>
      <w:pPr>
        <w:pStyle w:val="Style14"/>
        <w:keepNext w:val="0"/>
        <w:keepLines w:val="0"/>
        <w:framePr w:w="9773" w:h="1699" w:hRule="exact" w:wrap="none" w:vAnchor="page" w:hAnchor="page" w:x="1097" w:y="3367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VII.1.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Tento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nabývá účinnosti dnem podpisu druhé ze smluvních stran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pStyle w:val="Style14"/>
        <w:keepNext w:val="0"/>
        <w:keepLines w:val="0"/>
        <w:framePr w:w="9773" w:h="1699" w:hRule="exact" w:wrap="none" w:vAnchor="page" w:hAnchor="page" w:x="1097" w:y="3367"/>
        <w:widowControl w:val="0"/>
        <w:shd w:val="clear" w:color="auto" w:fill="auto"/>
        <w:bidi w:val="0"/>
        <w:spacing w:before="0" w:after="240" w:line="21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VII.2.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zůstávají beze změny.</w:t>
      </w:r>
    </w:p>
    <w:p>
      <w:pPr>
        <w:pStyle w:val="Style20"/>
        <w:keepNext w:val="0"/>
        <w:keepLines w:val="0"/>
        <w:framePr w:w="9773" w:h="1699" w:hRule="exact" w:wrap="none" w:vAnchor="page" w:hAnchor="page" w:x="1097" w:y="3367"/>
        <w:widowControl w:val="0"/>
        <w:numPr>
          <w:ilvl w:val="0"/>
          <w:numId w:val="7"/>
        </w:numPr>
        <w:shd w:val="clear" w:color="auto" w:fill="auto"/>
        <w:tabs>
          <w:tab w:pos="558" w:val="left"/>
        </w:tabs>
        <w:bidi w:val="0"/>
        <w:spacing w:before="0" w:after="0" w:line="218" w:lineRule="auto"/>
        <w:ind w:left="0" w:right="0" w:firstLine="0"/>
        <w:jc w:val="lef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18"/>
      <w:bookmarkEnd w:id="19"/>
    </w:p>
    <w:p>
      <w:pPr>
        <w:pStyle w:val="Style14"/>
        <w:keepNext w:val="0"/>
        <w:keepLines w:val="0"/>
        <w:framePr w:w="9773" w:h="1699" w:hRule="exact" w:wrap="none" w:vAnchor="page" w:hAnchor="page" w:x="1097" w:y="3367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VIII.1.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Tento dodatek je vypracován ve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dvou stejnopisech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z nichž každý má platnost originálu. Každé smluvní straně náleží po jednom stejnopisu.</w:t>
      </w:r>
    </w:p>
    <w:p>
      <w:pPr>
        <w:pStyle w:val="Style14"/>
        <w:keepNext w:val="0"/>
        <w:keepLines w:val="0"/>
        <w:framePr w:w="9773" w:h="1699" w:hRule="exact" w:wrap="none" w:vAnchor="page" w:hAnchor="page" w:x="1097" w:y="3367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VIII.2.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toho, že se smluvní strany s tímto dodatkem před jeho podpisem seznámily, že s ním souhlasí a že byl uzavřen z jejich pravé a svobodné vůle, připojují smluvní strany svůj podpis.</w:t>
      </w:r>
    </w:p>
    <w:tbl>
      <w:tblPr>
        <w:tblOverlap w:val="never"/>
        <w:jc w:val="left"/>
        <w:tblLayout w:type="fixed"/>
      </w:tblPr>
      <w:tblGrid>
        <w:gridCol w:w="2443"/>
        <w:gridCol w:w="2429"/>
        <w:gridCol w:w="2434"/>
        <w:gridCol w:w="2438"/>
      </w:tblGrid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44" w:h="514" w:wrap="none" w:vAnchor="page" w:hAnchor="page" w:x="1126" w:y="52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44" w:h="514" w:wrap="none" w:vAnchor="page" w:hAnchor="page" w:x="1126" w:y="521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44" w:h="514" w:wrap="none" w:vAnchor="page" w:hAnchor="page" w:x="1126" w:y="52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44" w:h="514" w:wrap="none" w:vAnchor="page" w:hAnchor="page" w:x="1126" w:y="52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Praha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744" w:h="514" w:wrap="none" w:vAnchor="page" w:hAnchor="page" w:x="1126" w:y="52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44" w:h="514" w:wrap="none" w:vAnchor="page" w:hAnchor="page" w:x="1126" w:y="521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744" w:h="514" w:wrap="none" w:vAnchor="page" w:hAnchor="page" w:x="1126" w:y="52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44" w:h="514" w:wrap="none" w:vAnchor="page" w:hAnchor="page" w:x="1126" w:y="5210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jc w:val="left"/>
        <w:tblLayout w:type="fixed"/>
      </w:tblPr>
      <w:tblGrid>
        <w:gridCol w:w="4872"/>
        <w:gridCol w:w="4872"/>
      </w:tblGrid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44" w:h="1944" w:wrap="none" w:vAnchor="page" w:hAnchor="page" w:x="1126" w:y="589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44" w:h="1944" w:wrap="none" w:vAnchor="page" w:hAnchor="page" w:x="1126" w:y="589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44" w:h="1944" w:wrap="none" w:vAnchor="page" w:hAnchor="page" w:x="1126" w:y="58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Příjemce</w:t>
            </w:r>
          </w:p>
          <w:p>
            <w:pPr>
              <w:pStyle w:val="Style11"/>
              <w:keepNext w:val="0"/>
              <w:keepLines w:val="0"/>
              <w:framePr w:w="9744" w:h="1944" w:wrap="none" w:vAnchor="page" w:hAnchor="page" w:x="1126" w:y="5896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PODNIK měst Mostu a Litvínova, a.s.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framePr w:w="9744" w:h="1944" w:wrap="none" w:vAnchor="page" w:hAnchor="page" w:x="1126" w:y="58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Poskytovatel</w:t>
            </w:r>
          </w:p>
          <w:p>
            <w:pPr>
              <w:pStyle w:val="Style11"/>
              <w:keepNext w:val="0"/>
              <w:keepLines w:val="0"/>
              <w:framePr w:w="9744" w:h="1944" w:wrap="none" w:vAnchor="page" w:hAnchor="page" w:x="1126" w:y="5896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Raiffeisen - Leasing, s.r.o.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44" w:h="1944" w:wrap="none" w:vAnchor="page" w:hAnchor="page" w:x="1126" w:y="589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44" w:h="1944" w:wrap="none" w:vAnchor="page" w:hAnchor="page" w:x="1126" w:y="589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744" w:h="1944" w:wrap="none" w:vAnchor="page" w:hAnchor="page" w:x="1126" w:y="58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čitelně jméno a příjmení osoby podepsané výše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9744" w:h="1944" w:wrap="none" w:vAnchor="page" w:hAnchor="page" w:x="1126" w:y="58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čitelně jméno a příjmení osoby podepsané výše</w:t>
            </w:r>
          </w:p>
        </w:tc>
      </w:tr>
    </w:tbl>
    <w:p>
      <w:pPr>
        <w:pStyle w:val="Style24"/>
        <w:keepNext w:val="0"/>
        <w:keepLines w:val="0"/>
        <w:framePr w:wrap="none" w:vAnchor="page" w:hAnchor="page" w:x="1092" w:y="162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Verze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099-01 platná od: 01.01.2014</w:t>
      </w:r>
    </w:p>
    <w:p>
      <w:pPr>
        <w:pStyle w:val="Style24"/>
        <w:keepNext w:val="0"/>
        <w:keepLines w:val="0"/>
        <w:framePr w:wrap="none" w:vAnchor="page" w:hAnchor="page" w:x="9425" w:y="162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2 (celkem 2)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upperRoman"/>
      <w:lvlText w:val="%1.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11.%1.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3"/>
      <w:numFmt w:val="upperRoman"/>
      <w:lvlText w:val="%1.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Nadpis #2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9">
    <w:name w:val="Nadpis #1_"/>
    <w:basedOn w:val="DefaultParagraphFont"/>
    <w:link w:val="Style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2">
    <w:name w:val="Jiné_"/>
    <w:basedOn w:val="DefaultParagraphFont"/>
    <w:link w:val="Style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5">
    <w:name w:val="Základní text_"/>
    <w:basedOn w:val="DefaultParagraphFont"/>
    <w:link w:val="Style1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1">
    <w:name w:val="Nadpis #3_"/>
    <w:basedOn w:val="DefaultParagraphFont"/>
    <w:link w:val="Style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5">
    <w:name w:val="Záhlaví nebo zápatí_"/>
    <w:basedOn w:val="DefaultParagraphFont"/>
    <w:link w:val="Style2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FFFFFF"/>
      <w:spacing w:after="230" w:line="218" w:lineRule="auto"/>
      <w:ind w:left="850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after="110"/>
      <w:outlineLvl w:val="0"/>
    </w:pPr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Jiné"/>
    <w:basedOn w:val="Normal"/>
    <w:link w:val="CharStyle12"/>
    <w:pPr>
      <w:widowControl w:val="0"/>
      <w:shd w:val="clear" w:color="auto" w:fill="FFFFFF"/>
    </w:pPr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4">
    <w:name w:val="Základní text"/>
    <w:basedOn w:val="Normal"/>
    <w:link w:val="CharStyle15"/>
    <w:pPr>
      <w:widowControl w:val="0"/>
      <w:shd w:val="clear" w:color="auto" w:fill="FFFFFF"/>
    </w:pPr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FFFFFF"/>
      <w:spacing w:line="228" w:lineRule="auto"/>
    </w:pPr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0">
    <w:name w:val="Nadpis #3"/>
    <w:basedOn w:val="Normal"/>
    <w:link w:val="CharStyle21"/>
    <w:pPr>
      <w:widowControl w:val="0"/>
      <w:shd w:val="clear" w:color="auto" w:fill="FFFFFF"/>
      <w:spacing w:line="216" w:lineRule="auto"/>
      <w:outlineLvl w:val="2"/>
    </w:pPr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4">
    <w:name w:val="Záhlaví nebo zápatí"/>
    <w:basedOn w:val="Normal"/>
    <w:link w:val="CharStyle25"/>
    <w:pPr>
      <w:widowControl w:val="0"/>
      <w:shd w:val="clear" w:color="auto" w:fill="FFFFFF"/>
    </w:pPr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CUCUOVÁ Iva</dc:creator>
  <cp:keywords/>
</cp:coreProperties>
</file>