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ust. § 2079 a souv.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bookmarkStart w:id="0" w:name="_GoBack"/>
      <w:bookmarkEnd w:id="0"/>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124188">
        <w:trPr>
          <w:trHeight w:val="379"/>
          <w:jc w:val="center"/>
        </w:trPr>
        <w:tc>
          <w:tcPr>
            <w:tcW w:w="1365"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124188">
            <w:pPr>
              <w:spacing w:after="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124188">
            <w:pPr>
              <w:spacing w:after="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124188">
        <w:trPr>
          <w:trHeight w:val="379"/>
          <w:jc w:val="center"/>
        </w:trPr>
        <w:tc>
          <w:tcPr>
            <w:tcW w:w="1365"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124188">
            <w:pPr>
              <w:spacing w:after="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124188">
        <w:trPr>
          <w:trHeight w:val="379"/>
          <w:jc w:val="center"/>
        </w:trPr>
        <w:tc>
          <w:tcPr>
            <w:tcW w:w="1365"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5E0E86FF" w:rsidR="00406509" w:rsidRPr="0019419A" w:rsidRDefault="00406509" w:rsidP="00124188">
            <w:pPr>
              <w:spacing w:after="0"/>
              <w:jc w:val="center"/>
              <w:rPr>
                <w:rFonts w:cs="Calibri"/>
                <w:szCs w:val="20"/>
              </w:rPr>
            </w:pPr>
          </w:p>
        </w:tc>
      </w:tr>
      <w:tr w:rsidR="00406509" w:rsidRPr="0019419A" w14:paraId="6E138837" w14:textId="77777777" w:rsidTr="00124188">
        <w:trPr>
          <w:trHeight w:val="379"/>
          <w:jc w:val="center"/>
        </w:trPr>
        <w:tc>
          <w:tcPr>
            <w:tcW w:w="1365"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124188">
            <w:pPr>
              <w:spacing w:after="0"/>
              <w:jc w:val="center"/>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124188">
        <w:trPr>
          <w:trHeight w:val="379"/>
          <w:jc w:val="center"/>
        </w:trPr>
        <w:tc>
          <w:tcPr>
            <w:tcW w:w="1365" w:type="pct"/>
            <w:shd w:val="clear" w:color="auto" w:fill="2E74B5"/>
            <w:vAlign w:val="center"/>
          </w:tcPr>
          <w:p w14:paraId="74ADB9F1" w14:textId="77777777" w:rsidR="00406509" w:rsidRPr="0019419A" w:rsidRDefault="00406509" w:rsidP="00124188">
            <w:pPr>
              <w:spacing w:after="0"/>
              <w:rPr>
                <w:rFonts w:cs="Calibri"/>
                <w:b/>
                <w:color w:val="FFFFFF"/>
              </w:rPr>
            </w:pPr>
            <w:r w:rsidRPr="0019419A">
              <w:rPr>
                <w:rFonts w:cs="Calibri"/>
                <w:b/>
                <w:color w:val="FFFFFF"/>
              </w:rPr>
              <w:t>NÁZEV:</w:t>
            </w:r>
          </w:p>
        </w:tc>
        <w:tc>
          <w:tcPr>
            <w:tcW w:w="3635" w:type="pct"/>
            <w:shd w:val="clear" w:color="auto" w:fill="auto"/>
            <w:vAlign w:val="center"/>
          </w:tcPr>
          <w:p w14:paraId="47C34724" w14:textId="0B44ADC8" w:rsidR="00406509" w:rsidRPr="005D62B1" w:rsidRDefault="00D00EED" w:rsidP="00124188">
            <w:pPr>
              <w:spacing w:after="0"/>
              <w:jc w:val="center"/>
              <w:rPr>
                <w:rFonts w:cs="Calibri"/>
                <w:b/>
                <w:bCs/>
                <w:color w:val="000000"/>
              </w:rPr>
            </w:pPr>
            <w:r>
              <w:rPr>
                <w:rFonts w:cs="Calibri"/>
                <w:b/>
                <w:bCs/>
                <w:color w:val="000000"/>
              </w:rPr>
              <w:t>Siemens,</w:t>
            </w:r>
            <w:r w:rsidR="003D1061" w:rsidRPr="003D1061">
              <w:rPr>
                <w:rFonts w:cs="Calibri"/>
                <w:b/>
                <w:bCs/>
                <w:color w:val="000000"/>
              </w:rPr>
              <w:t xml:space="preserve"> s.r.o.</w:t>
            </w:r>
          </w:p>
        </w:tc>
      </w:tr>
      <w:tr w:rsidR="00406509" w:rsidRPr="0019419A" w14:paraId="1A541F13" w14:textId="77777777" w:rsidTr="00124188">
        <w:trPr>
          <w:trHeight w:val="379"/>
          <w:jc w:val="center"/>
        </w:trPr>
        <w:tc>
          <w:tcPr>
            <w:tcW w:w="1365" w:type="pct"/>
            <w:shd w:val="clear" w:color="auto" w:fill="2E74B5"/>
            <w:vAlign w:val="center"/>
          </w:tcPr>
          <w:p w14:paraId="20A5E65C" w14:textId="77777777" w:rsidR="00406509" w:rsidRPr="0019419A" w:rsidRDefault="00406509" w:rsidP="00124188">
            <w:pPr>
              <w:spacing w:after="0"/>
              <w:rPr>
                <w:rFonts w:cs="Calibri"/>
                <w:b/>
                <w:color w:val="FFFFFF"/>
              </w:rPr>
            </w:pPr>
            <w:r w:rsidRPr="0019419A">
              <w:rPr>
                <w:rFonts w:cs="Calibri"/>
                <w:b/>
                <w:color w:val="FFFFFF"/>
              </w:rPr>
              <w:t>SÍDLO:</w:t>
            </w:r>
          </w:p>
        </w:tc>
        <w:tc>
          <w:tcPr>
            <w:tcW w:w="3635" w:type="pct"/>
            <w:shd w:val="clear" w:color="auto" w:fill="auto"/>
            <w:vAlign w:val="center"/>
          </w:tcPr>
          <w:p w14:paraId="178311F2" w14:textId="2EFCB6C5" w:rsidR="00406509" w:rsidRPr="000603C4" w:rsidRDefault="00D00EED" w:rsidP="00124188">
            <w:pPr>
              <w:spacing w:after="0"/>
              <w:jc w:val="center"/>
              <w:rPr>
                <w:rFonts w:cs="Calibri"/>
                <w:color w:val="000000"/>
              </w:rPr>
            </w:pPr>
            <w:proofErr w:type="spellStart"/>
            <w:r>
              <w:rPr>
                <w:rFonts w:cs="Calibri"/>
                <w:color w:val="000000"/>
              </w:rPr>
              <w:t>Siemensova</w:t>
            </w:r>
            <w:proofErr w:type="spellEnd"/>
            <w:r>
              <w:rPr>
                <w:rFonts w:cs="Calibri"/>
                <w:color w:val="000000"/>
              </w:rPr>
              <w:t xml:space="preserve"> 1, 155 00</w:t>
            </w:r>
            <w:r w:rsidR="000B3AE3" w:rsidRPr="000603C4">
              <w:rPr>
                <w:rFonts w:cs="Calibri"/>
                <w:color w:val="000000"/>
              </w:rPr>
              <w:t xml:space="preserve"> Praha </w:t>
            </w:r>
            <w:r>
              <w:rPr>
                <w:rFonts w:cs="Calibri"/>
                <w:color w:val="000000"/>
              </w:rPr>
              <w:t>13</w:t>
            </w:r>
          </w:p>
        </w:tc>
      </w:tr>
      <w:tr w:rsidR="00406509" w:rsidRPr="0019419A" w14:paraId="5A81D328" w14:textId="77777777" w:rsidTr="00124188">
        <w:trPr>
          <w:trHeight w:val="379"/>
          <w:jc w:val="center"/>
        </w:trPr>
        <w:tc>
          <w:tcPr>
            <w:tcW w:w="1365" w:type="pct"/>
            <w:shd w:val="clear" w:color="auto" w:fill="2E74B5"/>
            <w:vAlign w:val="center"/>
          </w:tcPr>
          <w:p w14:paraId="2838CB2F" w14:textId="05F16719" w:rsidR="00406509" w:rsidRPr="0019419A" w:rsidRDefault="00406509" w:rsidP="00124188">
            <w:pPr>
              <w:spacing w:after="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6E5DDD32" w:rsidR="00406509" w:rsidRPr="00CE0604" w:rsidRDefault="00406509" w:rsidP="008511A5">
            <w:pPr>
              <w:spacing w:after="0"/>
              <w:jc w:val="center"/>
              <w:rPr>
                <w:rFonts w:cs="Calibri"/>
              </w:rPr>
            </w:pPr>
          </w:p>
        </w:tc>
      </w:tr>
      <w:tr w:rsidR="00406509" w:rsidRPr="0019419A" w14:paraId="10CE8B0C" w14:textId="77777777" w:rsidTr="00124188">
        <w:trPr>
          <w:trHeight w:val="379"/>
          <w:jc w:val="center"/>
        </w:trPr>
        <w:tc>
          <w:tcPr>
            <w:tcW w:w="1365" w:type="pct"/>
            <w:shd w:val="clear" w:color="auto" w:fill="2E74B5"/>
            <w:vAlign w:val="center"/>
          </w:tcPr>
          <w:p w14:paraId="418E8524" w14:textId="77777777" w:rsidR="00406509" w:rsidRPr="0019419A" w:rsidRDefault="00406509" w:rsidP="00124188">
            <w:pPr>
              <w:spacing w:after="0"/>
              <w:rPr>
                <w:rFonts w:cs="Calibri"/>
                <w:b/>
                <w:color w:val="FFFFFF"/>
              </w:rPr>
            </w:pPr>
            <w:r w:rsidRPr="0019419A">
              <w:rPr>
                <w:rFonts w:cs="Calibri"/>
                <w:b/>
                <w:color w:val="FFFFFF"/>
              </w:rPr>
              <w:t>IČO:</w:t>
            </w:r>
          </w:p>
        </w:tc>
        <w:tc>
          <w:tcPr>
            <w:tcW w:w="3635" w:type="pct"/>
            <w:shd w:val="clear" w:color="auto" w:fill="auto"/>
            <w:vAlign w:val="center"/>
          </w:tcPr>
          <w:p w14:paraId="1396873A" w14:textId="55BF78A5" w:rsidR="00406509" w:rsidRPr="00CE0604" w:rsidRDefault="00D00EED" w:rsidP="00124188">
            <w:pPr>
              <w:spacing w:after="0"/>
              <w:jc w:val="center"/>
              <w:rPr>
                <w:rFonts w:cs="Calibri"/>
              </w:rPr>
            </w:pPr>
            <w:r w:rsidRPr="00D00EED">
              <w:rPr>
                <w:rFonts w:cs="Calibri"/>
                <w:color w:val="000000"/>
                <w:lang w:val="en-GB"/>
              </w:rPr>
              <w:t>00268577</w:t>
            </w:r>
          </w:p>
        </w:tc>
      </w:tr>
      <w:tr w:rsidR="00406509" w:rsidRPr="0019419A" w14:paraId="2C25C3C0" w14:textId="77777777" w:rsidTr="00124188">
        <w:trPr>
          <w:trHeight w:val="379"/>
          <w:jc w:val="center"/>
        </w:trPr>
        <w:tc>
          <w:tcPr>
            <w:tcW w:w="1365" w:type="pct"/>
            <w:shd w:val="clear" w:color="auto" w:fill="2E74B5"/>
            <w:vAlign w:val="center"/>
          </w:tcPr>
          <w:p w14:paraId="5EB91011" w14:textId="77777777" w:rsidR="00406509" w:rsidRPr="0019419A" w:rsidRDefault="00406509" w:rsidP="00124188">
            <w:pPr>
              <w:spacing w:after="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21FBAAF9" w:rsidR="00406509" w:rsidRPr="00CE0604" w:rsidRDefault="00406509" w:rsidP="00124188">
            <w:pPr>
              <w:spacing w:after="0"/>
              <w:jc w:val="center"/>
              <w:rPr>
                <w:rFonts w:cs="Calibri"/>
              </w:rPr>
            </w:pPr>
          </w:p>
        </w:tc>
      </w:tr>
      <w:tr w:rsidR="00406509" w:rsidRPr="0019419A" w14:paraId="6F5F8F7E" w14:textId="77777777" w:rsidTr="00124188">
        <w:trPr>
          <w:trHeight w:val="50"/>
          <w:jc w:val="center"/>
        </w:trPr>
        <w:tc>
          <w:tcPr>
            <w:tcW w:w="1365" w:type="pct"/>
            <w:shd w:val="clear" w:color="auto" w:fill="2E74B5"/>
            <w:vAlign w:val="center"/>
          </w:tcPr>
          <w:p w14:paraId="3FD3747E" w14:textId="77777777" w:rsidR="00406509" w:rsidRPr="0019419A" w:rsidRDefault="00406509" w:rsidP="00124188">
            <w:pPr>
              <w:spacing w:after="0"/>
              <w:rPr>
                <w:rFonts w:cs="Calibri"/>
                <w:b/>
                <w:color w:val="FFFFFF"/>
              </w:rPr>
            </w:pPr>
            <w:r w:rsidRPr="0019419A">
              <w:rPr>
                <w:rFonts w:cs="Calibri"/>
                <w:b/>
                <w:color w:val="FFFFFF"/>
              </w:rPr>
              <w:t>ZAPSANÁ V OR:</w:t>
            </w:r>
          </w:p>
        </w:tc>
        <w:tc>
          <w:tcPr>
            <w:tcW w:w="3635" w:type="pct"/>
            <w:shd w:val="clear" w:color="auto" w:fill="auto"/>
            <w:vAlign w:val="center"/>
          </w:tcPr>
          <w:p w14:paraId="2E28D426" w14:textId="4E360EFB" w:rsidR="00406509" w:rsidRPr="00CE0604" w:rsidRDefault="00F44188" w:rsidP="00124188">
            <w:pPr>
              <w:spacing w:after="0"/>
              <w:jc w:val="center"/>
              <w:rPr>
                <w:rFonts w:cs="Calibri"/>
              </w:rPr>
            </w:pPr>
            <w:r w:rsidRPr="000603C4">
              <w:rPr>
                <w:rFonts w:cs="Calibri"/>
                <w:color w:val="000000"/>
              </w:rPr>
              <w:t>u Městského soudu v Praze</w:t>
            </w:r>
            <w:r w:rsidR="004D4F47" w:rsidRPr="000603C4">
              <w:rPr>
                <w:rFonts w:cs="Calibri"/>
                <w:color w:val="000000"/>
              </w:rPr>
              <w:t xml:space="preserve">, </w:t>
            </w:r>
            <w:proofErr w:type="spellStart"/>
            <w:r w:rsidR="004D4F47" w:rsidRPr="000603C4">
              <w:rPr>
                <w:rFonts w:cs="Calibri"/>
                <w:color w:val="000000"/>
              </w:rPr>
              <w:t>sp</w:t>
            </w:r>
            <w:proofErr w:type="spellEnd"/>
            <w:r w:rsidR="004D4F47" w:rsidRPr="000603C4">
              <w:rPr>
                <w:rFonts w:cs="Calibri"/>
                <w:color w:val="000000"/>
              </w:rPr>
              <w:t>.</w:t>
            </w:r>
            <w:r w:rsidR="007A2C81">
              <w:rPr>
                <w:rFonts w:cs="Calibri"/>
                <w:color w:val="000000"/>
              </w:rPr>
              <w:t xml:space="preserve"> </w:t>
            </w:r>
            <w:r w:rsidR="004D4F47" w:rsidRPr="000603C4">
              <w:rPr>
                <w:rFonts w:cs="Calibri"/>
                <w:color w:val="000000"/>
              </w:rPr>
              <w:t xml:space="preserve">zn. </w:t>
            </w:r>
            <w:r w:rsidR="003F23AA" w:rsidRPr="003F23AA">
              <w:rPr>
                <w:rFonts w:cs="Calibri"/>
                <w:color w:val="000000"/>
              </w:rPr>
              <w:t>C 625</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41DE285A" w:rsidR="00406509" w:rsidRPr="0019419A" w:rsidRDefault="00406509">
      <w:pPr>
        <w:spacing w:after="120"/>
        <w:rPr>
          <w:rFonts w:eastAsia="Times New Roman" w:cs="Arial"/>
          <w:color w:val="000000"/>
          <w:sz w:val="24"/>
          <w:szCs w:val="24"/>
          <w:lang w:eastAsia="cs-CZ"/>
        </w:rPr>
      </w:pPr>
    </w:p>
    <w:p w14:paraId="1ED813F3" w14:textId="780C240A" w:rsidR="00406509"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5C03EF19" w14:textId="77777777" w:rsidR="00CB2E61" w:rsidRPr="0019419A"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Arial"/>
          <w:b/>
          <w:bCs/>
          <w:color w:val="000000"/>
          <w:sz w:val="24"/>
          <w:lang w:eastAsia="cs-CZ"/>
        </w:rPr>
      </w:pPr>
    </w:p>
    <w:p w14:paraId="22ECE4EB" w14:textId="2C55E8F5"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Smluvní strany uzavírají tuto smlouvu na veřejnou zakázku s názvem „</w:t>
      </w:r>
      <w:r w:rsidR="00D02D8B" w:rsidRPr="000603C4">
        <w:rPr>
          <w:rFonts w:eastAsia="Times New Roman" w:cs="Arial"/>
          <w:b/>
          <w:bCs/>
          <w:color w:val="000000"/>
          <w:lang w:eastAsia="cs-CZ"/>
        </w:rPr>
        <w:t xml:space="preserve">ČVUT-CIIRC: </w:t>
      </w:r>
      <w:r w:rsidR="003F23AA">
        <w:rPr>
          <w:rFonts w:eastAsia="Times New Roman" w:cs="Arial"/>
          <w:b/>
          <w:bCs/>
          <w:color w:val="000000"/>
          <w:lang w:eastAsia="cs-CZ"/>
        </w:rPr>
        <w:t>Geolokační systém RTLS</w:t>
      </w:r>
      <w:r w:rsidRPr="00960CBB">
        <w:rPr>
          <w:rFonts w:eastAsia="Times New Roman" w:cs="Arial"/>
          <w:color w:val="000000"/>
          <w:lang w:eastAsia="cs-CZ"/>
        </w:rPr>
        <w:t xml:space="preserve">“, zadávané </w:t>
      </w:r>
      <w:r w:rsidR="00224ED9">
        <w:rPr>
          <w:rFonts w:eastAsia="Times New Roman" w:cs="Arial"/>
          <w:color w:val="000000"/>
          <w:lang w:eastAsia="cs-CZ"/>
        </w:rPr>
        <w:t>jako</w:t>
      </w:r>
      <w:r w:rsidR="000603C4">
        <w:rPr>
          <w:rFonts w:eastAsia="Times New Roman" w:cs="Arial"/>
          <w:color w:val="000000"/>
          <w:lang w:eastAsia="cs-CZ"/>
        </w:rPr>
        <w:t xml:space="preserve"> </w:t>
      </w:r>
      <w:r w:rsidR="00967451">
        <w:rPr>
          <w:rFonts w:eastAsia="Times New Roman" w:cs="Arial"/>
          <w:color w:val="000000"/>
          <w:lang w:eastAsia="cs-CZ"/>
        </w:rPr>
        <w:t xml:space="preserve">podlimitní </w:t>
      </w:r>
      <w:r w:rsidR="00224ED9">
        <w:rPr>
          <w:rFonts w:eastAsia="Times New Roman" w:cs="Arial"/>
          <w:color w:val="000000"/>
          <w:lang w:eastAsia="cs-CZ"/>
        </w:rPr>
        <w:t xml:space="preserve">veřejná zakázka </w:t>
      </w:r>
      <w:r w:rsidRPr="00960CBB">
        <w:rPr>
          <w:rFonts w:eastAsia="Times New Roman" w:cs="Arial"/>
          <w:color w:val="000000"/>
          <w:lang w:eastAsia="cs-CZ"/>
        </w:rPr>
        <w:t xml:space="preserve">na dodávky v jednacím řízení bez uveřejnění dle </w:t>
      </w:r>
      <w:proofErr w:type="spellStart"/>
      <w:r w:rsidRPr="00960CBB">
        <w:rPr>
          <w:rFonts w:eastAsia="Times New Roman" w:cs="Arial"/>
          <w:color w:val="000000"/>
          <w:lang w:eastAsia="cs-CZ"/>
        </w:rPr>
        <w:t>ust</w:t>
      </w:r>
      <w:proofErr w:type="spellEnd"/>
      <w:r w:rsidRPr="00960CBB">
        <w:rPr>
          <w:rFonts w:eastAsia="Times New Roman" w:cs="Arial"/>
          <w:color w:val="000000"/>
          <w:lang w:eastAsia="cs-CZ"/>
        </w:rPr>
        <w:t>. § 63 zákona o zadávání veřejných zakázek a vnitřního předpisu kupujícího.</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206F75">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2BFA2E2B" w14:textId="6BD28473" w:rsidR="000D2B7C" w:rsidRPr="009E7D5E"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 xml:space="preserve">ředmětem této smlouvy je dodávka </w:t>
      </w:r>
      <w:r w:rsidR="00E20D07">
        <w:rPr>
          <w:rFonts w:eastAsia="Times New Roman" w:cs="Arial"/>
          <w:color w:val="000000"/>
          <w:lang w:eastAsia="cs-CZ"/>
        </w:rPr>
        <w:t>geolokačního systému RTLS a souvisejícího plnění</w:t>
      </w:r>
      <w:r w:rsidR="00967451">
        <w:rPr>
          <w:rFonts w:cs="Calibri"/>
        </w:rPr>
        <w:t xml:space="preserve"> </w:t>
      </w:r>
      <w:r w:rsidR="002D2C1A" w:rsidRPr="00142E1A">
        <w:rPr>
          <w:rFonts w:eastAsia="Times New Roman" w:cs="Arial"/>
          <w:color w:val="000000"/>
          <w:lang w:eastAsia="cs-CZ"/>
        </w:rPr>
        <w:t>(dále jen „zboží“)</w:t>
      </w:r>
      <w:r w:rsidR="001F2330" w:rsidRPr="00142E1A">
        <w:rPr>
          <w:rFonts w:eastAsia="Times New Roman" w:cs="Arial"/>
          <w:color w:val="000000"/>
          <w:lang w:eastAsia="cs-CZ"/>
        </w:rPr>
        <w:t xml:space="preserve"> blíže specifikované</w:t>
      </w:r>
      <w:r w:rsidR="00C55EAB">
        <w:rPr>
          <w:rFonts w:eastAsia="Times New Roman" w:cs="Arial"/>
          <w:color w:val="000000"/>
          <w:lang w:eastAsia="cs-CZ"/>
        </w:rPr>
        <w:t xml:space="preserve"> v příloze A této smlouvy – t</w:t>
      </w:r>
      <w:r w:rsidR="001F2330" w:rsidRPr="00D72A94">
        <w:rPr>
          <w:rFonts w:eastAsia="Times New Roman" w:cs="Arial"/>
          <w:color w:val="000000"/>
          <w:lang w:eastAsia="cs-CZ"/>
        </w:rPr>
        <w:t>echnické s</w:t>
      </w:r>
      <w:r w:rsidR="00C55EAB">
        <w:rPr>
          <w:rFonts w:eastAsia="Times New Roman" w:cs="Arial"/>
          <w:color w:val="000000"/>
          <w:lang w:eastAsia="cs-CZ"/>
        </w:rPr>
        <w:t>pecifikaci (dále v textu také „t</w:t>
      </w:r>
      <w:r w:rsidR="001F2330" w:rsidRPr="00D72A94">
        <w:rPr>
          <w:rFonts w:eastAsia="Times New Roman" w:cs="Arial"/>
          <w:color w:val="000000"/>
          <w:lang w:eastAsia="cs-CZ"/>
        </w:rPr>
        <w:t>echnická specifikace“)</w:t>
      </w:r>
      <w:r w:rsidR="00EB2392">
        <w:rPr>
          <w:rFonts w:eastAsia="Times New Roman" w:cs="Arial"/>
          <w:color w:val="000000"/>
          <w:lang w:eastAsia="cs-CZ"/>
        </w:rPr>
        <w:t xml:space="preserve"> a v příloze B – </w:t>
      </w:r>
      <w:r w:rsidR="007A2C81">
        <w:rPr>
          <w:rFonts w:eastAsia="Times New Roman" w:cs="Arial"/>
          <w:color w:val="000000"/>
          <w:lang w:eastAsia="cs-CZ"/>
        </w:rPr>
        <w:t xml:space="preserve">cenová </w:t>
      </w:r>
      <w:r w:rsidR="00EB2392">
        <w:rPr>
          <w:rFonts w:eastAsia="Times New Roman" w:cs="Arial"/>
          <w:color w:val="000000"/>
          <w:lang w:eastAsia="cs-CZ"/>
        </w:rPr>
        <w:t>nabídka prodávajícího</w:t>
      </w:r>
      <w:r w:rsidR="007A2C81">
        <w:rPr>
          <w:rFonts w:eastAsia="Times New Roman" w:cs="Arial"/>
          <w:color w:val="000000"/>
          <w:lang w:eastAsia="cs-CZ"/>
        </w:rPr>
        <w:t xml:space="preserve"> vč. cenového rozpadu</w:t>
      </w:r>
      <w:r w:rsidR="002E3666">
        <w:rPr>
          <w:rFonts w:eastAsia="Times New Roman" w:cs="Arial"/>
          <w:color w:val="000000"/>
          <w:lang w:eastAsia="cs-CZ"/>
        </w:rPr>
        <w:t>.</w:t>
      </w:r>
      <w:r w:rsidR="001F2330" w:rsidRPr="00D72A94">
        <w:rPr>
          <w:rFonts w:eastAsia="Times New Roman" w:cs="Arial"/>
          <w:color w:val="000000"/>
          <w:lang w:eastAsia="cs-CZ"/>
        </w:rPr>
        <w:t xml:space="preserve"> </w:t>
      </w:r>
      <w:r w:rsidR="007A2C81">
        <w:rPr>
          <w:rFonts w:eastAsia="Times New Roman" w:cs="Arial"/>
          <w:color w:val="000000"/>
          <w:lang w:eastAsia="cs-CZ"/>
        </w:rPr>
        <w:t xml:space="preserve">Souvisejícím plněním </w:t>
      </w:r>
      <w:r w:rsidR="001F2330" w:rsidRPr="004F7909">
        <w:rPr>
          <w:rFonts w:eastAsia="Times New Roman" w:cs="Arial"/>
          <w:color w:val="000000"/>
          <w:lang w:eastAsia="cs-CZ"/>
        </w:rPr>
        <w:t xml:space="preserve">je myšleno plnění </w:t>
      </w:r>
      <w:r w:rsidR="007A2C81">
        <w:rPr>
          <w:rFonts w:eastAsia="Times New Roman" w:cs="Arial"/>
          <w:color w:val="000000"/>
          <w:lang w:eastAsia="cs-CZ"/>
        </w:rPr>
        <w:t>s</w:t>
      </w:r>
      <w:r w:rsidR="00380C01" w:rsidRPr="004F7909">
        <w:rPr>
          <w:rFonts w:eastAsia="Times New Roman" w:cs="Arial"/>
          <w:color w:val="000000"/>
          <w:lang w:eastAsia="cs-CZ"/>
        </w:rPr>
        <w:t>pecifikované v odst. 3 tohoto článku</w:t>
      </w:r>
      <w:r w:rsidR="00CC090D">
        <w:rPr>
          <w:rFonts w:eastAsia="Times New Roman" w:cs="Arial"/>
          <w:color w:val="000000"/>
          <w:lang w:eastAsia="cs-CZ"/>
        </w:rPr>
        <w:t xml:space="preserve">. </w:t>
      </w:r>
      <w:r w:rsidR="00465624">
        <w:rPr>
          <w:lang w:eastAsia="cs-CZ"/>
        </w:rPr>
        <w:t xml:space="preserve">Prodávající se zavazuje </w:t>
      </w:r>
      <w:r w:rsidR="008B7A13">
        <w:rPr>
          <w:lang w:eastAsia="cs-CZ"/>
        </w:rPr>
        <w:t xml:space="preserve">dodat </w:t>
      </w:r>
      <w:r w:rsidR="00465624">
        <w:rPr>
          <w:lang w:eastAsia="cs-CZ"/>
        </w:rPr>
        <w:t xml:space="preserve">zboží </w:t>
      </w:r>
      <w:r w:rsidR="008B7A13">
        <w:rPr>
          <w:lang w:eastAsia="cs-CZ"/>
        </w:rPr>
        <w:t xml:space="preserve">za dodržení podmínek stanovených touto smlouvou a </w:t>
      </w:r>
      <w:r w:rsidR="003A57D8">
        <w:rPr>
          <w:lang w:eastAsia="cs-CZ"/>
        </w:rPr>
        <w:t xml:space="preserve">převést na kupujícího </w:t>
      </w:r>
      <w:r w:rsidR="008B7A13">
        <w:rPr>
          <w:lang w:eastAsia="cs-CZ"/>
        </w:rPr>
        <w:t>vlastnické právo ke zboží. K</w:t>
      </w:r>
      <w:r w:rsidR="00465624">
        <w:rPr>
          <w:lang w:eastAsia="cs-CZ"/>
        </w:rPr>
        <w:t xml:space="preserve">upující se zavazuje </w:t>
      </w:r>
      <w:r w:rsidR="00EA5974">
        <w:rPr>
          <w:lang w:eastAsia="cs-CZ"/>
        </w:rPr>
        <w:t>za ně za</w:t>
      </w:r>
      <w:r w:rsidR="00465624" w:rsidRPr="00AD334A">
        <w:rPr>
          <w:lang w:eastAsia="cs-CZ"/>
        </w:rPr>
        <w:t xml:space="preserve">platit </w:t>
      </w:r>
      <w:r w:rsidR="00EA5974">
        <w:rPr>
          <w:lang w:eastAsia="cs-CZ"/>
        </w:rPr>
        <w:t>cenu v dohodnuté</w:t>
      </w:r>
      <w:r w:rsidR="00465624" w:rsidRPr="00AD334A">
        <w:rPr>
          <w:lang w:eastAsia="cs-CZ"/>
        </w:rPr>
        <w:t xml:space="preserve"> výši a způsobem určeným tout</w:t>
      </w:r>
      <w:r w:rsidR="001F2330">
        <w:rPr>
          <w:lang w:eastAsia="cs-CZ"/>
        </w:rPr>
        <w: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1"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1"/>
    </w:p>
    <w:p w14:paraId="62739F4C" w14:textId="0018343F" w:rsidR="00967451" w:rsidRPr="00967451" w:rsidRDefault="007A2C81"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rFonts w:eastAsia="Times New Roman" w:cs="Arial"/>
          <w:color w:val="000000"/>
          <w:lang w:eastAsia="cs-CZ"/>
        </w:rPr>
        <w:t>d</w:t>
      </w:r>
      <w:r w:rsidR="00AF0CF0" w:rsidRPr="000603C4">
        <w:rPr>
          <w:rFonts w:eastAsia="Times New Roman" w:cs="Arial"/>
          <w:color w:val="000000"/>
          <w:lang w:eastAsia="cs-CZ"/>
        </w:rPr>
        <w:t>oprava na místo</w:t>
      </w:r>
      <w:r w:rsidR="00967451">
        <w:rPr>
          <w:rFonts w:eastAsia="Times New Roman" w:cs="Arial"/>
          <w:color w:val="000000"/>
          <w:lang w:eastAsia="cs-CZ"/>
        </w:rPr>
        <w:t xml:space="preserve"> plnění</w:t>
      </w:r>
      <w:r w:rsidR="00AF0CF0" w:rsidRPr="000603C4">
        <w:rPr>
          <w:rFonts w:eastAsia="Times New Roman" w:cs="Arial"/>
          <w:color w:val="000000"/>
          <w:lang w:eastAsia="cs-CZ"/>
        </w:rPr>
        <w:t xml:space="preserve"> určené v této smlouvě</w:t>
      </w:r>
      <w:r w:rsidR="00967451">
        <w:rPr>
          <w:rFonts w:eastAsia="Times New Roman" w:cs="Arial"/>
          <w:color w:val="000000"/>
          <w:lang w:eastAsia="cs-CZ"/>
        </w:rPr>
        <w:t>;</w:t>
      </w:r>
    </w:p>
    <w:p w14:paraId="7B71FF8E" w14:textId="176DD632" w:rsidR="00967451" w:rsidRPr="00C1790B" w:rsidRDefault="00967451"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sidRPr="00967451">
        <w:rPr>
          <w:rFonts w:eastAsia="Times New Roman" w:cs="Arial"/>
          <w:color w:val="000000"/>
          <w:lang w:eastAsia="cs-CZ"/>
        </w:rPr>
        <w:t>předání veškeré související dokumentace (technická dokumentace, pokyny pro údržbu apod.) vztahující se ke zboží, která je potřebná pro nakládání se zbožím a pro jeho provoz, nebo kterou vyžadují příslušné právní předpisy a české a evropské technické normy;</w:t>
      </w:r>
    </w:p>
    <w:p w14:paraId="0A82155D" w14:textId="0A515408" w:rsidR="00C1790B" w:rsidRPr="00967451" w:rsidRDefault="007A2C81"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lang w:eastAsia="cs-CZ"/>
        </w:rPr>
        <w:t>i</w:t>
      </w:r>
      <w:r w:rsidR="00C1790B" w:rsidRPr="00C1790B">
        <w:rPr>
          <w:lang w:eastAsia="cs-CZ"/>
        </w:rPr>
        <w:t xml:space="preserve">nstalace kabeláže a montáž </w:t>
      </w:r>
      <w:r w:rsidR="001F2819">
        <w:rPr>
          <w:lang w:eastAsia="cs-CZ"/>
        </w:rPr>
        <w:t>20</w:t>
      </w:r>
      <w:r w:rsidR="00C1790B" w:rsidRPr="00C1790B">
        <w:rPr>
          <w:lang w:eastAsia="cs-CZ"/>
        </w:rPr>
        <w:t xml:space="preserve">ks </w:t>
      </w:r>
      <w:proofErr w:type="spellStart"/>
      <w:r w:rsidR="00C1790B" w:rsidRPr="00C1790B">
        <w:rPr>
          <w:lang w:eastAsia="cs-CZ"/>
        </w:rPr>
        <w:t>Gateway</w:t>
      </w:r>
      <w:proofErr w:type="spellEnd"/>
      <w:r w:rsidR="00C1790B" w:rsidRPr="00C1790B">
        <w:rPr>
          <w:lang w:eastAsia="cs-CZ"/>
        </w:rPr>
        <w:t xml:space="preserve"> lokačních kotev pro komunikaci s transpondéry do podhledového systému </w:t>
      </w:r>
      <w:proofErr w:type="spellStart"/>
      <w:r w:rsidR="00C1790B" w:rsidRPr="00C1790B">
        <w:rPr>
          <w:lang w:eastAsia="cs-CZ"/>
        </w:rPr>
        <w:t>Testbedu</w:t>
      </w:r>
      <w:proofErr w:type="spellEnd"/>
      <w:r>
        <w:rPr>
          <w:lang w:eastAsia="cs-CZ"/>
        </w:rPr>
        <w:t>;</w:t>
      </w:r>
    </w:p>
    <w:p w14:paraId="7A8D9E28" w14:textId="3C89A2FF" w:rsidR="002D3247" w:rsidRDefault="007A2C81" w:rsidP="00967451">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Arial"/>
          <w:color w:val="000000"/>
          <w:lang w:eastAsia="cs-CZ"/>
        </w:rPr>
      </w:pPr>
      <w:r>
        <w:rPr>
          <w:rFonts w:eastAsia="Times New Roman" w:cs="Arial"/>
          <w:color w:val="000000"/>
          <w:lang w:eastAsia="cs-CZ"/>
        </w:rPr>
        <w:t>n</w:t>
      </w:r>
      <w:r w:rsidR="00C1790B" w:rsidRPr="00C1790B">
        <w:rPr>
          <w:rFonts w:eastAsia="Times New Roman" w:cs="Arial"/>
          <w:color w:val="000000"/>
          <w:lang w:eastAsia="cs-CZ"/>
        </w:rPr>
        <w:t>ávrhu systému na zakázku dle specifik prostředí a požadavků, zapojení komponent, vlastní integraci a odladění systému</w:t>
      </w:r>
      <w:r w:rsidR="00C750E3">
        <w:rPr>
          <w:rFonts w:eastAsia="Times New Roman" w:cs="Arial"/>
          <w:color w:val="000000"/>
          <w:lang w:eastAsia="cs-CZ"/>
        </w:rPr>
        <w:t>;</w:t>
      </w:r>
    </w:p>
    <w:p w14:paraId="5332F416" w14:textId="125A4BA5" w:rsidR="009F6614" w:rsidRDefault="007A2C81" w:rsidP="00967451">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Arial"/>
          <w:color w:val="000000"/>
          <w:lang w:eastAsia="cs-CZ"/>
        </w:rPr>
      </w:pPr>
      <w:r>
        <w:rPr>
          <w:rFonts w:eastAsia="Times New Roman" w:cs="Arial"/>
          <w:color w:val="000000"/>
          <w:lang w:eastAsia="cs-CZ"/>
        </w:rPr>
        <w:t>d</w:t>
      </w:r>
      <w:r w:rsidR="009F6614">
        <w:rPr>
          <w:rFonts w:eastAsia="Times New Roman" w:cs="Arial"/>
          <w:color w:val="000000"/>
          <w:lang w:eastAsia="cs-CZ"/>
        </w:rPr>
        <w:t>odání materiálu RTLS systému;</w:t>
      </w:r>
    </w:p>
    <w:p w14:paraId="1CD97392" w14:textId="0E82664B" w:rsidR="007C5FC1" w:rsidRDefault="007A2C81" w:rsidP="00967451">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Arial"/>
          <w:color w:val="000000"/>
          <w:lang w:eastAsia="cs-CZ"/>
        </w:rPr>
      </w:pPr>
      <w:r>
        <w:rPr>
          <w:rFonts w:eastAsia="Times New Roman" w:cs="Arial"/>
          <w:color w:val="000000"/>
          <w:lang w:eastAsia="cs-CZ"/>
        </w:rPr>
        <w:t>d</w:t>
      </w:r>
      <w:r w:rsidR="00967451" w:rsidRPr="00967451">
        <w:rPr>
          <w:rFonts w:eastAsia="Times New Roman" w:cs="Arial"/>
          <w:color w:val="000000"/>
          <w:lang w:eastAsia="cs-CZ"/>
        </w:rPr>
        <w:t>odání souvisejícího SW, jakož i poskytnutí licencí k němu a dále pravidelná aktualizace SW po dobu trvání záruky ve smyslu čl. V odst. 1 smlouvy. Přitom odměna za licenci i aktualizace je zahrnuta v ceně zboží dle této smlouvy, aniž by kupující musel v budoucnu přistupovat na nové licenční podmínky prodávajícího nebo třetí strany, které by navyšovaly cenu v této smlouvě nebo ji měnily v neprospěch kupujícího;</w:t>
      </w:r>
    </w:p>
    <w:p w14:paraId="0363D334" w14:textId="27AA30E8" w:rsidR="007A2C81" w:rsidRPr="007A2C81" w:rsidRDefault="007A2C81" w:rsidP="007A2C81">
      <w:pPr>
        <w:pStyle w:val="Odstavecseseznamem"/>
        <w:numPr>
          <w:ilvl w:val="1"/>
          <w:numId w:val="18"/>
        </w:numPr>
        <w:spacing w:after="60"/>
        <w:ind w:left="1135" w:hanging="284"/>
        <w:contextualSpacing w:val="0"/>
        <w:jc w:val="both"/>
        <w:rPr>
          <w:lang w:eastAsia="cs-CZ"/>
        </w:rPr>
      </w:pPr>
      <w:r>
        <w:rPr>
          <w:rFonts w:eastAsia="Times New Roman" w:cs="Arial"/>
          <w:color w:val="000000"/>
          <w:lang w:eastAsia="cs-CZ"/>
        </w:rPr>
        <w:t>ř</w:t>
      </w:r>
      <w:r w:rsidRPr="007A2C81">
        <w:rPr>
          <w:rFonts w:eastAsia="Times New Roman" w:cs="Arial"/>
          <w:color w:val="000000"/>
          <w:lang w:eastAsia="cs-CZ"/>
        </w:rPr>
        <w:t>ízení celé dodávky a služeb s tím souvisejících</w:t>
      </w:r>
      <w:r>
        <w:rPr>
          <w:rFonts w:eastAsia="Times New Roman" w:cs="Arial"/>
          <w:color w:val="000000"/>
          <w:lang w:eastAsia="cs-CZ"/>
        </w:rPr>
        <w:t>;</w:t>
      </w:r>
    </w:p>
    <w:p w14:paraId="0D70CE28" w14:textId="18040BE0" w:rsidR="00AD334A" w:rsidRPr="00F82508" w:rsidRDefault="007A2C81" w:rsidP="007A2C81">
      <w:pPr>
        <w:pStyle w:val="Odstavecseseznamem"/>
        <w:numPr>
          <w:ilvl w:val="1"/>
          <w:numId w:val="18"/>
        </w:numPr>
        <w:spacing w:after="60"/>
        <w:ind w:left="1135" w:hanging="284"/>
        <w:contextualSpacing w:val="0"/>
        <w:jc w:val="both"/>
        <w:rPr>
          <w:lang w:eastAsia="cs-CZ"/>
        </w:rPr>
      </w:pPr>
      <w:r>
        <w:rPr>
          <w:rFonts w:eastAsia="Times New Roman" w:cs="Arial"/>
          <w:color w:val="000000"/>
          <w:lang w:eastAsia="cs-CZ"/>
        </w:rPr>
        <w:t>p</w:t>
      </w:r>
      <w:r w:rsidRPr="007F73D2">
        <w:rPr>
          <w:rFonts w:eastAsia="Times New Roman" w:cs="Arial"/>
          <w:color w:val="000000"/>
          <w:lang w:eastAsia="cs-CZ"/>
        </w:rPr>
        <w:t>oskytování souvisejících služeb a servisu dle čl. V této smlouvy</w:t>
      </w:r>
      <w:r>
        <w:rPr>
          <w:rFonts w:eastAsia="Times New Roman" w:cs="Arial"/>
          <w:color w:val="000000"/>
          <w:lang w:eastAsia="cs-CZ"/>
        </w:rPr>
        <w:t>.</w:t>
      </w:r>
    </w:p>
    <w:p w14:paraId="6E485814" w14:textId="77777777" w:rsidR="00F82508" w:rsidRPr="007A2C81" w:rsidRDefault="00F82508" w:rsidP="00F82508">
      <w:pPr>
        <w:spacing w:after="60"/>
        <w:jc w:val="both"/>
        <w:rPr>
          <w:lang w:eastAsia="cs-CZ"/>
        </w:rPr>
      </w:pPr>
    </w:p>
    <w:p w14:paraId="6EBF9CD3" w14:textId="326FC7D8" w:rsidR="00C46C71" w:rsidRPr="009E7D5E" w:rsidRDefault="00364BEA" w:rsidP="00F11C83">
      <w:pPr>
        <w:pStyle w:val="Odstavecseseznamem"/>
        <w:numPr>
          <w:ilvl w:val="0"/>
          <w:numId w:val="17"/>
        </w:numPr>
        <w:spacing w:before="240" w:after="120"/>
        <w:ind w:left="1701" w:hanging="6"/>
        <w:contextualSpacing w:val="0"/>
        <w:jc w:val="center"/>
        <w:rPr>
          <w:b/>
          <w:sz w:val="24"/>
          <w:szCs w:val="24"/>
          <w:lang w:eastAsia="cs-CZ"/>
        </w:rPr>
      </w:pPr>
      <w:r w:rsidRPr="009E7D5E">
        <w:rPr>
          <w:b/>
          <w:sz w:val="24"/>
          <w:szCs w:val="24"/>
          <w:lang w:eastAsia="cs-CZ"/>
        </w:rPr>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50266C40"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645A1E6F"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2"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totiž pro jeho fyzickou přepravu do místa plnění</w:t>
      </w:r>
      <w:r w:rsidR="005B6D96">
        <w:rPr>
          <w:rFonts w:cs="Arial"/>
          <w:color w:val="000000" w:themeColor="text1"/>
        </w:rPr>
        <w:t xml:space="preserve"> a provedení plnění dle čl. II odst. 3 písm. a) až g) smlouvy</w:t>
      </w:r>
      <w:r w:rsidRPr="00D72A94">
        <w:rPr>
          <w:rFonts w:cs="Arial"/>
          <w:color w:val="000000" w:themeColor="text1"/>
        </w:rPr>
        <w:t xml:space="preserve">, kdy je bude </w:t>
      </w:r>
      <w:r w:rsidR="00384371" w:rsidRPr="00D72A94">
        <w:rPr>
          <w:rFonts w:cs="Arial"/>
          <w:color w:val="000000" w:themeColor="text1"/>
        </w:rPr>
        <w:t xml:space="preserve">kupující </w:t>
      </w:r>
      <w:r w:rsidRPr="00D72A94">
        <w:rPr>
          <w:rFonts w:cs="Arial"/>
          <w:color w:val="000000" w:themeColor="text1"/>
        </w:rPr>
        <w:t xml:space="preserve">moci bez potíží nebo omezení </w:t>
      </w:r>
      <w:r w:rsidR="00384371" w:rsidRPr="00D72A94">
        <w:rPr>
          <w:rFonts w:cs="Arial"/>
          <w:color w:val="000000" w:themeColor="text1"/>
        </w:rPr>
        <w:t xml:space="preserve">v plné funkčnosti </w:t>
      </w:r>
      <w:r w:rsidRPr="00D72A94">
        <w:rPr>
          <w:rFonts w:cs="Arial"/>
          <w:color w:val="000000" w:themeColor="text1"/>
        </w:rPr>
        <w:t>používat</w:t>
      </w:r>
      <w:r w:rsidR="00A534AA">
        <w:rPr>
          <w:rFonts w:cs="Arial"/>
          <w:color w:val="000000" w:themeColor="text1"/>
        </w:rPr>
        <w:t>,</w:t>
      </w:r>
      <w:r w:rsidR="0071714B" w:rsidRPr="00D72A94">
        <w:rPr>
          <w:rFonts w:cs="Arial"/>
          <w:color w:val="000000" w:themeColor="text1"/>
        </w:rPr>
        <w:t xml:space="preserve"> </w:t>
      </w:r>
      <w:r w:rsidRPr="00D72A94">
        <w:rPr>
          <w:rFonts w:cs="Arial"/>
          <w:color w:val="000000" w:themeColor="text1"/>
        </w:rPr>
        <w:t xml:space="preserve">činí </w:t>
      </w:r>
      <w:r w:rsidRPr="004A12B1">
        <w:rPr>
          <w:rFonts w:cs="Arial"/>
        </w:rPr>
        <w:t xml:space="preserve">nejvýše </w:t>
      </w:r>
      <w:r w:rsidR="001F2819" w:rsidRPr="004A12B1">
        <w:rPr>
          <w:rFonts w:cs="Arial"/>
        </w:rPr>
        <w:t>1</w:t>
      </w:r>
      <w:r w:rsidR="00EA67B2" w:rsidRPr="004A12B1">
        <w:rPr>
          <w:rFonts w:cs="Arial"/>
        </w:rPr>
        <w:t>3</w:t>
      </w:r>
      <w:r w:rsidR="00CB2E61" w:rsidRPr="004A12B1">
        <w:rPr>
          <w:rFonts w:cs="Arial"/>
        </w:rPr>
        <w:t>0</w:t>
      </w:r>
      <w:r w:rsidR="00C262E7" w:rsidRPr="004A12B1">
        <w:rPr>
          <w:rFonts w:cs="Arial"/>
        </w:rPr>
        <w:t xml:space="preserve"> dnů</w:t>
      </w:r>
      <w:r w:rsidRPr="004A12B1">
        <w:rPr>
          <w:rFonts w:cs="Arial"/>
        </w:rPr>
        <w:t xml:space="preserve"> </w:t>
      </w:r>
      <w:r w:rsidRPr="00CB2E61">
        <w:rPr>
          <w:rFonts w:cs="Arial"/>
          <w:color w:val="000000" w:themeColor="text1"/>
        </w:rPr>
        <w:t>od</w:t>
      </w:r>
      <w:r w:rsidR="00C262E7" w:rsidRPr="00CB2E61">
        <w:rPr>
          <w:rFonts w:cs="Arial"/>
          <w:color w:val="000000" w:themeColor="text1"/>
        </w:rPr>
        <w:t>e</w:t>
      </w:r>
      <w:r w:rsidR="00C262E7" w:rsidRPr="00142E1A">
        <w:rPr>
          <w:rFonts w:cs="Arial"/>
          <w:color w:val="000000" w:themeColor="text1"/>
        </w:rPr>
        <w:t xml:space="preserve"> dne </w:t>
      </w:r>
      <w:r w:rsidR="005B6D96">
        <w:rPr>
          <w:rFonts w:cs="Arial"/>
          <w:color w:val="000000" w:themeColor="text1"/>
        </w:rPr>
        <w:t xml:space="preserve">účinnosti </w:t>
      </w:r>
      <w:r w:rsidR="00124188">
        <w:rPr>
          <w:rFonts w:cs="Arial"/>
          <w:color w:val="000000" w:themeColor="text1"/>
        </w:rPr>
        <w:t>této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2"/>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5BEB5915" w14:textId="77777777" w:rsidR="004B7339" w:rsidRDefault="004B7339"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EF2712" w14:textId="4EDAC3D6" w:rsidR="0099749C" w:rsidRPr="005B6D96" w:rsidRDefault="00502350" w:rsidP="005B6D96">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155FAA01" w14:textId="77777777" w:rsidR="00033C22" w:rsidRDefault="00033C22"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2D8E5EA7" w14:textId="3997B71E" w:rsidR="00C76BD6" w:rsidRPr="00C26BBD" w:rsidRDefault="00502350" w:rsidP="00DD39F1">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0FB6CE51"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8563F" w:rsidRPr="00CD5FEE">
        <w:rPr>
          <w:rFonts w:cs="Arial"/>
          <w:b/>
          <w:color w:val="000000" w:themeColor="text1"/>
        </w:rPr>
        <w:t xml:space="preserve">budova </w:t>
      </w:r>
      <w:r w:rsidR="0028563F" w:rsidRPr="000450AB">
        <w:rPr>
          <w:rFonts w:cs="Arial"/>
          <w:b/>
          <w:color w:val="000000" w:themeColor="text1"/>
        </w:rPr>
        <w:t xml:space="preserve">B, </w:t>
      </w:r>
      <w:r w:rsidRPr="000450AB">
        <w:rPr>
          <w:rFonts w:cs="Arial"/>
          <w:b/>
          <w:color w:val="000000" w:themeColor="text1"/>
        </w:rPr>
        <w:t xml:space="preserve">místnost </w:t>
      </w:r>
      <w:r w:rsidR="000450AB" w:rsidRPr="000450AB">
        <w:rPr>
          <w:b/>
        </w:rPr>
        <w:t>CIIRC</w:t>
      </w:r>
      <w:r w:rsidR="00124188">
        <w:rPr>
          <w:b/>
        </w:rPr>
        <w:t xml:space="preserve"> </w:t>
      </w:r>
      <w:r w:rsidR="00027BA9" w:rsidRPr="00027BA9">
        <w:rPr>
          <w:b/>
        </w:rPr>
        <w:t>B 1.15</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4C39BEDE" w14:textId="77777777" w:rsidR="005B6D96" w:rsidRDefault="00502350" w:rsidP="005B6D96">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5B6D96">
        <w:rPr>
          <w:rFonts w:cs="Arial"/>
          <w:color w:val="000000"/>
          <w:lang w:eastAsia="cs-CZ"/>
        </w:rPr>
        <w:t xml:space="preserve"> a </w:t>
      </w:r>
      <w:r w:rsidR="005B6D96">
        <w:rPr>
          <w:rFonts w:cs="Arial"/>
          <w:color w:val="000000" w:themeColor="text1"/>
        </w:rPr>
        <w:t xml:space="preserve">provedení dalších plnění dle čl. II odst. 3 písm. a) až g) smlouvy. </w:t>
      </w:r>
    </w:p>
    <w:p w14:paraId="5B8C8849" w14:textId="1688FC39" w:rsidR="007C5FC1" w:rsidRPr="00124188" w:rsidRDefault="00D820AF" w:rsidP="005B6D96">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kupujícího 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jeho řádném dodání.</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akceptační</w:t>
      </w:r>
      <w:r w:rsidR="00EA67B2" w:rsidRPr="004A12B1">
        <w:rPr>
          <w:rFonts w:cs="Arial"/>
        </w:rPr>
        <w:t xml:space="preserve"> nebo </w:t>
      </w:r>
      <w:r w:rsidR="009405DD" w:rsidRPr="004A12B1">
        <w:rPr>
          <w:rFonts w:cs="Arial"/>
        </w:rPr>
        <w:t xml:space="preserve">předávací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718CF615" w14:textId="11E3E66C" w:rsidR="00DA6D69" w:rsidRDefault="00D820AF" w:rsidP="005B6D96">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 xml:space="preserve">ovně prohlašuje, že si je vědom,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810F7F7" w14:textId="77777777" w:rsidR="008676C4" w:rsidRPr="008676C4" w:rsidRDefault="008676C4" w:rsidP="008676C4">
      <w:pPr>
        <w:widowControl w:val="0"/>
        <w:tabs>
          <w:tab w:val="left" w:pos="709"/>
          <w:tab w:val="left" w:pos="1200"/>
        </w:tabs>
        <w:autoSpaceDE w:val="0"/>
        <w:autoSpaceDN w:val="0"/>
        <w:adjustRightInd w:val="0"/>
        <w:spacing w:after="120" w:line="240" w:lineRule="auto"/>
        <w:jc w:val="both"/>
        <w:rPr>
          <w:rFonts w:cs="Arial"/>
          <w:color w:val="000000" w:themeColor="text1"/>
        </w:rPr>
      </w:pPr>
    </w:p>
    <w:p w14:paraId="2B0FA7C8" w14:textId="508B1A87" w:rsidR="00502350" w:rsidRPr="009E7D5E" w:rsidRDefault="00502350" w:rsidP="005B6D96">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240"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1D94E6E9" w14:textId="78EA0EE5" w:rsidR="00E408E3" w:rsidRPr="005B6D96" w:rsidRDefault="00484F6E" w:rsidP="005B6D96">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všechno</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tbl>
      <w:tblPr>
        <w:tblStyle w:val="Mkatabulky"/>
        <w:tblW w:w="8414" w:type="dxa"/>
        <w:tblInd w:w="512" w:type="dxa"/>
        <w:tblLook w:val="04A0" w:firstRow="1" w:lastRow="0" w:firstColumn="1" w:lastColumn="0" w:noHBand="0" w:noVBand="1"/>
      </w:tblPr>
      <w:tblGrid>
        <w:gridCol w:w="3878"/>
        <w:gridCol w:w="4536"/>
      </w:tblGrid>
      <w:tr w:rsidR="005B6D96" w:rsidRPr="004946B0" w14:paraId="45BC2E7D" w14:textId="77777777" w:rsidTr="005B6D96">
        <w:tc>
          <w:tcPr>
            <w:tcW w:w="3878" w:type="dxa"/>
          </w:tcPr>
          <w:p w14:paraId="3DF7B865" w14:textId="77777777" w:rsidR="005B6D96" w:rsidRPr="004946B0" w:rsidRDefault="005B6D96"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4536" w:type="dxa"/>
          </w:tcPr>
          <w:p w14:paraId="6369BF66" w14:textId="77777777" w:rsidR="005B6D96" w:rsidRPr="004946B0" w:rsidRDefault="005B6D96"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r>
      <w:tr w:rsidR="005B6D96" w:rsidRPr="004946B0" w14:paraId="16EFEE2D" w14:textId="77777777" w:rsidTr="005B6D96">
        <w:tc>
          <w:tcPr>
            <w:tcW w:w="3878" w:type="dxa"/>
          </w:tcPr>
          <w:p w14:paraId="5F504926" w14:textId="77777777" w:rsidR="005B6D96" w:rsidRPr="0003346B" w:rsidRDefault="005B6D96"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3346B">
              <w:rPr>
                <w:rFonts w:asciiTheme="minorHAnsi" w:hAnsiTheme="minorHAnsi" w:cstheme="minorHAnsi"/>
                <w:b/>
                <w:color w:val="000000"/>
                <w:sz w:val="22"/>
                <w:szCs w:val="22"/>
              </w:rPr>
              <w:t>celková cena v Kč bez DPH:</w:t>
            </w:r>
          </w:p>
        </w:tc>
        <w:tc>
          <w:tcPr>
            <w:tcW w:w="4536" w:type="dxa"/>
            <w:shd w:val="clear" w:color="auto" w:fill="FFFFFF" w:themeFill="background1"/>
          </w:tcPr>
          <w:p w14:paraId="26132B8B" w14:textId="08ED3AA9" w:rsidR="005B6D96" w:rsidRPr="004A12B1" w:rsidRDefault="008E461A" w:rsidP="00BA0001">
            <w:pPr>
              <w:widowControl w:val="0"/>
              <w:tabs>
                <w:tab w:val="left" w:pos="567"/>
                <w:tab w:val="left" w:pos="679"/>
              </w:tabs>
              <w:autoSpaceDE w:val="0"/>
              <w:autoSpaceDN w:val="0"/>
              <w:adjustRightInd w:val="0"/>
              <w:spacing w:after="120"/>
              <w:jc w:val="both"/>
              <w:rPr>
                <w:rFonts w:ascii="Calibri" w:hAnsi="Calibri" w:cs="Calibri"/>
                <w:color w:val="000000"/>
                <w:sz w:val="22"/>
                <w:szCs w:val="22"/>
              </w:rPr>
            </w:pPr>
            <w:r w:rsidRPr="004A12B1">
              <w:rPr>
                <w:rFonts w:ascii="Calibri" w:hAnsi="Calibri" w:cs="Calibri"/>
                <w:color w:val="000000"/>
                <w:sz w:val="22"/>
              </w:rPr>
              <w:t xml:space="preserve">2.467.365,- </w:t>
            </w:r>
            <w:r w:rsidR="005B6D96" w:rsidRPr="004A12B1">
              <w:rPr>
                <w:rFonts w:ascii="Calibri" w:hAnsi="Calibri" w:cs="Calibri"/>
                <w:color w:val="000000"/>
                <w:sz w:val="22"/>
              </w:rPr>
              <w:t>Kč</w:t>
            </w:r>
          </w:p>
        </w:tc>
      </w:tr>
      <w:tr w:rsidR="005B6D96" w:rsidRPr="004946B0" w14:paraId="1D082FD0" w14:textId="77777777" w:rsidTr="005B6D96">
        <w:tc>
          <w:tcPr>
            <w:tcW w:w="3878" w:type="dxa"/>
          </w:tcPr>
          <w:p w14:paraId="0D90EF9F" w14:textId="77777777" w:rsidR="005B6D96" w:rsidRPr="0003346B" w:rsidRDefault="005B6D96"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3346B">
              <w:rPr>
                <w:rFonts w:asciiTheme="minorHAnsi" w:hAnsiTheme="minorHAnsi" w:cstheme="minorHAnsi"/>
                <w:b/>
                <w:color w:val="000000"/>
                <w:sz w:val="22"/>
                <w:szCs w:val="22"/>
              </w:rPr>
              <w:t>celková cena v Kč s DPH:</w:t>
            </w:r>
          </w:p>
        </w:tc>
        <w:tc>
          <w:tcPr>
            <w:tcW w:w="4536" w:type="dxa"/>
            <w:shd w:val="clear" w:color="auto" w:fill="FFFFFF" w:themeFill="background1"/>
          </w:tcPr>
          <w:p w14:paraId="0C454DE1" w14:textId="5F6F0F36" w:rsidR="005B6D96" w:rsidRPr="004A12B1" w:rsidRDefault="008E461A" w:rsidP="000603C4">
            <w:pPr>
              <w:widowControl w:val="0"/>
              <w:tabs>
                <w:tab w:val="left" w:pos="567"/>
                <w:tab w:val="left" w:pos="679"/>
              </w:tabs>
              <w:autoSpaceDE w:val="0"/>
              <w:autoSpaceDN w:val="0"/>
              <w:adjustRightInd w:val="0"/>
              <w:spacing w:after="120"/>
              <w:jc w:val="both"/>
              <w:rPr>
                <w:rFonts w:ascii="Calibri" w:hAnsi="Calibri" w:cs="Calibri"/>
                <w:color w:val="000000"/>
                <w:sz w:val="22"/>
                <w:szCs w:val="22"/>
              </w:rPr>
            </w:pPr>
            <w:r w:rsidRPr="004A12B1">
              <w:rPr>
                <w:rFonts w:ascii="Calibri" w:hAnsi="Calibri" w:cs="Calibri"/>
                <w:sz w:val="22"/>
              </w:rPr>
              <w:t>2.985.511,65 Kč</w:t>
            </w:r>
          </w:p>
        </w:tc>
      </w:tr>
      <w:tr w:rsidR="005B6D96" w:rsidRPr="004946B0" w14:paraId="613B8EB7" w14:textId="77777777" w:rsidTr="005B6D96">
        <w:tc>
          <w:tcPr>
            <w:tcW w:w="3878" w:type="dxa"/>
          </w:tcPr>
          <w:p w14:paraId="5E1EF555" w14:textId="77777777" w:rsidR="005B6D96" w:rsidRPr="0003346B" w:rsidRDefault="005B6D96"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3346B">
              <w:rPr>
                <w:rFonts w:asciiTheme="minorHAnsi" w:hAnsiTheme="minorHAnsi" w:cstheme="minorHAnsi"/>
                <w:b/>
                <w:color w:val="000000"/>
                <w:sz w:val="22"/>
                <w:szCs w:val="22"/>
              </w:rPr>
              <w:t>DPH v Kč:</w:t>
            </w:r>
          </w:p>
        </w:tc>
        <w:tc>
          <w:tcPr>
            <w:tcW w:w="4536" w:type="dxa"/>
            <w:shd w:val="clear" w:color="auto" w:fill="FFFFFF" w:themeFill="background1"/>
          </w:tcPr>
          <w:p w14:paraId="64B6B59D" w14:textId="5B9B2E4A" w:rsidR="005B6D96" w:rsidRPr="004A12B1" w:rsidRDefault="008E461A" w:rsidP="000603C4">
            <w:pPr>
              <w:widowControl w:val="0"/>
              <w:tabs>
                <w:tab w:val="left" w:pos="567"/>
                <w:tab w:val="left" w:pos="679"/>
              </w:tabs>
              <w:autoSpaceDE w:val="0"/>
              <w:autoSpaceDN w:val="0"/>
              <w:adjustRightInd w:val="0"/>
              <w:spacing w:after="120"/>
              <w:jc w:val="both"/>
              <w:rPr>
                <w:rFonts w:ascii="Calibri" w:hAnsi="Calibri" w:cs="Calibri"/>
                <w:color w:val="000000"/>
                <w:sz w:val="22"/>
                <w:szCs w:val="22"/>
              </w:rPr>
            </w:pPr>
            <w:r w:rsidRPr="004A12B1">
              <w:rPr>
                <w:rFonts w:ascii="Calibri" w:hAnsi="Calibri" w:cs="Calibri"/>
                <w:sz w:val="22"/>
              </w:rPr>
              <w:t>518.146,65 Kč</w:t>
            </w:r>
          </w:p>
        </w:tc>
      </w:tr>
    </w:tbl>
    <w:p w14:paraId="0116E773" w14:textId="77777777" w:rsidR="007C5FC1" w:rsidRPr="00967451" w:rsidRDefault="007C5FC1" w:rsidP="00967451">
      <w:pPr>
        <w:widowControl w:val="0"/>
        <w:shd w:val="clear" w:color="auto" w:fill="FFFFFF"/>
        <w:tabs>
          <w:tab w:val="left" w:pos="567"/>
        </w:tabs>
        <w:autoSpaceDE w:val="0"/>
        <w:autoSpaceDN w:val="0"/>
        <w:adjustRightInd w:val="0"/>
        <w:spacing w:after="120"/>
        <w:jc w:val="both"/>
        <w:rPr>
          <w:rFonts w:cs="Arial"/>
          <w:color w:val="000000" w:themeColor="text1"/>
        </w:rPr>
      </w:pPr>
    </w:p>
    <w:p w14:paraId="2BFB9BBE" w14:textId="49028E65" w:rsidR="005B6D96" w:rsidRDefault="005B6D96" w:rsidP="005B6D96">
      <w:pPr>
        <w:pStyle w:val="Odstavecseseznamem"/>
        <w:widowControl w:val="0"/>
        <w:numPr>
          <w:ilvl w:val="0"/>
          <w:numId w:val="23"/>
        </w:numPr>
        <w:shd w:val="clear" w:color="auto" w:fill="FFFFFF"/>
        <w:tabs>
          <w:tab w:val="left" w:pos="567"/>
        </w:tabs>
        <w:autoSpaceDE w:val="0"/>
        <w:autoSpaceDN w:val="0"/>
        <w:adjustRightInd w:val="0"/>
        <w:spacing w:after="120"/>
        <w:ind w:left="567" w:hanging="567"/>
        <w:contextualSpacing w:val="0"/>
        <w:jc w:val="both"/>
        <w:rPr>
          <w:rFonts w:cs="Arial"/>
          <w:color w:val="000000" w:themeColor="text1"/>
        </w:rPr>
      </w:pPr>
      <w:r>
        <w:rPr>
          <w:rFonts w:cs="Arial"/>
          <w:color w:val="000000" w:themeColor="text1"/>
        </w:rPr>
        <w:t>Cenový rozpad je součástí přílohy B této smlouvy.</w:t>
      </w:r>
    </w:p>
    <w:p w14:paraId="6C435A0A" w14:textId="3F3694EA" w:rsidR="001112A5" w:rsidRPr="001112A5" w:rsidRDefault="001112A5" w:rsidP="005B6D96">
      <w:pPr>
        <w:pStyle w:val="Odstavecseseznamem"/>
        <w:widowControl w:val="0"/>
        <w:numPr>
          <w:ilvl w:val="0"/>
          <w:numId w:val="23"/>
        </w:numPr>
        <w:shd w:val="clear" w:color="auto" w:fill="FFFFFF"/>
        <w:tabs>
          <w:tab w:val="left" w:pos="567"/>
        </w:tabs>
        <w:autoSpaceDE w:val="0"/>
        <w:autoSpaceDN w:val="0"/>
        <w:adjustRightInd w:val="0"/>
        <w:spacing w:after="120"/>
        <w:ind w:left="567" w:hanging="567"/>
        <w:contextualSpacing w:val="0"/>
        <w:jc w:val="both"/>
        <w:rPr>
          <w:rFonts w:cs="Arial"/>
          <w:color w:val="000000" w:themeColor="text1"/>
        </w:rPr>
      </w:pPr>
      <w:r w:rsidRPr="001112A5">
        <w:rPr>
          <w:rFonts w:cs="Arial"/>
          <w:color w:val="000000" w:themeColor="text1"/>
        </w:rPr>
        <w:t>Celková cena může být měněna pouze a výhradně v souladu s relevantním a aktuálním zněním zákona o zadávání veřejných zakázek.</w:t>
      </w:r>
    </w:p>
    <w:p w14:paraId="33EF18A7" w14:textId="33B2C52F" w:rsidR="00CB55E9" w:rsidRPr="00967451" w:rsidRDefault="00C262E7" w:rsidP="005B6D96">
      <w:pPr>
        <w:pStyle w:val="Odstavecseseznamem"/>
        <w:widowControl w:val="0"/>
        <w:numPr>
          <w:ilvl w:val="0"/>
          <w:numId w:val="23"/>
        </w:numPr>
        <w:shd w:val="clear" w:color="auto" w:fill="FFFFFF"/>
        <w:tabs>
          <w:tab w:val="left" w:pos="567"/>
        </w:tabs>
        <w:autoSpaceDE w:val="0"/>
        <w:autoSpaceDN w:val="0"/>
        <w:adjustRightInd w:val="0"/>
        <w:spacing w:after="120"/>
        <w:ind w:left="567" w:hanging="567"/>
        <w:contextualSpacing w:val="0"/>
        <w:jc w:val="both"/>
        <w:rPr>
          <w:rFonts w:cs="Arial"/>
          <w:color w:val="000000" w:themeColor="text1"/>
        </w:rPr>
      </w:pPr>
      <w:r w:rsidRPr="0025665A">
        <w:rPr>
          <w:rFonts w:cs="Arial"/>
          <w:color w:val="000000" w:themeColor="text1"/>
        </w:rPr>
        <w:t>Celková c</w:t>
      </w:r>
      <w:r w:rsidR="00484F6E" w:rsidRPr="0025665A">
        <w:rPr>
          <w:rFonts w:cs="Arial"/>
          <w:color w:val="000000" w:themeColor="text1"/>
        </w:rPr>
        <w:t xml:space="preserve">ena za </w:t>
      </w:r>
      <w:r w:rsidRPr="0025665A">
        <w:rPr>
          <w:rFonts w:cs="Arial"/>
          <w:color w:val="000000" w:themeColor="text1"/>
        </w:rPr>
        <w:t xml:space="preserve">dodání </w:t>
      </w:r>
      <w:r w:rsidR="00CC4F3D" w:rsidRPr="000603C4">
        <w:rPr>
          <w:rFonts w:cs="Arial"/>
          <w:color w:val="000000" w:themeColor="text1"/>
        </w:rPr>
        <w:t>zboží a jeho příslušenství</w:t>
      </w:r>
      <w:r w:rsidRPr="000603C4">
        <w:rPr>
          <w:rFonts w:cs="Arial"/>
          <w:color w:val="000000" w:themeColor="text1"/>
        </w:rPr>
        <w:t xml:space="preserve"> této</w:t>
      </w:r>
      <w:r w:rsidRPr="00687B14">
        <w:rPr>
          <w:rFonts w:cs="Arial"/>
          <w:color w:val="000000" w:themeColor="text1"/>
        </w:rPr>
        <w:t xml:space="preserve"> smlouvy</w:t>
      </w:r>
      <w:r w:rsidR="00124188">
        <w:rPr>
          <w:rFonts w:cs="Arial"/>
          <w:color w:val="000000" w:themeColor="text1"/>
        </w:rPr>
        <w:t xml:space="preserve"> </w:t>
      </w:r>
      <w:r w:rsidR="00484F6E" w:rsidRPr="00687B14">
        <w:rPr>
          <w:rFonts w:cs="Arial"/>
          <w:color w:val="000000" w:themeColor="text1"/>
        </w:rPr>
        <w:t xml:space="preserve">bude uhrazena oproti faktuře. Taková faktura může být vystavena teprve po podepsání předávacího, resp. akceptačního protokolu, ve kterém bude uvedeno, že dodání je bez vad a nedodělků. </w:t>
      </w:r>
    </w:p>
    <w:p w14:paraId="48FB3A70" w14:textId="4317D950" w:rsidR="002217F8" w:rsidRPr="009E7D5E"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497EBA73" w14:textId="77777777" w:rsidR="001112A5" w:rsidRPr="00D574F4" w:rsidRDefault="001112A5" w:rsidP="005B6D96">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1DC3A61F" w14:textId="3CB9094C" w:rsidR="001112A5" w:rsidRDefault="001112A5" w:rsidP="005B6D96">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D574F4">
        <w:rPr>
          <w:rFonts w:cs="Arial"/>
          <w:i/>
          <w:color w:val="000000" w:themeColor="text1"/>
        </w:rPr>
        <w:lastRenderedPageBreak/>
        <w:t>reg</w:t>
      </w:r>
      <w:proofErr w:type="spellEnd"/>
      <w:r w:rsidRPr="00D574F4">
        <w:rPr>
          <w:rFonts w:cs="Arial"/>
          <w:i/>
          <w:color w:val="000000" w:themeColor="text1"/>
        </w:rPr>
        <w:t>. č. CZ.02.1.01/0.0/0.0/17_043/0010085.</w:t>
      </w:r>
    </w:p>
    <w:p w14:paraId="469DD28D" w14:textId="4D4B8F77" w:rsidR="00CB55E9" w:rsidRPr="009E7D5E"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6089CE26" w:rsidR="00484F6E" w:rsidRPr="0019419A"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967451"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252120C1" w14:textId="2040E65C" w:rsidR="00124188" w:rsidRDefault="00994559" w:rsidP="005B6D96">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74D20E1E" w14:textId="77777777" w:rsidR="009405DD" w:rsidRPr="00AD334A" w:rsidRDefault="009405DD" w:rsidP="005B6D96">
      <w:pPr>
        <w:tabs>
          <w:tab w:val="left" w:pos="567"/>
        </w:tabs>
        <w:spacing w:after="120"/>
        <w:ind w:left="567" w:hanging="567"/>
        <w:jc w:val="both"/>
      </w:pPr>
    </w:p>
    <w:p w14:paraId="20CA7101" w14:textId="48817049" w:rsidR="001E5ED0" w:rsidRPr="00AE5383" w:rsidRDefault="00502350" w:rsidP="005B6D96">
      <w:pPr>
        <w:pStyle w:val="Odstavecseseznamem"/>
        <w:widowControl w:val="0"/>
        <w:numPr>
          <w:ilvl w:val="0"/>
          <w:numId w:val="17"/>
        </w:numPr>
        <w:tabs>
          <w:tab w:val="left" w:pos="284"/>
          <w:tab w:val="left" w:pos="567"/>
        </w:tabs>
        <w:autoSpaceDE w:val="0"/>
        <w:autoSpaceDN w:val="0"/>
        <w:adjustRightInd w:val="0"/>
        <w:spacing w:before="240"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169503D0" w:rsidR="001E5ED0" w:rsidRPr="0019419A"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sidR="0061385B">
        <w:rPr>
          <w:rFonts w:cs="Arial"/>
          <w:color w:val="000000" w:themeColor="text1"/>
        </w:rPr>
        <w:t xml:space="preserve">veškeré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043C1E" w:rsidRPr="00043C1E">
        <w:t xml:space="preserve">24 měsíců od zahájení zkušebního provozu </w:t>
      </w:r>
      <w:r w:rsidR="00DE5887">
        <w:t xml:space="preserve">a prodávající </w:t>
      </w:r>
      <w:r w:rsidR="00E54F82">
        <w:t>garantuje</w:t>
      </w:r>
      <w:r w:rsidR="00DE5887">
        <w:t xml:space="preserve"> </w:t>
      </w:r>
      <w:r w:rsidR="00FC7FE7">
        <w:t xml:space="preserve">zahájení opravy do 10 dnů a </w:t>
      </w:r>
      <w:r w:rsidR="004367EC">
        <w:t>odstranění</w:t>
      </w:r>
      <w:r w:rsidR="00043C1E">
        <w:t xml:space="preserve"> vady</w:t>
      </w:r>
      <w:r w:rsidR="00DE5887">
        <w:t xml:space="preserve"> do </w:t>
      </w:r>
      <w:r w:rsidR="00043C1E">
        <w:t>3</w:t>
      </w:r>
      <w:r w:rsidR="00FC7FE7">
        <w:t>0</w:t>
      </w:r>
      <w:r w:rsidR="00DE5887">
        <w:t xml:space="preserve"> </w:t>
      </w:r>
      <w:r w:rsidR="00043C1E">
        <w:t>dnů</w:t>
      </w:r>
      <w:r w:rsidR="00DE5887">
        <w:t xml:space="preserve"> od </w:t>
      </w:r>
      <w:r w:rsidR="006C5098">
        <w:t>na</w:t>
      </w:r>
      <w:r w:rsidR="00E54F82">
        <w:t>hlášení</w:t>
      </w:r>
      <w:r w:rsidR="00B53CFA">
        <w:t xml:space="preserve"> vady</w:t>
      </w:r>
      <w:r w:rsidR="00FC7FE7">
        <w:t>.</w:t>
      </w:r>
    </w:p>
    <w:p w14:paraId="7EED2157" w14:textId="77777777" w:rsidR="001C6DA7" w:rsidRPr="001C6DA7" w:rsidRDefault="007F28E3"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183CA83B" w:rsidR="007F28E3" w:rsidRPr="001C6DA7" w:rsidRDefault="00EA4926"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1C6DA7">
        <w:rPr>
          <w:rFonts w:eastAsia="Times New Roman" w:cs="Arial"/>
          <w:color w:val="000000"/>
          <w:lang w:eastAsia="cs-CZ"/>
        </w:rPr>
        <w:t>Pro</w:t>
      </w:r>
      <w:r w:rsidR="00C6542F" w:rsidRPr="001C6DA7">
        <w:rPr>
          <w:rFonts w:eastAsia="Times New Roman" w:cs="Arial"/>
          <w:color w:val="000000"/>
          <w:lang w:eastAsia="cs-CZ"/>
        </w:rPr>
        <w:t xml:space="preserve">dávající se zavazuje na </w:t>
      </w:r>
      <w:r w:rsidR="00935D15" w:rsidRPr="001C6DA7">
        <w:rPr>
          <w:rFonts w:eastAsia="Times New Roman" w:cs="Arial"/>
          <w:color w:val="000000"/>
          <w:lang w:eastAsia="cs-CZ"/>
        </w:rPr>
        <w:t>nahlášení vady</w:t>
      </w:r>
      <w:r w:rsidRPr="001C6DA7">
        <w:rPr>
          <w:rFonts w:eastAsia="Times New Roman" w:cs="Arial"/>
          <w:color w:val="000000"/>
          <w:lang w:eastAsia="cs-CZ"/>
        </w:rPr>
        <w:t xml:space="preserve"> kupující</w:t>
      </w:r>
      <w:r w:rsidR="00935D15" w:rsidRPr="001C6DA7">
        <w:rPr>
          <w:rFonts w:eastAsia="Times New Roman" w:cs="Arial"/>
          <w:color w:val="000000"/>
          <w:lang w:eastAsia="cs-CZ"/>
        </w:rPr>
        <w:t>m</w:t>
      </w:r>
      <w:r w:rsidRPr="001C6DA7">
        <w:rPr>
          <w:rFonts w:eastAsia="Times New Roman" w:cs="Arial"/>
          <w:color w:val="000000"/>
          <w:lang w:eastAsia="cs-CZ"/>
        </w:rPr>
        <w:t xml:space="preserve"> zajistit možnost vzdálené diagnostiky </w:t>
      </w:r>
      <w:r w:rsidR="008441B7" w:rsidRPr="001C6DA7">
        <w:rPr>
          <w:rFonts w:eastAsia="Times New Roman" w:cs="Arial"/>
          <w:color w:val="000000"/>
          <w:lang w:eastAsia="cs-CZ"/>
        </w:rPr>
        <w:t xml:space="preserve">zboží </w:t>
      </w:r>
      <w:r w:rsidRPr="001C6DA7">
        <w:rPr>
          <w:rFonts w:eastAsia="Times New Roman" w:cs="Arial"/>
          <w:color w:val="000000"/>
          <w:lang w:eastAsia="cs-CZ"/>
        </w:rPr>
        <w:t xml:space="preserve">a komunikaci </w:t>
      </w:r>
      <w:r w:rsidR="00935D15" w:rsidRPr="001C6DA7">
        <w:rPr>
          <w:rFonts w:eastAsia="Times New Roman" w:cs="Arial"/>
          <w:color w:val="000000"/>
          <w:lang w:eastAsia="cs-CZ"/>
        </w:rPr>
        <w:t xml:space="preserve">kupujícího </w:t>
      </w:r>
      <w:r w:rsidRPr="001C6DA7">
        <w:rPr>
          <w:rFonts w:eastAsia="Times New Roman" w:cs="Arial"/>
          <w:color w:val="000000"/>
          <w:lang w:eastAsia="cs-CZ"/>
        </w:rPr>
        <w:t xml:space="preserve">se servisním technikem </w:t>
      </w:r>
      <w:r w:rsidR="00935D15" w:rsidRPr="001C6DA7">
        <w:rPr>
          <w:rFonts w:eastAsia="Times New Roman" w:cs="Arial"/>
          <w:color w:val="000000"/>
          <w:lang w:eastAsia="cs-CZ"/>
        </w:rPr>
        <w:t xml:space="preserve">prodávajícího </w:t>
      </w:r>
      <w:r w:rsidRPr="001C6DA7">
        <w:rPr>
          <w:rFonts w:eastAsia="Times New Roman" w:cs="Arial"/>
          <w:color w:val="000000"/>
          <w:lang w:eastAsia="cs-CZ"/>
        </w:rPr>
        <w:t>v</w:t>
      </w:r>
      <w:r w:rsidR="00FC7FE7">
        <w:rPr>
          <w:rFonts w:eastAsia="Times New Roman" w:cs="Arial"/>
          <w:color w:val="000000"/>
          <w:lang w:eastAsia="cs-CZ"/>
        </w:rPr>
        <w:t> </w:t>
      </w:r>
      <w:r w:rsidRPr="001C6DA7">
        <w:rPr>
          <w:rFonts w:eastAsia="Times New Roman" w:cs="Arial"/>
          <w:color w:val="000000"/>
          <w:lang w:eastAsia="cs-CZ"/>
        </w:rPr>
        <w:t>češtině</w:t>
      </w:r>
      <w:r w:rsidR="00FC7FE7">
        <w:rPr>
          <w:rFonts w:eastAsia="Times New Roman" w:cs="Arial"/>
          <w:color w:val="000000"/>
          <w:lang w:eastAsia="cs-CZ"/>
        </w:rPr>
        <w:t xml:space="preserve"> či angličtině</w:t>
      </w:r>
      <w:r w:rsidR="00B53CFA" w:rsidRPr="001C6DA7">
        <w:rPr>
          <w:rFonts w:eastAsia="Times New Roman" w:cs="Arial"/>
          <w:color w:val="000000"/>
          <w:lang w:eastAsia="cs-CZ"/>
        </w:rPr>
        <w:t xml:space="preserve"> do </w:t>
      </w:r>
      <w:r w:rsidR="00FC7FE7">
        <w:rPr>
          <w:rFonts w:eastAsia="Times New Roman" w:cs="Arial"/>
          <w:color w:val="000000"/>
          <w:lang w:eastAsia="cs-CZ"/>
        </w:rPr>
        <w:t xml:space="preserve">2 pracovních dnů </w:t>
      </w:r>
      <w:r w:rsidR="00B53CFA" w:rsidRPr="001C6DA7">
        <w:rPr>
          <w:rFonts w:eastAsia="Times New Roman" w:cs="Arial"/>
          <w:color w:val="000000"/>
          <w:lang w:eastAsia="cs-CZ"/>
        </w:rPr>
        <w:t>od nahlášení vady</w:t>
      </w:r>
      <w:r w:rsidRPr="001C6DA7">
        <w:rPr>
          <w:rFonts w:eastAsia="Times New Roman" w:cs="Arial"/>
          <w:color w:val="000000"/>
          <w:lang w:eastAsia="cs-CZ"/>
        </w:rPr>
        <w:t xml:space="preserve">. </w:t>
      </w:r>
      <w:r w:rsidR="00D41330" w:rsidRPr="001C6DA7">
        <w:rPr>
          <w:rFonts w:eastAsia="Times New Roman" w:cs="Arial"/>
          <w:color w:val="000000"/>
          <w:lang w:eastAsia="cs-CZ"/>
        </w:rPr>
        <w:t xml:space="preserve">Prodávající je dále povinen, pokud není možno odstranit vady vzdáleně, </w:t>
      </w:r>
      <w:r w:rsidR="00FC7FE7">
        <w:rPr>
          <w:rFonts w:eastAsia="Times New Roman" w:cs="Arial"/>
          <w:color w:val="000000"/>
          <w:lang w:eastAsia="cs-CZ"/>
        </w:rPr>
        <w:t xml:space="preserve">zahájit opravu do 10 dnů po nahlášení vady a </w:t>
      </w:r>
      <w:r w:rsidR="001C6DA7">
        <w:rPr>
          <w:rFonts w:eastAsia="Times New Roman" w:cs="Arial"/>
          <w:color w:val="000000"/>
          <w:lang w:eastAsia="cs-CZ"/>
        </w:rPr>
        <w:t xml:space="preserve">odstranit vadu </w:t>
      </w:r>
      <w:r w:rsidR="00D41330" w:rsidRPr="001C6DA7">
        <w:rPr>
          <w:rFonts w:eastAsia="Times New Roman" w:cs="Arial"/>
          <w:color w:val="000000"/>
          <w:lang w:eastAsia="cs-CZ"/>
        </w:rPr>
        <w:t>po nahlášení vady</w:t>
      </w:r>
      <w:r w:rsidR="001C6DA7" w:rsidRPr="001C6DA7">
        <w:rPr>
          <w:rFonts w:eastAsia="Times New Roman" w:cs="Arial"/>
          <w:color w:val="000000"/>
          <w:lang w:eastAsia="cs-CZ"/>
        </w:rPr>
        <w:t xml:space="preserve"> </w:t>
      </w:r>
      <w:r w:rsidR="001C6DA7">
        <w:rPr>
          <w:rFonts w:eastAsia="Times New Roman" w:cs="Arial"/>
          <w:color w:val="000000"/>
          <w:lang w:eastAsia="cs-CZ"/>
        </w:rPr>
        <w:t xml:space="preserve">do </w:t>
      </w:r>
      <w:r w:rsidR="004367EC">
        <w:rPr>
          <w:rFonts w:eastAsia="Times New Roman" w:cs="Arial"/>
          <w:color w:val="000000"/>
          <w:lang w:eastAsia="cs-CZ"/>
        </w:rPr>
        <w:t>3</w:t>
      </w:r>
      <w:r w:rsidR="00FC7FE7">
        <w:rPr>
          <w:rFonts w:eastAsia="Times New Roman" w:cs="Arial"/>
          <w:color w:val="000000"/>
          <w:lang w:eastAsia="cs-CZ"/>
        </w:rPr>
        <w:t>0</w:t>
      </w:r>
      <w:r w:rsidR="00D41330" w:rsidRPr="001C6DA7">
        <w:rPr>
          <w:rFonts w:eastAsia="Times New Roman" w:cs="Arial"/>
          <w:color w:val="000000"/>
          <w:lang w:eastAsia="cs-CZ"/>
        </w:rPr>
        <w:t xml:space="preserve"> dnů</w:t>
      </w:r>
      <w:r w:rsidR="001C6DA7">
        <w:rPr>
          <w:rFonts w:eastAsia="Times New Roman" w:cs="Arial"/>
          <w:color w:val="000000"/>
          <w:lang w:eastAsia="cs-CZ"/>
        </w:rPr>
        <w:t>; u</w:t>
      </w:r>
      <w:r w:rsidRPr="001C6DA7">
        <w:rPr>
          <w:rFonts w:eastAsia="Times New Roman" w:cs="Arial"/>
          <w:color w:val="000000"/>
          <w:lang w:eastAsia="cs-CZ"/>
        </w:rPr>
        <w:t>možňuje-li to povaha opravy, provede technik úkony záručního servisu (opravu) na místě</w:t>
      </w:r>
      <w:r w:rsidR="00124188">
        <w:rPr>
          <w:rFonts w:eastAsia="Times New Roman" w:cs="Arial"/>
          <w:color w:val="000000"/>
          <w:lang w:eastAsia="cs-CZ"/>
        </w:rPr>
        <w:t>; n</w:t>
      </w:r>
      <w:r w:rsidR="00D72A94" w:rsidRPr="001C6DA7">
        <w:rPr>
          <w:rFonts w:eastAsia="Times New Roman" w:cs="Arial"/>
          <w:color w:val="000000"/>
          <w:lang w:eastAsia="cs-CZ"/>
        </w:rPr>
        <w:t xml:space="preserve">eumožňuje-li to povaha opravy, a je nutné zboží transportovat z místa dodání k záruční opravě a zpět, provede nebo zajistí </w:t>
      </w:r>
      <w:r w:rsidR="007D7EF9" w:rsidRPr="001C6DA7">
        <w:rPr>
          <w:rFonts w:eastAsia="Times New Roman" w:cs="Arial"/>
          <w:color w:val="000000"/>
          <w:lang w:eastAsia="cs-CZ"/>
        </w:rPr>
        <w:t>transport zboží</w:t>
      </w:r>
      <w:r w:rsidR="00D72A94" w:rsidRPr="001C6DA7">
        <w:rPr>
          <w:rFonts w:eastAsia="Times New Roman" w:cs="Arial"/>
          <w:color w:val="000000"/>
          <w:lang w:eastAsia="cs-CZ"/>
        </w:rPr>
        <w:t xml:space="preserve"> na své náklady a odpovědnost prodávající.</w:t>
      </w:r>
    </w:p>
    <w:p w14:paraId="00843CE1" w14:textId="4D96B5C3" w:rsidR="003A7C4D" w:rsidRPr="0028563F"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70AA250E" w:rsidR="001E5ED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9D2F44">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7551AAEC" w:rsidR="002217F8" w:rsidRDefault="000C3F20" w:rsidP="005B6D96">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Arial"/>
          <w:color w:val="000000" w:themeColor="text1"/>
        </w:rPr>
        <w:lastRenderedPageBreak/>
        <w:t xml:space="preserve">Prodávající se zavazuje </w:t>
      </w:r>
      <w:r w:rsidR="00E776AC">
        <w:rPr>
          <w:rFonts w:cs="Arial"/>
          <w:color w:val="000000" w:themeColor="text1"/>
        </w:rPr>
        <w:t xml:space="preserve">po dobu </w:t>
      </w:r>
      <w:r w:rsidR="008552E0">
        <w:rPr>
          <w:rFonts w:cs="Arial"/>
          <w:color w:val="000000" w:themeColor="text1"/>
        </w:rPr>
        <w:t xml:space="preserve">1. roku </w:t>
      </w:r>
      <w:r w:rsidR="00E776AC">
        <w:rPr>
          <w:rFonts w:cs="Arial"/>
          <w:color w:val="000000" w:themeColor="text1"/>
        </w:rPr>
        <w:t xml:space="preserve">aktualizovat </w:t>
      </w:r>
      <w:r w:rsidR="008552E0">
        <w:rPr>
          <w:rFonts w:cs="Arial"/>
          <w:color w:val="000000" w:themeColor="text1"/>
        </w:rPr>
        <w:t xml:space="preserve">SW </w:t>
      </w:r>
      <w:proofErr w:type="spellStart"/>
      <w:r w:rsidR="008552E0">
        <w:rPr>
          <w:rFonts w:cs="Arial"/>
          <w:color w:val="000000" w:themeColor="text1"/>
        </w:rPr>
        <w:t>Location</w:t>
      </w:r>
      <w:proofErr w:type="spellEnd"/>
      <w:r w:rsidR="008552E0">
        <w:rPr>
          <w:rFonts w:cs="Arial"/>
          <w:color w:val="000000" w:themeColor="text1"/>
        </w:rPr>
        <w:t xml:space="preserve"> </w:t>
      </w:r>
      <w:proofErr w:type="spellStart"/>
      <w:r w:rsidR="008552E0">
        <w:rPr>
          <w:rFonts w:cs="Arial"/>
          <w:color w:val="000000" w:themeColor="text1"/>
        </w:rPr>
        <w:t>Intelligence</w:t>
      </w:r>
      <w:proofErr w:type="spellEnd"/>
      <w:r w:rsidR="008552E0">
        <w:rPr>
          <w:rFonts w:cs="Arial"/>
          <w:color w:val="000000" w:themeColor="text1"/>
        </w:rPr>
        <w:t xml:space="preserve"> v rámci předplatného v ceně</w:t>
      </w:r>
      <w:r w:rsidR="009405DD">
        <w:rPr>
          <w:rFonts w:cs="Arial"/>
          <w:color w:val="000000" w:themeColor="text1"/>
        </w:rPr>
        <w:t>.</w:t>
      </w:r>
      <w:r w:rsidR="008552E0">
        <w:rPr>
          <w:rFonts w:cs="Arial"/>
          <w:color w:val="000000" w:themeColor="text1"/>
        </w:rPr>
        <w:t xml:space="preserve"> Případné prodloužení této služby je podmíněno objednáním této služby i na další období.</w:t>
      </w:r>
    </w:p>
    <w:p w14:paraId="4F01ABFE" w14:textId="10AD38D1" w:rsidR="00F11C83" w:rsidRDefault="00F11C83" w:rsidP="00F11C83">
      <w:pPr>
        <w:widowControl w:val="0"/>
        <w:shd w:val="clear" w:color="auto" w:fill="FFFFFF"/>
        <w:tabs>
          <w:tab w:val="left" w:pos="567"/>
        </w:tabs>
        <w:autoSpaceDE w:val="0"/>
        <w:autoSpaceDN w:val="0"/>
        <w:adjustRightInd w:val="0"/>
        <w:spacing w:after="120" w:line="240" w:lineRule="auto"/>
        <w:jc w:val="both"/>
        <w:rPr>
          <w:rFonts w:cs="Arial"/>
          <w:color w:val="000000" w:themeColor="text1"/>
        </w:rPr>
      </w:pPr>
    </w:p>
    <w:p w14:paraId="1FF18588" w14:textId="53A350B9" w:rsidR="00502350" w:rsidRPr="00F11C83" w:rsidRDefault="00502350" w:rsidP="00F11C83">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lang w:eastAsia="cs-CZ"/>
        </w:rPr>
      </w:pPr>
      <w:r w:rsidRPr="00F11C83">
        <w:rPr>
          <w:rFonts w:eastAsia="Times New Roman" w:cs="Arial"/>
          <w:b/>
          <w:color w:val="000000"/>
          <w:sz w:val="24"/>
          <w:lang w:eastAsia="cs-CZ"/>
        </w:rPr>
        <w:t xml:space="preserve">Sankce a </w:t>
      </w:r>
      <w:r w:rsidR="007F28E3" w:rsidRPr="00F11C83">
        <w:rPr>
          <w:rFonts w:eastAsia="Times New Roman" w:cs="Arial"/>
          <w:b/>
          <w:color w:val="000000"/>
          <w:sz w:val="24"/>
          <w:lang w:eastAsia="cs-CZ"/>
        </w:rPr>
        <w:t>smluvní pokuty</w:t>
      </w:r>
    </w:p>
    <w:p w14:paraId="22DB0E8B" w14:textId="2E3027BE" w:rsidR="00AD334A" w:rsidRPr="00F11C83" w:rsidRDefault="007F28E3" w:rsidP="00485DC7">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line="240" w:lineRule="auto"/>
        <w:ind w:left="567" w:hanging="567"/>
        <w:contextualSpacing w:val="0"/>
        <w:jc w:val="both"/>
        <w:rPr>
          <w:rFonts w:eastAsia="Times New Roman" w:cs="Arial"/>
          <w:color w:val="FF0000"/>
          <w:lang w:eastAsia="cs-CZ"/>
        </w:rPr>
      </w:pPr>
      <w:r w:rsidRPr="00F11C83">
        <w:rPr>
          <w:rFonts w:eastAsia="Times New Roman" w:cs="Arial"/>
          <w:color w:val="000000"/>
          <w:lang w:eastAsia="cs-CZ"/>
        </w:rPr>
        <w:t>V případě prodlení kupujícího se zaplacením ceny za zboží dle podmínek čl. IV. smlouvy je prodávající oprávněn požadovat po kupujícím úrok z prodlení ve výši 0,</w:t>
      </w:r>
      <w:r w:rsidR="003A7C4D" w:rsidRPr="00F11C83">
        <w:rPr>
          <w:rFonts w:eastAsia="Times New Roman" w:cs="Arial"/>
          <w:color w:val="000000"/>
          <w:lang w:eastAsia="cs-CZ"/>
        </w:rPr>
        <w:t>1</w:t>
      </w:r>
      <w:r w:rsidRPr="00F11C83">
        <w:rPr>
          <w:rFonts w:eastAsia="Times New Roman" w:cs="Arial"/>
          <w:color w:val="000000"/>
          <w:lang w:eastAsia="cs-CZ"/>
        </w:rPr>
        <w:t xml:space="preserve"> % z dlužné částky za každý den prodlení. </w:t>
      </w:r>
      <w:r w:rsidR="00F11C83" w:rsidRPr="004A12B1">
        <w:rPr>
          <w:rFonts w:eastAsia="Times New Roman" w:cs="Arial"/>
          <w:lang w:eastAsia="cs-CZ"/>
        </w:rPr>
        <w:t>Výše smluvních pokut je omezena maximálně 5 % z celkové ceny za plnění této smlouvy.</w:t>
      </w:r>
    </w:p>
    <w:p w14:paraId="0393ED06" w14:textId="5E315E90" w:rsidR="00AD334A" w:rsidRPr="00F11C83" w:rsidRDefault="00AD334A" w:rsidP="00F11C83">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FF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r w:rsidR="00F11C83" w:rsidRPr="00F11C83">
        <w:rPr>
          <w:rFonts w:eastAsia="Times New Roman" w:cs="Arial"/>
          <w:color w:val="FF0000"/>
          <w:lang w:eastAsia="cs-CZ"/>
        </w:rPr>
        <w:t xml:space="preserve"> </w:t>
      </w:r>
      <w:r w:rsidR="00F11C83" w:rsidRPr="004A12B1">
        <w:rPr>
          <w:rFonts w:eastAsia="Times New Roman" w:cs="Arial"/>
          <w:lang w:eastAsia="cs-CZ"/>
        </w:rPr>
        <w:t>Výše smluvních pokut je omezena maximálně 5 % z celkové ceny za plnění této smlouvy.</w:t>
      </w:r>
    </w:p>
    <w:p w14:paraId="37CAF4FD" w14:textId="5762A910" w:rsidR="00AD334A" w:rsidRPr="00FC7FE7" w:rsidRDefault="007F28E3" w:rsidP="00FC7FE7">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5098C">
        <w:rPr>
          <w:rFonts w:eastAsia="Times New Roman" w:cs="Arial"/>
          <w:color w:val="000000"/>
          <w:lang w:eastAsia="cs-CZ"/>
        </w:rPr>
        <w:t xml:space="preserve">V případě prodlení </w:t>
      </w:r>
      <w:r w:rsidR="00E07125" w:rsidRPr="0035098C">
        <w:rPr>
          <w:rFonts w:eastAsia="Times New Roman" w:cs="Arial"/>
          <w:color w:val="000000"/>
          <w:lang w:eastAsia="cs-CZ"/>
        </w:rPr>
        <w:t>s</w:t>
      </w:r>
      <w:r w:rsidR="0035098C">
        <w:rPr>
          <w:rFonts w:eastAsia="Times New Roman" w:cs="Arial"/>
          <w:color w:val="000000"/>
          <w:lang w:eastAsia="cs-CZ"/>
        </w:rPr>
        <w:t>e zahájením odstraňování nahlášené vady</w:t>
      </w:r>
      <w:r w:rsidRPr="0035098C">
        <w:rPr>
          <w:rFonts w:eastAsia="Times New Roman" w:cs="Arial"/>
          <w:color w:val="000000"/>
          <w:lang w:eastAsia="cs-CZ"/>
        </w:rPr>
        <w:t xml:space="preserve">, po předchozím řádném </w:t>
      </w:r>
      <w:r w:rsidR="003A7C4D" w:rsidRPr="0035098C">
        <w:rPr>
          <w:rFonts w:eastAsia="Times New Roman" w:cs="Arial"/>
          <w:color w:val="000000"/>
          <w:lang w:eastAsia="cs-CZ"/>
        </w:rPr>
        <w:t>nahlášení vady kupujícím</w:t>
      </w:r>
      <w:r w:rsidRPr="0035098C">
        <w:rPr>
          <w:rFonts w:eastAsia="Times New Roman" w:cs="Arial"/>
          <w:color w:val="000000"/>
          <w:lang w:eastAsia="cs-CZ"/>
        </w:rPr>
        <w:t xml:space="preserve"> prodávajícímu dle čl. V</w:t>
      </w:r>
      <w:r w:rsidR="00E806A8" w:rsidRPr="0035098C">
        <w:rPr>
          <w:rFonts w:eastAsia="Times New Roman" w:cs="Arial"/>
          <w:color w:val="000000"/>
          <w:lang w:eastAsia="cs-CZ"/>
        </w:rPr>
        <w:t>.</w:t>
      </w:r>
      <w:r w:rsidR="00380460" w:rsidRPr="0035098C">
        <w:rPr>
          <w:rFonts w:eastAsia="Times New Roman" w:cs="Arial"/>
          <w:color w:val="000000"/>
          <w:lang w:eastAsia="cs-CZ"/>
        </w:rPr>
        <w:t>,</w:t>
      </w:r>
      <w:r w:rsidRPr="0035098C">
        <w:rPr>
          <w:rFonts w:eastAsia="Times New Roman" w:cs="Arial"/>
          <w:color w:val="000000"/>
          <w:lang w:eastAsia="cs-CZ"/>
        </w:rPr>
        <w:t xml:space="preserve"> je prodávající povinen uhradit kupujícímu smluvní pokutu ve výši </w:t>
      </w:r>
      <w:r w:rsidR="00967451" w:rsidRPr="0035098C">
        <w:rPr>
          <w:rFonts w:eastAsia="Times New Roman" w:cs="Arial"/>
          <w:color w:val="000000"/>
          <w:lang w:eastAsia="cs-CZ"/>
        </w:rPr>
        <w:t>5.0</w:t>
      </w:r>
      <w:r w:rsidRPr="0035098C">
        <w:rPr>
          <w:rFonts w:eastAsia="Times New Roman" w:cs="Arial"/>
          <w:color w:val="000000"/>
          <w:lang w:eastAsia="cs-CZ"/>
        </w:rPr>
        <w:t>00,-</w:t>
      </w:r>
      <w:r w:rsidR="00967451" w:rsidRPr="0035098C">
        <w:rPr>
          <w:rFonts w:eastAsia="Times New Roman" w:cs="Arial"/>
          <w:color w:val="000000"/>
          <w:lang w:eastAsia="cs-CZ"/>
        </w:rPr>
        <w:t> </w:t>
      </w:r>
      <w:r w:rsidRPr="0035098C">
        <w:rPr>
          <w:rFonts w:eastAsia="Times New Roman" w:cs="Arial"/>
          <w:color w:val="000000"/>
          <w:lang w:eastAsia="cs-CZ"/>
        </w:rPr>
        <w:t xml:space="preserve">Kč za každý započatý den prodlení dle tohoto ustanovení.  </w:t>
      </w:r>
      <w:r w:rsidR="0035098C" w:rsidRPr="0035098C">
        <w:rPr>
          <w:rFonts w:eastAsia="Times New Roman" w:cs="Arial"/>
          <w:color w:val="000000"/>
          <w:lang w:eastAsia="cs-CZ"/>
        </w:rPr>
        <w:t>Tímto není dotčeno právo kupujícího požadovat případnou náhradu vzniklé škody, která převyšuje výši smluvní pokuty za veškeré dny prodlení v jednotlivých případech prodlení s odstraněním vady.</w:t>
      </w:r>
    </w:p>
    <w:p w14:paraId="195B62E4" w14:textId="51EF2AD2" w:rsidR="00142E1A" w:rsidRDefault="007F28E3" w:rsidP="00F11C83">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F11C83">
        <w:rPr>
          <w:rFonts w:eastAsia="Times New Roman" w:cs="Arial"/>
          <w:color w:val="000000"/>
          <w:lang w:eastAsia="cs-CZ"/>
        </w:rPr>
        <w:t>Smluvní strany se dohodly, že kupující je oprávněn případné nároky vyplývající z odpovědnosti prodávajícího za škodu, smluvní pokuty dle této smlouvy či jiné nároky započí</w:t>
      </w:r>
      <w:r w:rsidR="003A7C4D" w:rsidRPr="00F11C83">
        <w:rPr>
          <w:rFonts w:eastAsia="Times New Roman" w:cs="Arial"/>
          <w:color w:val="000000"/>
          <w:lang w:eastAsia="cs-CZ"/>
        </w:rPr>
        <w:t>s</w:t>
      </w:r>
      <w:r w:rsidRPr="00F11C83">
        <w:rPr>
          <w:rFonts w:eastAsia="Times New Roman" w:cs="Arial"/>
          <w:color w:val="000000"/>
          <w:lang w:eastAsia="cs-CZ"/>
        </w:rPr>
        <w:t xml:space="preserve">t oproti </w:t>
      </w:r>
      <w:r w:rsidR="003A7C4D" w:rsidRPr="00F11C83">
        <w:rPr>
          <w:rFonts w:eastAsia="Times New Roman" w:cs="Arial"/>
          <w:color w:val="000000"/>
          <w:lang w:eastAsia="cs-CZ"/>
        </w:rPr>
        <w:t xml:space="preserve">případně </w:t>
      </w:r>
      <w:r w:rsidRPr="00F11C83">
        <w:rPr>
          <w:rFonts w:eastAsia="Times New Roman" w:cs="Arial"/>
          <w:color w:val="000000"/>
          <w:lang w:eastAsia="cs-CZ"/>
        </w:rPr>
        <w:t>splatné pohledávce prodávajícího</w:t>
      </w:r>
      <w:r w:rsidR="003A7C4D" w:rsidRPr="00F11C83">
        <w:rPr>
          <w:rFonts w:eastAsia="Times New Roman" w:cs="Arial"/>
          <w:color w:val="000000"/>
          <w:lang w:eastAsia="cs-CZ"/>
        </w:rPr>
        <w:t>,</w:t>
      </w:r>
      <w:r w:rsidRPr="00F11C83">
        <w:rPr>
          <w:rFonts w:eastAsia="Times New Roman" w:cs="Arial"/>
          <w:color w:val="000000"/>
          <w:lang w:eastAsia="cs-CZ"/>
        </w:rPr>
        <w:t xml:space="preserve"> kterou za </w:t>
      </w:r>
      <w:r w:rsidR="003A7C4D" w:rsidRPr="00F11C83">
        <w:rPr>
          <w:rFonts w:eastAsia="Times New Roman" w:cs="Arial"/>
          <w:color w:val="000000"/>
          <w:lang w:eastAsia="cs-CZ"/>
        </w:rPr>
        <w:t>kupujícím m</w:t>
      </w:r>
      <w:r w:rsidRPr="00F11C83">
        <w:rPr>
          <w:rFonts w:eastAsia="Times New Roman" w:cs="Arial"/>
          <w:color w:val="000000"/>
          <w:lang w:eastAsia="cs-CZ"/>
        </w:rPr>
        <w:t>á</w:t>
      </w:r>
      <w:r w:rsidRPr="004A12B1">
        <w:rPr>
          <w:rFonts w:eastAsia="Times New Roman" w:cs="Arial"/>
          <w:lang w:eastAsia="cs-CZ"/>
        </w:rPr>
        <w:t>.</w:t>
      </w:r>
      <w:r w:rsidR="00F11C83" w:rsidRPr="004A12B1">
        <w:rPr>
          <w:rFonts w:eastAsia="Times New Roman" w:cs="Arial"/>
          <w:lang w:eastAsia="cs-CZ"/>
        </w:rPr>
        <w:t xml:space="preserve"> Maximální výše všech smluvních pokut, zaplacených z jakéhokoliv titulu, činí 10 % celkové ceny za plnění dle této smlouvy.</w:t>
      </w:r>
    </w:p>
    <w:p w14:paraId="5F4A9C72" w14:textId="6185928E" w:rsidR="00135704" w:rsidRPr="004A12B1" w:rsidRDefault="00135704" w:rsidP="00135704">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lang w:eastAsia="cs-CZ"/>
        </w:rPr>
      </w:pPr>
      <w:r w:rsidRPr="004A12B1">
        <w:rPr>
          <w:rFonts w:eastAsia="Times New Roman" w:cs="Arial"/>
          <w:lang w:eastAsia="cs-CZ"/>
        </w:rPr>
        <w:t xml:space="preserve">Smluvní strany se dohodly, že celkový rozsah povinnosti prodávajícího vůči kupujícímu nahradit </w:t>
      </w:r>
      <w:r w:rsidRPr="004A12B1">
        <w:rPr>
          <w:rFonts w:eastAsia="Times New Roman" w:cs="Arial" w:hint="eastAsia"/>
          <w:lang w:eastAsia="cs-CZ"/>
        </w:rPr>
        <w:t>ú</w:t>
      </w:r>
      <w:r w:rsidRPr="004A12B1">
        <w:rPr>
          <w:rFonts w:eastAsia="Times New Roman" w:cs="Arial"/>
          <w:lang w:eastAsia="cs-CZ"/>
        </w:rPr>
        <w:t>jmu na jmění (škodu), která kupujícímu v souvislosti s plněním této smlouvy nebo porušením právního předpisu vznikne, je omezen do výše celkové smluvní ceny v Kč bez DPH dle čl. IV odst. 1 smlouvy, a to za veškeré škodní události v jejich souhrnu. Smluvní strany se dohodly, že se nahrazuje pouze skutečná škoda, ušlý zisk ani další typy škod se nenahrazují. Škoda se nahrazuje přednostně v penězích. Výše sjednané omezení se nepoužije na náhradu škody způsobenou úmyslně nebo z hrubé nedbalosti nebo na náhradu škody způsobené člověku na jeho přirozených právech.</w:t>
      </w:r>
    </w:p>
    <w:p w14:paraId="499EF1FA" w14:textId="77777777" w:rsidR="00CA408D" w:rsidRPr="009E7D5E" w:rsidRDefault="00CA408D" w:rsidP="009E7D5E">
      <w:pPr>
        <w:pStyle w:val="Odstavecseseznamem"/>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eastAsia="Times New Roman" w:cs="Arial"/>
          <w:color w:val="000000"/>
          <w:lang w:eastAsia="cs-CZ"/>
        </w:rPr>
      </w:pPr>
    </w:p>
    <w:p w14:paraId="57AE1E1D" w14:textId="17895C2F" w:rsidR="00B44A61" w:rsidRPr="009E7D5E" w:rsidRDefault="007F28E3"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72DFD8CC"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069B1A34" w:rsidR="00545B5C"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FC7FE7">
        <w:t>6</w:t>
      </w:r>
      <w:r w:rsidR="00B609C0" w:rsidRPr="0025665A">
        <w:t>0</w:t>
      </w:r>
      <w:r w:rsidR="00496855" w:rsidRPr="0025665A">
        <w:t xml:space="preserve"> dnů v návaznosti na čl. IV </w:t>
      </w:r>
      <w:r w:rsidR="00B609C0" w:rsidRPr="000603C4">
        <w:t>této smlouvy.</w:t>
      </w:r>
    </w:p>
    <w:p w14:paraId="07490101" w14:textId="4014C0EE" w:rsidR="00FC7FE7" w:rsidRDefault="00FC7FE7" w:rsidP="00FC7FE7">
      <w:pPr>
        <w:pStyle w:val="textindent"/>
        <w:rPr>
          <w:rStyle w:val="textindentChar"/>
        </w:rPr>
      </w:pPr>
      <w:r>
        <w:rPr>
          <w:rStyle w:val="textindentChar"/>
        </w:rPr>
        <w:t>Kupující je oprávněn od této smlouvy v celém rozsahu v případě, že se ukáže, že prodávající při plnění této smlouvy řádně nesplnil své povinnosti vyplývající z čl. IX odst. 1 této smlouvy.</w:t>
      </w:r>
    </w:p>
    <w:p w14:paraId="773A38D5" w14:textId="26FDD81B" w:rsidR="00F11C83" w:rsidRDefault="00F11C83" w:rsidP="00F11C83">
      <w:pPr>
        <w:pStyle w:val="textindent"/>
        <w:numPr>
          <w:ilvl w:val="0"/>
          <w:numId w:val="0"/>
        </w:numPr>
        <w:ind w:left="567" w:hanging="567"/>
      </w:pPr>
    </w:p>
    <w:p w14:paraId="1BC64C41" w14:textId="5760BF08" w:rsidR="00135704" w:rsidRPr="004A12B1" w:rsidRDefault="00135704" w:rsidP="00135704">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before="240" w:after="120" w:line="240" w:lineRule="auto"/>
        <w:ind w:left="567" w:firstLine="0"/>
        <w:contextualSpacing w:val="0"/>
        <w:jc w:val="center"/>
        <w:outlineLvl w:val="0"/>
        <w:rPr>
          <w:rFonts w:eastAsia="Times New Roman" w:cs="Arial"/>
          <w:b/>
          <w:sz w:val="24"/>
          <w:szCs w:val="20"/>
          <w:lang w:eastAsia="cs-CZ"/>
        </w:rPr>
      </w:pPr>
      <w:r w:rsidRPr="004A12B1">
        <w:rPr>
          <w:rFonts w:eastAsia="Times New Roman" w:cs="Arial"/>
          <w:b/>
          <w:sz w:val="24"/>
          <w:szCs w:val="20"/>
          <w:lang w:eastAsia="cs-CZ"/>
        </w:rPr>
        <w:lastRenderedPageBreak/>
        <w:t xml:space="preserve">  Soulad s předpisy o kontrole vývozu</w:t>
      </w:r>
    </w:p>
    <w:p w14:paraId="382D148D" w14:textId="77777777" w:rsidR="00135704" w:rsidRPr="004A12B1" w:rsidRDefault="00135704" w:rsidP="00485DC7">
      <w:pPr>
        <w:pStyle w:val="Odstavecseseznamem"/>
        <w:widowControl w:val="0"/>
        <w:numPr>
          <w:ilvl w:val="0"/>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line="240" w:lineRule="auto"/>
        <w:ind w:left="567" w:hanging="578"/>
        <w:contextualSpacing w:val="0"/>
        <w:jc w:val="both"/>
        <w:textAlignment w:val="baseline"/>
        <w:rPr>
          <w:rFonts w:eastAsia="Times New Roman" w:cs="Arial"/>
          <w:lang w:eastAsia="cs-CZ"/>
        </w:rPr>
      </w:pPr>
      <w:r w:rsidRPr="004A12B1">
        <w:rPr>
          <w:rFonts w:cstheme="minorHAnsi"/>
        </w:rPr>
        <w:t xml:space="preserve">Prodávající není povinen plnit tuto smlouvu, pokud takovémuto plnění brání jakékoli překážky </w:t>
      </w:r>
      <w:r w:rsidRPr="004A12B1">
        <w:rPr>
          <w:rFonts w:eastAsia="Times New Roman" w:cs="Arial"/>
          <w:lang w:eastAsia="cs-CZ"/>
        </w:rPr>
        <w:t>vyplývající z národních nebo mezinárodních předpisů z oblasti práva mezinárodního obchodu, anebo na základě embarg či jiných sankcí.</w:t>
      </w:r>
    </w:p>
    <w:p w14:paraId="5CBC195E" w14:textId="77777777" w:rsidR="00135704" w:rsidRPr="004A12B1" w:rsidRDefault="00135704" w:rsidP="00485DC7">
      <w:pPr>
        <w:pStyle w:val="Odstavecseseznamem"/>
        <w:widowControl w:val="0"/>
        <w:numPr>
          <w:ilvl w:val="0"/>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78"/>
        <w:contextualSpacing w:val="0"/>
        <w:jc w:val="both"/>
        <w:textAlignment w:val="baseline"/>
        <w:rPr>
          <w:rFonts w:eastAsia="Times New Roman" w:cs="Arial"/>
          <w:lang w:eastAsia="cs-CZ"/>
        </w:rPr>
      </w:pPr>
      <w:r w:rsidRPr="004A12B1">
        <w:rPr>
          <w:rFonts w:eastAsia="Times New Roman" w:cs="Arial"/>
          <w:lang w:eastAsia="cs-CZ"/>
        </w:rPr>
        <w:t>Pokud kupující převede na třetí stranu zboží (hardware a/nebo software a/nebo technologii včetně související dokumentace, bez ohledu na způsob poskytnutí) dodané prodávajícím, nebo díla a služby (včetně veškerých druhů technické podpory) poskytované prodávajícím, zavazuje se kupující dodržet všechny aplikovatelné vnitrostátní a mezinárodní předpisy o kontrole vývozu a dalšího vývozu (re-exportu). V každém případě se kupující zavazuje při převodu takového zboží, díla nebo služeb dodržet předpisy o kontrole vývozu (re-exportu) České republiky, Evropské Unie a Spojených států amerických.</w:t>
      </w:r>
    </w:p>
    <w:p w14:paraId="54C72306" w14:textId="77777777" w:rsidR="00135704" w:rsidRPr="004A12B1" w:rsidRDefault="00135704" w:rsidP="00485DC7">
      <w:pPr>
        <w:pStyle w:val="Odstavecseseznamem"/>
        <w:widowControl w:val="0"/>
        <w:numPr>
          <w:ilvl w:val="0"/>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line="240" w:lineRule="auto"/>
        <w:ind w:left="567" w:hanging="578"/>
        <w:contextualSpacing w:val="0"/>
        <w:jc w:val="both"/>
        <w:textAlignment w:val="baseline"/>
        <w:rPr>
          <w:rFonts w:eastAsia="Times New Roman" w:cs="Arial"/>
          <w:lang w:eastAsia="cs-CZ"/>
        </w:rPr>
      </w:pPr>
      <w:r w:rsidRPr="004A12B1">
        <w:rPr>
          <w:rFonts w:eastAsia="Times New Roman" w:cs="Arial"/>
          <w:lang w:eastAsia="cs-CZ"/>
        </w:rPr>
        <w:t>Před každým převodem zboží na třetí osoby se kupující zavazuje zvláště kontrolovat a zajistit za pomoci přiměřených opatření, že</w:t>
      </w:r>
    </w:p>
    <w:p w14:paraId="61449E9F" w14:textId="77777777" w:rsidR="00135704" w:rsidRPr="004A12B1" w:rsidRDefault="00135704" w:rsidP="00485DC7">
      <w:pPr>
        <w:pStyle w:val="Odstavecseseznamem"/>
        <w:widowControl w:val="0"/>
        <w:numPr>
          <w:ilvl w:val="1"/>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1434" w:hanging="357"/>
        <w:contextualSpacing w:val="0"/>
        <w:jc w:val="both"/>
        <w:textAlignment w:val="baseline"/>
        <w:rPr>
          <w:rFonts w:eastAsia="Times New Roman" w:cs="Arial"/>
          <w:lang w:eastAsia="cs-CZ"/>
        </w:rPr>
      </w:pPr>
      <w:r w:rsidRPr="004A12B1">
        <w:rPr>
          <w:rFonts w:eastAsia="Times New Roman" w:cs="Arial"/>
          <w:lang w:eastAsia="cs-CZ"/>
        </w:rPr>
        <w:t xml:space="preserve"> 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279B9723" w14:textId="77777777" w:rsidR="00135704" w:rsidRPr="004A12B1" w:rsidRDefault="00135704" w:rsidP="00485DC7">
      <w:pPr>
        <w:pStyle w:val="Odstavecseseznamem"/>
        <w:widowControl w:val="0"/>
        <w:numPr>
          <w:ilvl w:val="1"/>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contextualSpacing w:val="0"/>
        <w:jc w:val="both"/>
        <w:textAlignment w:val="baseline"/>
        <w:rPr>
          <w:rFonts w:eastAsia="Times New Roman" w:cs="Arial"/>
          <w:lang w:eastAsia="cs-CZ"/>
        </w:rPr>
      </w:pPr>
      <w:r w:rsidRPr="004A12B1">
        <w:rPr>
          <w:rFonts w:eastAsia="Times New Roman" w:cs="Arial"/>
          <w:lang w:eastAsia="cs-CZ"/>
        </w:rPr>
        <w:t>taková zboží, díla a služby nejsou zamýšlena pro využití ve spojení se zbrojením, jadernou technologií nebo zbraněmi, za podmínek a v rozsahu, v jakém takové užívání podléhá zákazům nebo povolení, nebylo-li příslušné povolení uděleno;</w:t>
      </w:r>
    </w:p>
    <w:p w14:paraId="1539B4F2" w14:textId="77777777" w:rsidR="00135704" w:rsidRPr="004A12B1" w:rsidRDefault="00135704" w:rsidP="00485DC7">
      <w:pPr>
        <w:pStyle w:val="Odstavecseseznamem"/>
        <w:widowControl w:val="0"/>
        <w:numPr>
          <w:ilvl w:val="1"/>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contextualSpacing w:val="0"/>
        <w:jc w:val="both"/>
        <w:textAlignment w:val="baseline"/>
        <w:rPr>
          <w:rFonts w:eastAsia="Times New Roman" w:cs="Arial"/>
          <w:lang w:eastAsia="cs-CZ"/>
        </w:rPr>
      </w:pPr>
      <w:r w:rsidRPr="004A12B1">
        <w:rPr>
          <w:rFonts w:eastAsia="Times New Roman" w:cs="Arial"/>
          <w:lang w:eastAsia="cs-CZ"/>
        </w:rPr>
        <w:t>byla zohledněna pravidla všech příslušných seznamů zakázaných subjektů Evropské unie a Spojených států amerických vztahující se na obchody se subjekty, osobami a organizacemi v nich uvedených.</w:t>
      </w:r>
    </w:p>
    <w:p w14:paraId="16EAFE56" w14:textId="77777777" w:rsidR="00135704" w:rsidRPr="004A12B1" w:rsidRDefault="00135704" w:rsidP="00485DC7">
      <w:pPr>
        <w:pStyle w:val="Odstavecseseznamem"/>
        <w:widowControl w:val="0"/>
        <w:numPr>
          <w:ilvl w:val="0"/>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67"/>
        <w:contextualSpacing w:val="0"/>
        <w:jc w:val="both"/>
        <w:textAlignment w:val="baseline"/>
        <w:rPr>
          <w:rFonts w:eastAsia="Times New Roman" w:cs="Arial"/>
          <w:lang w:eastAsia="cs-CZ"/>
        </w:rPr>
      </w:pPr>
      <w:r w:rsidRPr="004A12B1">
        <w:rPr>
          <w:rFonts w:eastAsia="Times New Roman" w:cs="Arial"/>
          <w:lang w:eastAsia="cs-CZ"/>
        </w:rPr>
        <w:t>Bude-li nutné umožnit úřadům nebo prodávajícímu provést kontrolu vývozu, zavazuje se kupující na výzvu prodávajícího okamžitě jí poskytnout veškeré informace týkající se příslušného koncového zákazníka, příslušného místa určení a příslušného zamýšleného účelu užívání zboží, jakož i o všech existujících vývozních omezeních.</w:t>
      </w:r>
    </w:p>
    <w:p w14:paraId="1F7AD3CC" w14:textId="77777777" w:rsidR="00135704" w:rsidRPr="004A12B1" w:rsidRDefault="00135704" w:rsidP="00485DC7">
      <w:pPr>
        <w:pStyle w:val="Odstavecseseznamem"/>
        <w:widowControl w:val="0"/>
        <w:numPr>
          <w:ilvl w:val="0"/>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67"/>
        <w:contextualSpacing w:val="0"/>
        <w:jc w:val="both"/>
        <w:textAlignment w:val="baseline"/>
        <w:rPr>
          <w:rFonts w:eastAsia="Times New Roman" w:cs="Arial"/>
          <w:lang w:eastAsia="cs-CZ"/>
        </w:rPr>
      </w:pPr>
      <w:r w:rsidRPr="004A12B1">
        <w:rPr>
          <w:rFonts w:eastAsia="Times New Roman" w:cs="Arial"/>
          <w:lang w:eastAsia="cs-CZ"/>
        </w:rPr>
        <w:t xml:space="preserve">Kupující se zavazuje odškodnit a zbavit prodávajícího odpovědnosti za jakékoli nároky, řízení, </w:t>
      </w:r>
      <w:r w:rsidRPr="004A12B1">
        <w:rPr>
          <w:rFonts w:eastAsia="Times New Roman" w:cs="Arial" w:hint="eastAsia"/>
          <w:lang w:eastAsia="cs-CZ"/>
        </w:rPr>
        <w:t>ž</w:t>
      </w:r>
      <w:r w:rsidRPr="004A12B1">
        <w:rPr>
          <w:rFonts w:eastAsia="Times New Roman" w:cs="Arial"/>
          <w:lang w:eastAsia="cs-CZ"/>
        </w:rPr>
        <w:t>aloby, pokuty, ztráty, náklady, výdaje a náhrady škody vzniklých z nebo v souvislosti s jakýmkoliv porušením předpisů o vývozní kontrole kupujícím, a kupující se zavazuje nahradit prodávajícímu veškeré ztráty a výdaje z nich vyplývající.</w:t>
      </w:r>
    </w:p>
    <w:p w14:paraId="1ADF4C89" w14:textId="0C58D397" w:rsidR="00135704" w:rsidRDefault="00135704" w:rsidP="00485DC7">
      <w:pPr>
        <w:pStyle w:val="Odstavecseseznamem"/>
        <w:widowControl w:val="0"/>
        <w:numPr>
          <w:ilvl w:val="0"/>
          <w:numId w:val="57"/>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67"/>
        <w:contextualSpacing w:val="0"/>
        <w:jc w:val="both"/>
        <w:textAlignment w:val="baseline"/>
        <w:rPr>
          <w:rFonts w:eastAsia="Times New Roman" w:cs="Arial"/>
          <w:lang w:eastAsia="cs-CZ"/>
        </w:rPr>
      </w:pPr>
      <w:r w:rsidRPr="004A12B1">
        <w:rPr>
          <w:rFonts w:eastAsia="Times New Roman" w:cs="Arial"/>
          <w:lang w:eastAsia="cs-CZ"/>
        </w:rPr>
        <w:t>Toto zboží podléhá kontrole vládou USA (pokud je označené jako “ECCN“ nestejné “N“) a může být vyvezeno pouze do země konečného určení pro užití zde uvedeným konečným příjemcem zboží nebo konečným uživatelem / uživateli. Zboží nesmí být dále prodáno, přemístěno, nebo jakkoliv jinak použito v jiné zemi nebo osobou jinou, než autorizovaným konečným příjemcem zboží nebo konečným uživatelem / uživateli, a to jak v původní formě, tak i po zabudování do jiné položky, aniž by nejprve bylo schváleno vládou USA nebo povoleno podle amerických zákonů a předpisů. Zboží označené jako “AL“ nestejné “N“ podléhá evropským / národním vývozním povolením. Pro zboží bez označení nebo s označením “</w:t>
      </w:r>
      <w:proofErr w:type="gramStart"/>
      <w:r w:rsidRPr="004A12B1">
        <w:rPr>
          <w:rFonts w:eastAsia="Times New Roman" w:cs="Arial"/>
          <w:lang w:eastAsia="cs-CZ"/>
        </w:rPr>
        <w:t>AL:N</w:t>
      </w:r>
      <w:proofErr w:type="gramEnd"/>
      <w:r w:rsidRPr="004A12B1">
        <w:rPr>
          <w:rFonts w:eastAsia="Times New Roman" w:cs="Arial"/>
          <w:lang w:eastAsia="cs-CZ"/>
        </w:rPr>
        <w:t>“ / “ECCN:N“, nebo s označením "AL:9X9999" / "ECCN:9X9999" může být vyžadováno povolení od úředních orgánů v závislosti na konečném užití nebo konečném místě určení.</w:t>
      </w:r>
    </w:p>
    <w:p w14:paraId="46BA0B97" w14:textId="77777777" w:rsidR="00056807" w:rsidRPr="004A12B1" w:rsidRDefault="00056807" w:rsidP="00056807">
      <w:pPr>
        <w:pStyle w:val="Odstavecseseznamem"/>
        <w:widowControl w:val="0"/>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contextualSpacing w:val="0"/>
        <w:jc w:val="both"/>
        <w:textAlignment w:val="baseline"/>
        <w:rPr>
          <w:rFonts w:eastAsia="Times New Roman" w:cs="Arial"/>
          <w:lang w:eastAsia="cs-CZ"/>
        </w:rPr>
      </w:pPr>
    </w:p>
    <w:p w14:paraId="73584119" w14:textId="77777777" w:rsidR="00135704" w:rsidRPr="008D3A98" w:rsidRDefault="00135704" w:rsidP="00F11C83">
      <w:pPr>
        <w:pStyle w:val="textindent"/>
        <w:numPr>
          <w:ilvl w:val="0"/>
          <w:numId w:val="0"/>
        </w:numPr>
        <w:ind w:left="567" w:hanging="567"/>
      </w:pPr>
    </w:p>
    <w:p w14:paraId="686B04A2" w14:textId="77777777" w:rsidR="00CD4E9F" w:rsidRPr="00485DC7" w:rsidRDefault="00CD4E9F" w:rsidP="00485DC7">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lang w:eastAsia="cs-CZ"/>
        </w:rPr>
      </w:pPr>
      <w:r w:rsidRPr="00485DC7">
        <w:rPr>
          <w:rFonts w:eastAsia="Times New Roman" w:cs="Arial"/>
          <w:b/>
          <w:color w:val="000000"/>
          <w:sz w:val="24"/>
          <w:lang w:eastAsia="cs-CZ"/>
        </w:rPr>
        <w:lastRenderedPageBreak/>
        <w:t xml:space="preserve">  </w:t>
      </w:r>
      <w:bookmarkStart w:id="3" w:name="_Toc522775762"/>
      <w:r w:rsidRPr="00485DC7">
        <w:rPr>
          <w:rFonts w:eastAsia="Times New Roman" w:cs="Arial"/>
          <w:b/>
          <w:color w:val="000000"/>
          <w:sz w:val="24"/>
          <w:lang w:eastAsia="cs-CZ"/>
        </w:rPr>
        <w:t>Vyšší moc</w:t>
      </w:r>
      <w:bookmarkEnd w:id="3"/>
    </w:p>
    <w:p w14:paraId="6C9DBA01" w14:textId="77777777" w:rsidR="00CD4E9F" w:rsidRDefault="00CD4E9F" w:rsidP="00CD4E9F">
      <w:pPr>
        <w:pStyle w:val="textindent"/>
        <w:numPr>
          <w:ilvl w:val="0"/>
          <w:numId w:val="55"/>
        </w:numPr>
        <w:suppressAutoHyphens/>
        <w:adjustRightInd/>
        <w:ind w:left="567" w:hanging="567"/>
        <w:textAlignment w:val="baseline"/>
      </w:pPr>
      <w:r>
        <w:t>Je</w:t>
      </w:r>
      <w:r>
        <w:noBreakHyphen/>
        <w:t>li neplnění některého závazku prodávajícího způsobeno překážkami nebo jinými okolnostmi, na které prodávající v zásadě nemá vliv („vyšší moc“) a které mají negativní dopad na prodávajícího nebo některé jeho poddodavatele, kteří se účastní plnění smlouvy, je neplnění Smlouvy ze strany prodávajícího za dodržení podmínek dle odst. 3 prominuto a prodávající za ně nenese odpovědnost.</w:t>
      </w:r>
    </w:p>
    <w:p w14:paraId="66A482CF" w14:textId="77777777" w:rsidR="00CD4E9F" w:rsidRDefault="00CD4E9F" w:rsidP="00CD4E9F">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592B9621" w14:textId="77777777" w:rsidR="00637182" w:rsidRDefault="00CD4E9F" w:rsidP="006371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sidRPr="00CD4E9F">
        <w:rPr>
          <w:rFonts w:eastAsia="Times New Roman" w:cs="Arial"/>
          <w:color w:val="000000"/>
          <w:lang w:eastAsia="cs-CZ"/>
        </w:rPr>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 zejména na prodloužení lhůty pro dodávku o dobu působení vyšší moci a jejích následků. Kupující je oprávněn odstoupit od této smlouvy působila</w:t>
      </w:r>
      <w:r w:rsidRPr="00CD4E9F">
        <w:rPr>
          <w:rFonts w:eastAsia="Times New Roman" w:cs="Arial"/>
          <w:color w:val="000000"/>
          <w:lang w:eastAsia="cs-CZ"/>
        </w:rPr>
        <w:noBreakHyphen/>
        <w:t xml:space="preserve">li vyšší moc v úhrnu po dobu delší </w:t>
      </w:r>
      <w:r>
        <w:rPr>
          <w:rFonts w:eastAsia="Times New Roman" w:cs="Arial"/>
          <w:color w:val="000000"/>
          <w:lang w:eastAsia="cs-CZ"/>
        </w:rPr>
        <w:t>3</w:t>
      </w:r>
      <w:r w:rsidRPr="00CD4E9F">
        <w:rPr>
          <w:rFonts w:eastAsia="Times New Roman" w:cs="Arial"/>
          <w:color w:val="000000"/>
          <w:lang w:eastAsia="cs-CZ"/>
        </w:rPr>
        <w:t>0 dnů.</w:t>
      </w:r>
    </w:p>
    <w:p w14:paraId="79B47B88" w14:textId="274737C3" w:rsidR="00637182" w:rsidRPr="00637182" w:rsidRDefault="00637182" w:rsidP="006371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FF0000"/>
          <w:lang w:eastAsia="cs-CZ"/>
        </w:rPr>
      </w:pPr>
      <w:r w:rsidRPr="004A12B1">
        <w:rPr>
          <w:rFonts w:eastAsia="Times New Roman" w:cs="Arial"/>
          <w:lang w:eastAsia="cs-CZ"/>
        </w:rPr>
        <w:t>Strany berou na vědomí celosvětovou epidemii nového koronaviru (</w:t>
      </w:r>
      <w:proofErr w:type="gramStart"/>
      <w:r w:rsidRPr="004A12B1">
        <w:rPr>
          <w:rFonts w:eastAsia="Times New Roman" w:cs="Arial"/>
          <w:lang w:eastAsia="cs-CZ"/>
        </w:rPr>
        <w:t>2019-nCoV</w:t>
      </w:r>
      <w:proofErr w:type="gramEnd"/>
      <w:r w:rsidRPr="004A12B1">
        <w:rPr>
          <w:rFonts w:eastAsia="Times New Roman" w:cs="Arial"/>
          <w:lang w:eastAsia="cs-CZ"/>
        </w:rPr>
        <w:t>/SARS-CoV-2), která může ovlivnit plnění smlouvy. To platí zejména pro případ rozšíření stávajících nebo nově vydaných omezení výstupu/vstupu pro vlastní zaměstnance nebo pracovníky p</w:t>
      </w:r>
      <w:r w:rsidRPr="004A12B1">
        <w:rPr>
          <w:rFonts w:eastAsia="Times New Roman" w:cs="Arial" w:hint="eastAsia"/>
          <w:lang w:eastAsia="cs-CZ"/>
        </w:rPr>
        <w:t>ř</w:t>
      </w:r>
      <w:r w:rsidRPr="004A12B1">
        <w:rPr>
          <w:rFonts w:eastAsia="Times New Roman" w:cs="Arial"/>
          <w:lang w:eastAsia="cs-CZ"/>
        </w:rPr>
        <w:t xml:space="preserve">idružených společností/subdodavatelů (např. z Rakouska), kteří mohou být pro strany v souvislosti s tímto projektem pověření. Strany se dohodly, že </w:t>
      </w:r>
      <w:r w:rsidR="0003346B" w:rsidRPr="004A12B1">
        <w:rPr>
          <w:rFonts w:eastAsia="Times New Roman" w:cs="Arial"/>
          <w:lang w:eastAsia="cs-CZ"/>
        </w:rPr>
        <w:t>p</w:t>
      </w:r>
      <w:r w:rsidRPr="004A12B1">
        <w:rPr>
          <w:rFonts w:eastAsia="Times New Roman" w:cs="Arial"/>
          <w:lang w:eastAsia="cs-CZ"/>
        </w:rPr>
        <w:t>rodávající má nárok na přiměřené úpravy harmonogramu projektu v rozsahu, v jakém zpoždění přímo či nepřímo souvisí s vypuknutím nákazy novým koronavirem (</w:t>
      </w:r>
      <w:proofErr w:type="gramStart"/>
      <w:r w:rsidRPr="004A12B1">
        <w:rPr>
          <w:rFonts w:eastAsia="Times New Roman" w:cs="Arial"/>
          <w:lang w:eastAsia="cs-CZ"/>
        </w:rPr>
        <w:t>2019-nCoV</w:t>
      </w:r>
      <w:proofErr w:type="gramEnd"/>
      <w:r w:rsidRPr="004A12B1">
        <w:rPr>
          <w:rFonts w:eastAsia="Times New Roman" w:cs="Arial"/>
          <w:lang w:eastAsia="cs-CZ"/>
        </w:rPr>
        <w:t>/SARS-CoV-2)</w:t>
      </w:r>
      <w:r w:rsidR="00BA230B" w:rsidRPr="004A12B1">
        <w:rPr>
          <w:rFonts w:eastAsia="Times New Roman" w:cs="Arial"/>
          <w:lang w:eastAsia="cs-CZ"/>
        </w:rPr>
        <w:t>,</w:t>
      </w:r>
      <w:r w:rsidRPr="004A12B1">
        <w:rPr>
          <w:rFonts w:eastAsia="Times New Roman" w:cs="Arial"/>
          <w:lang w:eastAsia="cs-CZ"/>
        </w:rPr>
        <w:t xml:space="preserve"> </w:t>
      </w:r>
      <w:r w:rsidR="00BA230B" w:rsidRPr="004A12B1">
        <w:rPr>
          <w:rFonts w:eastAsia="Times New Roman" w:cs="Arial"/>
          <w:lang w:eastAsia="cs-CZ"/>
        </w:rPr>
        <w:t>k</w:t>
      </w:r>
      <w:r w:rsidRPr="004A12B1">
        <w:rPr>
          <w:rFonts w:eastAsia="Times New Roman" w:cs="Arial"/>
          <w:lang w:eastAsia="cs-CZ"/>
        </w:rPr>
        <w:t>romě toho se strany dohodnou na průběžných schůzkách o sladění s cílem dosáhnout vzájemné přiměřené úpravy všech ostatních smluvních závazků.</w:t>
      </w:r>
      <w:r w:rsidR="00BA230B" w:rsidRPr="004A12B1">
        <w:rPr>
          <w:rFonts w:eastAsia="Times New Roman" w:cs="Arial"/>
          <w:lang w:eastAsia="cs-CZ"/>
        </w:rPr>
        <w:t xml:space="preserve"> </w:t>
      </w:r>
      <w:r w:rsidR="00BA230B" w:rsidRPr="00CD4E9F">
        <w:rPr>
          <w:rFonts w:eastAsia="Times New Roman" w:cs="Arial"/>
          <w:color w:val="000000"/>
          <w:lang w:eastAsia="cs-CZ"/>
        </w:rPr>
        <w:t xml:space="preserve">Kupující je oprávněn odstoupit od této smlouvy </w:t>
      </w:r>
      <w:r w:rsidR="00BA230B">
        <w:rPr>
          <w:rFonts w:eastAsia="Times New Roman" w:cs="Arial"/>
          <w:color w:val="000000"/>
          <w:lang w:eastAsia="cs-CZ"/>
        </w:rPr>
        <w:t>v případě, že zpoždění vzniklé dle předchozí věty bude</w:t>
      </w:r>
      <w:r w:rsidR="00BA230B" w:rsidRPr="00CD4E9F">
        <w:rPr>
          <w:rFonts w:eastAsia="Times New Roman" w:cs="Arial"/>
          <w:color w:val="000000"/>
          <w:lang w:eastAsia="cs-CZ"/>
        </w:rPr>
        <w:t xml:space="preserve"> v úhrnu </w:t>
      </w:r>
      <w:r w:rsidR="00BA230B">
        <w:rPr>
          <w:rFonts w:eastAsia="Times New Roman" w:cs="Arial"/>
          <w:color w:val="000000"/>
          <w:lang w:eastAsia="cs-CZ"/>
        </w:rPr>
        <w:t xml:space="preserve">trvat </w:t>
      </w:r>
      <w:r w:rsidR="00BA230B" w:rsidRPr="00CD4E9F">
        <w:rPr>
          <w:rFonts w:eastAsia="Times New Roman" w:cs="Arial"/>
          <w:color w:val="000000"/>
          <w:lang w:eastAsia="cs-CZ"/>
        </w:rPr>
        <w:t xml:space="preserve">po dobu delší </w:t>
      </w:r>
      <w:r w:rsidR="00BA230B">
        <w:rPr>
          <w:rFonts w:eastAsia="Times New Roman" w:cs="Arial"/>
          <w:color w:val="000000"/>
          <w:lang w:eastAsia="cs-CZ"/>
        </w:rPr>
        <w:t>3</w:t>
      </w:r>
      <w:r w:rsidR="00BA230B" w:rsidRPr="00CD4E9F">
        <w:rPr>
          <w:rFonts w:eastAsia="Times New Roman" w:cs="Arial"/>
          <w:color w:val="000000"/>
          <w:lang w:eastAsia="cs-CZ"/>
        </w:rPr>
        <w:t>0 dnů.</w:t>
      </w:r>
    </w:p>
    <w:p w14:paraId="055EBD23" w14:textId="77777777" w:rsidR="00F11C83" w:rsidRPr="00CD4E9F" w:rsidRDefault="00F11C83" w:rsidP="00F11C83">
      <w:pPr>
        <w:widowControl w:val="0"/>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jc w:val="both"/>
        <w:textAlignment w:val="baseline"/>
        <w:rPr>
          <w:rFonts w:eastAsia="Times New Roman" w:cs="Arial"/>
          <w:color w:val="000000"/>
          <w:lang w:eastAsia="cs-CZ"/>
        </w:rPr>
      </w:pPr>
    </w:p>
    <w:p w14:paraId="589BE4C6" w14:textId="0146302B" w:rsidR="006C636C" w:rsidRPr="00485DC7" w:rsidRDefault="00502350" w:rsidP="00485DC7">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lang w:eastAsia="cs-CZ"/>
        </w:rPr>
      </w:pPr>
      <w:r w:rsidRPr="00485DC7">
        <w:rPr>
          <w:rFonts w:eastAsia="Times New Roman" w:cs="Arial"/>
          <w:b/>
          <w:color w:val="000000"/>
          <w:sz w:val="24"/>
          <w:lang w:eastAsia="cs-CZ"/>
        </w:rPr>
        <w:t>Závěrečná ustanovení</w:t>
      </w:r>
    </w:p>
    <w:p w14:paraId="622AA359" w14:textId="77777777" w:rsidR="00FC7FE7" w:rsidRPr="00F07597" w:rsidRDefault="00FC7FE7" w:rsidP="00846224">
      <w:pPr>
        <w:pStyle w:val="Odstavecseseznamem"/>
        <w:numPr>
          <w:ilvl w:val="0"/>
          <w:numId w:val="33"/>
        </w:numPr>
        <w:autoSpaceDE w:val="0"/>
        <w:autoSpaceDN w:val="0"/>
        <w:adjustRightInd w:val="0"/>
        <w:spacing w:before="240" w:after="120" w:line="240" w:lineRule="auto"/>
        <w:ind w:left="567" w:hanging="567"/>
        <w:contextualSpacing w:val="0"/>
        <w:jc w:val="both"/>
        <w:rPr>
          <w:rFonts w:cstheme="minorHAnsi"/>
        </w:rPr>
      </w:pPr>
      <w:r w:rsidRPr="00F07597">
        <w:rPr>
          <w:rFonts w:cstheme="minorHAnsi"/>
        </w:rPr>
        <w:t>Prodávající se zavazuje při plnění</w:t>
      </w:r>
      <w:r>
        <w:rPr>
          <w:rFonts w:cstheme="minorHAnsi"/>
        </w:rPr>
        <w:t xml:space="preserve"> této</w:t>
      </w:r>
      <w:r w:rsidRPr="00F07597">
        <w:rPr>
          <w:rFonts w:cstheme="minorHAnsi"/>
        </w:rPr>
        <w:t xml:space="preserve"> smlouvy zajistit legální zaměstnávání, důstojné pracovní podmínky a odpovídající úroveň bezpečnosti práce pro všechny osoby, které se na </w:t>
      </w:r>
      <w:r>
        <w:rPr>
          <w:rFonts w:cstheme="minorHAnsi"/>
        </w:rPr>
        <w:t>plnění této smlouvy</w:t>
      </w:r>
      <w:r w:rsidRPr="00F07597">
        <w:rPr>
          <w:rFonts w:cstheme="minorHAnsi"/>
        </w:rPr>
        <w:t xml:space="preserve"> podílejí. Prodávající zejména prohlašuje, že neumožňuje výkon nelegální práce ve smyslu zákona č. 435/2004 Sb., o zaměstnanosti, ve znění pozdějších předpisů; v případě, že se toto prohlášení ukáže v budoucnu nepravdivým a vznikne ručení kupujícího ve smyslu zákona č.</w:t>
      </w:r>
      <w:r>
        <w:rPr>
          <w:rFonts w:cstheme="minorHAnsi"/>
        </w:rPr>
        <w:t> </w:t>
      </w:r>
      <w:r w:rsidRPr="00F07597">
        <w:rPr>
          <w:rFonts w:cstheme="minorHAnsi"/>
        </w:rPr>
        <w:t xml:space="preserve">435/2004 Sb., o zaměstnanosti, ve znění pozdějších předpisů, má kupující nárok na náhradu všeho, co za prodávajícího v souvislosti s tímto ručením plnil. </w:t>
      </w:r>
      <w:r>
        <w:rPr>
          <w:rFonts w:cstheme="minorHAnsi"/>
        </w:rPr>
        <w:t>Prodávající</w:t>
      </w:r>
      <w:r w:rsidRPr="00F07597">
        <w:rPr>
          <w:rFonts w:cstheme="minorHAnsi"/>
        </w:rPr>
        <w:t xml:space="preserve">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w:t>
      </w:r>
      <w:r>
        <w:rPr>
          <w:rFonts w:cstheme="minorHAnsi"/>
        </w:rPr>
        <w:t xml:space="preserve">. </w:t>
      </w:r>
      <w:r w:rsidRPr="00F07597">
        <w:rPr>
          <w:rFonts w:cstheme="minorHAnsi"/>
        </w:rPr>
        <w:t>Prodávající je odpovědný za zajištění těchto povinností i ze strany poddodavatelů, kteří se případně podílejí na plnění této smlouvy.</w:t>
      </w:r>
    </w:p>
    <w:p w14:paraId="45460C96" w14:textId="7E072735"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lastRenderedPageBreak/>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2C98D41E"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w:t>
      </w:r>
      <w:r w:rsidR="00FC7FE7">
        <w:rPr>
          <w:rFonts w:cstheme="minorHAnsi"/>
        </w:rPr>
        <w:t>5</w:t>
      </w:r>
      <w:r w:rsidRPr="0019419A">
        <w:rPr>
          <w:rFonts w:cstheme="minorHAnsi"/>
        </w:rPr>
        <w:t xml:space="preserve">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0A2361D"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940EBA">
        <w:rPr>
          <w:rFonts w:eastAsia="Times New Roman" w:cs="Arial"/>
          <w:color w:val="000000"/>
          <w:lang w:eastAsia="cs-CZ"/>
        </w:rPr>
        <w:t xml:space="preserve">technickou </w:t>
      </w:r>
      <w:r w:rsidR="0088620C">
        <w:rPr>
          <w:rFonts w:eastAsia="Times New Roman" w:cs="Arial"/>
          <w:color w:val="000000"/>
          <w:lang w:eastAsia="cs-CZ"/>
        </w:rPr>
        <w:t>specifikací</w:t>
      </w:r>
      <w:r w:rsidRPr="0019419A">
        <w:rPr>
          <w:rFonts w:eastAsia="Times New Roman" w:cs="Arial"/>
          <w:color w:val="000000"/>
          <w:lang w:eastAsia="cs-CZ"/>
        </w:rPr>
        <w:t xml:space="preserve"> </w:t>
      </w:r>
      <w:r>
        <w:rPr>
          <w:rFonts w:eastAsia="Times New Roman" w:cs="Arial"/>
          <w:color w:val="000000"/>
          <w:lang w:eastAsia="cs-CZ"/>
        </w:rPr>
        <w:t>má přednost t</w:t>
      </w:r>
      <w:r w:rsidRPr="0019419A">
        <w:rPr>
          <w:rFonts w:eastAsia="Times New Roman" w:cs="Arial"/>
          <w:color w:val="000000"/>
          <w:lang w:eastAsia="cs-CZ"/>
        </w:rPr>
        <w:t>echnická specifikace před touto smlouvou</w:t>
      </w:r>
      <w:r w:rsidR="0088620C">
        <w:rPr>
          <w:rFonts w:eastAsia="Times New Roman" w:cs="Arial"/>
          <w:color w:val="000000"/>
          <w:lang w:eastAsia="cs-CZ"/>
        </w:rPr>
        <w:t>.</w:t>
      </w:r>
      <w:r w:rsidRPr="0019419A">
        <w:rPr>
          <w:rFonts w:eastAsia="Times New Roman" w:cs="Arial"/>
          <w:color w:val="000000"/>
          <w:lang w:eastAsia="cs-CZ"/>
        </w:rPr>
        <w:t xml:space="preserve"> </w:t>
      </w:r>
      <w:r w:rsidR="0088620C">
        <w:rPr>
          <w:rFonts w:eastAsia="Times New Roman" w:cs="Arial"/>
          <w:color w:val="000000"/>
          <w:lang w:eastAsia="cs-CZ"/>
        </w:rPr>
        <w:t>V </w:t>
      </w:r>
      <w:r>
        <w:rPr>
          <w:rFonts w:eastAsia="Times New Roman" w:cs="Arial"/>
          <w:color w:val="000000"/>
          <w:lang w:eastAsia="cs-CZ"/>
        </w:rPr>
        <w:t xml:space="preserve">případě </w:t>
      </w:r>
      <w:r w:rsidR="001E7EA0">
        <w:rPr>
          <w:rFonts w:eastAsia="Times New Roman" w:cs="Arial"/>
          <w:color w:val="000000"/>
          <w:lang w:eastAsia="cs-CZ"/>
        </w:rPr>
        <w:t>rozporu mezi touto smlouvou a přílohou B, mají přednost ustanovení této smlouvy</w:t>
      </w:r>
      <w:r w:rsidRPr="0019419A">
        <w:rPr>
          <w:rFonts w:eastAsia="Times New Roman" w:cs="Arial"/>
          <w:color w:val="000000"/>
          <w:lang w:eastAsia="cs-CZ"/>
        </w:rPr>
        <w:t>.</w:t>
      </w:r>
    </w:p>
    <w:p w14:paraId="52F3F656" w14:textId="142073AF"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 xml:space="preserve">Tuto povinnost zajistí prodávající i u </w:t>
      </w:r>
      <w:r w:rsidR="0035098C">
        <w:rPr>
          <w:rFonts w:eastAsia="Times New Roman" w:cs="Arial"/>
          <w:noProof/>
          <w:color w:val="000000"/>
          <w:shd w:val="clear" w:color="auto" w:fill="FFFFFF"/>
          <w:lang w:eastAsia="cs-CZ"/>
        </w:rPr>
        <w:t>pod</w:t>
      </w:r>
      <w:r w:rsidR="00B43A85" w:rsidRPr="009E7D5E">
        <w:rPr>
          <w:rFonts w:eastAsia="Times New Roman" w:cs="Arial"/>
          <w:noProof/>
          <w:color w:val="000000"/>
          <w:shd w:val="clear" w:color="auto" w:fill="FFFFFF"/>
          <w:lang w:eastAsia="cs-CZ"/>
        </w:rPr>
        <w:t>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ust.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1F2F059C" w:rsidR="0019419A" w:rsidRPr="0035098C"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9F6E286" w14:textId="688182E3" w:rsidR="0035098C" w:rsidRPr="0035098C" w:rsidRDefault="0035098C" w:rsidP="0035098C">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5098C">
        <w:rPr>
          <w:rFonts w:cs="Arial"/>
          <w:color w:val="000000" w:themeColor="text1"/>
        </w:rPr>
        <w:t>Smluvní</w:t>
      </w:r>
      <w:r w:rsidRPr="0035098C">
        <w:rPr>
          <w:rFonts w:eastAsia="Times New Roman" w:cs="Arial"/>
          <w:color w:val="000000"/>
          <w:lang w:eastAsia="cs-CZ"/>
        </w:rPr>
        <w:t xml:space="preserve"> strany prohlašují, že mezi nimi není pochyb o skutečnosti, že počátek běhu lhůty pro dodání zboží počíná běžet od počátku účinnosti této smlouvy.</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25ACB439" w14:textId="6EBE3970" w:rsidR="00496855" w:rsidRPr="00D751A6" w:rsidRDefault="00496855" w:rsidP="009E7D5E">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1E5ED0" w:rsidRPr="00D751A6">
        <w:rPr>
          <w:rFonts w:eastAsia="Times New Roman" w:cs="Arial"/>
          <w:noProof/>
          <w:lang w:eastAsia="cs-CZ"/>
        </w:rPr>
        <w:t xml:space="preserve">Příloha A – </w:t>
      </w:r>
      <w:r w:rsidR="00C55EAB">
        <w:rPr>
          <w:rFonts w:eastAsia="Times New Roman" w:cs="Arial"/>
          <w:noProof/>
          <w:lang w:eastAsia="cs-CZ"/>
        </w:rPr>
        <w:t>t</w:t>
      </w:r>
      <w:r w:rsidR="001E5ED0" w:rsidRPr="00D751A6">
        <w:rPr>
          <w:rFonts w:eastAsia="Times New Roman" w:cs="Arial"/>
          <w:noProof/>
          <w:lang w:eastAsia="cs-CZ"/>
        </w:rPr>
        <w:t xml:space="preserve">echnická </w:t>
      </w:r>
      <w:r w:rsidR="001E5ED0" w:rsidRPr="009F29A3">
        <w:rPr>
          <w:rFonts w:eastAsia="Times New Roman" w:cs="Arial"/>
          <w:noProof/>
          <w:lang w:eastAsia="cs-CZ"/>
        </w:rPr>
        <w:t>specifikace</w:t>
      </w:r>
      <w:r w:rsidR="00EB2392">
        <w:rPr>
          <w:rFonts w:eastAsia="Times New Roman" w:cs="Arial"/>
          <w:noProof/>
          <w:lang w:eastAsia="cs-CZ"/>
        </w:rPr>
        <w:t xml:space="preserve"> a Příloha B – </w:t>
      </w:r>
      <w:r w:rsidR="005B6D96">
        <w:rPr>
          <w:rFonts w:eastAsia="Times New Roman" w:cs="Arial"/>
          <w:color w:val="000000"/>
          <w:lang w:eastAsia="cs-CZ"/>
        </w:rPr>
        <w:t>cenová nabídka prodávajícího vč. cenového rozpadu.</w:t>
      </w:r>
    </w:p>
    <w:p w14:paraId="5A52434E" w14:textId="77777777" w:rsidR="00D02DB5" w:rsidRPr="0019419A" w:rsidRDefault="00D02DB5" w:rsidP="00B86BEB">
      <w:pPr>
        <w:widowControl w:val="0"/>
        <w:shd w:val="clear" w:color="auto" w:fill="FFFFFF"/>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3D6E34D6"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47EDD739"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1E64A5AD" w14:textId="163496DF"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7A8CA540" w14:textId="00AC89F4"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7635194C" w14:textId="6E1879A2"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3BFF3F5A" w14:textId="4A2E3124"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69201CEC" w14:textId="10028AB0"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4C8F4C91" w14:textId="30792D38"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302EE554" w14:textId="613589FA" w:rsidR="008022B4" w:rsidRPr="0019419A" w:rsidRDefault="008022B4" w:rsidP="008022B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sidRPr="0019419A">
        <w:rPr>
          <w:rFonts w:eastAsia="Times New Roman" w:cs="Arial"/>
          <w:color w:val="000000"/>
          <w:lang w:eastAsia="cs-CZ"/>
        </w:rPr>
        <w:t>___________________________</w:t>
      </w:r>
    </w:p>
    <w:p w14:paraId="49534F53" w14:textId="3390C565" w:rsidR="008022B4" w:rsidRDefault="008022B4" w:rsidP="0005680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p>
    <w:p w14:paraId="33C88F51" w14:textId="77777777" w:rsidR="008022B4" w:rsidRDefault="008022B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72A9EFD2" w14:textId="77777777" w:rsidR="00772FA9" w:rsidRPr="00D10D2A" w:rsidRDefault="00772FA9" w:rsidP="00772FA9">
      <w:pPr>
        <w:keepNext/>
        <w:pageBreakBefore/>
        <w:spacing w:after="0" w:line="240" w:lineRule="auto"/>
        <w:jc w:val="center"/>
        <w:rPr>
          <w:rFonts w:ascii="Calibri" w:eastAsia="Times New Roman" w:hAnsi="Calibri" w:cs="Calibri"/>
          <w:sz w:val="16"/>
          <w:szCs w:val="18"/>
          <w:lang w:eastAsia="cs-CZ"/>
        </w:rPr>
      </w:pPr>
      <w:r w:rsidRPr="0025665A">
        <w:rPr>
          <w:rFonts w:ascii="Calibri" w:eastAsia="Times New Roman" w:hAnsi="Calibri" w:cs="Calibri"/>
          <w:b/>
          <w:sz w:val="28"/>
          <w:szCs w:val="32"/>
          <w:lang w:eastAsia="cs-CZ"/>
        </w:rPr>
        <w:lastRenderedPageBreak/>
        <w:t xml:space="preserve">Příloha A – </w:t>
      </w:r>
      <w:r w:rsidRPr="00D10D2A">
        <w:rPr>
          <w:rFonts w:ascii="Calibri" w:eastAsia="Times New Roman" w:hAnsi="Calibri" w:cs="Calibri"/>
          <w:b/>
          <w:sz w:val="28"/>
          <w:szCs w:val="32"/>
          <w:lang w:eastAsia="cs-CZ"/>
        </w:rPr>
        <w:t>Technická specifikace</w:t>
      </w:r>
    </w:p>
    <w:p w14:paraId="3B9CB52C" w14:textId="11C5FD26" w:rsidR="00C36387" w:rsidRDefault="00C36387" w:rsidP="00772FA9">
      <w:pPr>
        <w:suppressAutoHyphens/>
        <w:autoSpaceDN w:val="0"/>
        <w:spacing w:before="240" w:after="0" w:line="240" w:lineRule="auto"/>
        <w:jc w:val="center"/>
        <w:textAlignment w:val="baseline"/>
        <w:rPr>
          <w:rFonts w:ascii="Calibri" w:eastAsia="Times New Roman" w:hAnsi="Calibri" w:cs="Calibri"/>
          <w:b/>
          <w:color w:val="00000A"/>
          <w:kern w:val="3"/>
          <w:lang w:eastAsia="cs-CZ"/>
        </w:rPr>
      </w:pPr>
    </w:p>
    <w:p w14:paraId="738D44B0" w14:textId="77777777" w:rsidR="001F2819" w:rsidRDefault="001F2819" w:rsidP="00772FA9">
      <w:pPr>
        <w:suppressAutoHyphens/>
        <w:autoSpaceDN w:val="0"/>
        <w:spacing w:before="240" w:after="0" w:line="240" w:lineRule="auto"/>
        <w:jc w:val="center"/>
        <w:textAlignment w:val="baseline"/>
        <w:rPr>
          <w:rFonts w:ascii="Calibri" w:eastAsia="Times New Roman" w:hAnsi="Calibri" w:cs="Calibri"/>
          <w:b/>
          <w:color w:val="00000A"/>
          <w:kern w:val="3"/>
          <w:lang w:eastAsia="cs-CZ"/>
        </w:rPr>
      </w:pPr>
    </w:p>
    <w:p w14:paraId="7C62335C" w14:textId="6CD4D282" w:rsidR="00772FA9" w:rsidRPr="00D10D2A" w:rsidRDefault="00772FA9" w:rsidP="00772FA9">
      <w:pPr>
        <w:suppressAutoHyphens/>
        <w:autoSpaceDN w:val="0"/>
        <w:spacing w:before="240" w:after="0" w:line="240" w:lineRule="auto"/>
        <w:jc w:val="center"/>
        <w:textAlignment w:val="baseline"/>
        <w:rPr>
          <w:rFonts w:ascii="Calibri" w:eastAsia="Times New Roman" w:hAnsi="Calibri" w:cs="Calibri"/>
          <w:b/>
          <w:color w:val="00000A"/>
          <w:kern w:val="3"/>
          <w:lang w:eastAsia="cs-CZ"/>
        </w:rPr>
      </w:pPr>
      <w:r w:rsidRPr="00D10D2A">
        <w:rPr>
          <w:rFonts w:ascii="Calibri" w:eastAsia="Times New Roman" w:hAnsi="Calibri" w:cs="Calibri"/>
          <w:b/>
          <w:color w:val="00000A"/>
          <w:kern w:val="3"/>
          <w:lang w:eastAsia="cs-CZ"/>
        </w:rPr>
        <w:t>Technické parametry vybavení</w:t>
      </w:r>
    </w:p>
    <w:tbl>
      <w:tblPr>
        <w:tblStyle w:val="Mkatabulky1"/>
        <w:tblpPr w:leftFromText="141" w:rightFromText="141" w:vertAnchor="page" w:horzAnchor="margin" w:tblpY="2581"/>
        <w:tblW w:w="0" w:type="auto"/>
        <w:tblCellMar>
          <w:bottom w:w="57" w:type="dxa"/>
        </w:tblCellMar>
        <w:tblLook w:val="04A0" w:firstRow="1" w:lastRow="0" w:firstColumn="1" w:lastColumn="0" w:noHBand="0" w:noVBand="1"/>
      </w:tblPr>
      <w:tblGrid>
        <w:gridCol w:w="2959"/>
        <w:gridCol w:w="6102"/>
      </w:tblGrid>
      <w:tr w:rsidR="00C3062C" w:rsidRPr="00D10D2A" w14:paraId="78398D87" w14:textId="77777777" w:rsidTr="00C3062C">
        <w:trPr>
          <w:trHeight w:val="454"/>
        </w:trPr>
        <w:tc>
          <w:tcPr>
            <w:tcW w:w="0" w:type="auto"/>
            <w:shd w:val="clear" w:color="auto" w:fill="E7E6E6"/>
            <w:vAlign w:val="center"/>
          </w:tcPr>
          <w:p w14:paraId="5E595C29" w14:textId="77777777" w:rsidR="00772FA9" w:rsidRPr="005B6D96" w:rsidRDefault="00772FA9" w:rsidP="007F5AF7">
            <w:pPr>
              <w:jc w:val="both"/>
              <w:rPr>
                <w:b/>
                <w:bCs/>
                <w:lang w:val="cs-CZ"/>
              </w:rPr>
            </w:pPr>
            <w:r w:rsidRPr="005B6D96">
              <w:rPr>
                <w:b/>
                <w:bCs/>
                <w:lang w:val="cs-CZ"/>
              </w:rPr>
              <w:t>Název veřejné zakázky</w:t>
            </w:r>
          </w:p>
        </w:tc>
        <w:tc>
          <w:tcPr>
            <w:tcW w:w="0" w:type="auto"/>
            <w:vAlign w:val="center"/>
          </w:tcPr>
          <w:p w14:paraId="253187F5" w14:textId="36B337DF" w:rsidR="00772FA9" w:rsidRPr="005B6D96" w:rsidRDefault="00772FA9" w:rsidP="007F5AF7">
            <w:pPr>
              <w:jc w:val="both"/>
              <w:rPr>
                <w:b/>
                <w:bCs/>
                <w:lang w:val="cs-CZ"/>
              </w:rPr>
            </w:pPr>
            <w:r w:rsidRPr="005B6D96">
              <w:rPr>
                <w:b/>
                <w:bCs/>
                <w:lang w:val="cs-CZ"/>
              </w:rPr>
              <w:t xml:space="preserve">ČVUT-CIIRC: </w:t>
            </w:r>
            <w:r w:rsidR="00B0756C" w:rsidRPr="008B37CC">
              <w:rPr>
                <w:rFonts w:cstheme="minorHAnsi"/>
                <w:b/>
                <w:lang w:val="cs-CZ"/>
              </w:rPr>
              <w:t>Geolokační systém RTLS</w:t>
            </w:r>
          </w:p>
        </w:tc>
      </w:tr>
      <w:tr w:rsidR="00D10D2A" w:rsidRPr="00D10D2A" w14:paraId="18562C9B" w14:textId="77777777" w:rsidTr="00C3062C">
        <w:trPr>
          <w:trHeight w:val="741"/>
        </w:trPr>
        <w:tc>
          <w:tcPr>
            <w:tcW w:w="0" w:type="auto"/>
            <w:tcBorders>
              <w:bottom w:val="single" w:sz="4" w:space="0" w:color="auto"/>
            </w:tcBorders>
            <w:shd w:val="clear" w:color="auto" w:fill="E7E6E6"/>
            <w:vAlign w:val="center"/>
          </w:tcPr>
          <w:p w14:paraId="52F777D7" w14:textId="77777777" w:rsidR="00772FA9" w:rsidRPr="005B6D96" w:rsidRDefault="00772FA9" w:rsidP="007F5AF7">
            <w:pPr>
              <w:jc w:val="both"/>
              <w:rPr>
                <w:b/>
                <w:bCs/>
                <w:lang w:val="cs-CZ"/>
              </w:rPr>
            </w:pPr>
            <w:r w:rsidRPr="005B6D96">
              <w:rPr>
                <w:b/>
                <w:bCs/>
                <w:lang w:val="cs-CZ"/>
              </w:rPr>
              <w:t>Stručný popis předmětu veřejné zakázky (dále jako „vybavení“ nebo „zařízení“)</w:t>
            </w:r>
          </w:p>
          <w:p w14:paraId="7ABD606C" w14:textId="77777777" w:rsidR="00772FA9" w:rsidRPr="005B6D96" w:rsidRDefault="00772FA9" w:rsidP="007F5AF7">
            <w:pPr>
              <w:jc w:val="both"/>
              <w:rPr>
                <w:b/>
                <w:bCs/>
                <w:lang w:val="cs-CZ"/>
              </w:rPr>
            </w:pPr>
          </w:p>
        </w:tc>
        <w:tc>
          <w:tcPr>
            <w:tcW w:w="0" w:type="auto"/>
            <w:tcBorders>
              <w:bottom w:val="single" w:sz="4" w:space="0" w:color="auto"/>
            </w:tcBorders>
          </w:tcPr>
          <w:p w14:paraId="25D2CADF" w14:textId="77777777" w:rsidR="00F901D4" w:rsidRPr="005B6D96" w:rsidRDefault="00F901D4" w:rsidP="00F901D4">
            <w:pPr>
              <w:jc w:val="both"/>
              <w:rPr>
                <w:lang w:val="cs-CZ"/>
              </w:rPr>
            </w:pPr>
            <w:r w:rsidRPr="005B6D96">
              <w:rPr>
                <w:lang w:val="cs-CZ"/>
              </w:rPr>
              <w:t xml:space="preserve">Systém </w:t>
            </w:r>
            <w:proofErr w:type="spellStart"/>
            <w:r w:rsidRPr="005B6D96">
              <w:rPr>
                <w:lang w:val="cs-CZ"/>
              </w:rPr>
              <w:t>Simatic</w:t>
            </w:r>
            <w:proofErr w:type="spellEnd"/>
            <w:r w:rsidRPr="005B6D96">
              <w:rPr>
                <w:lang w:val="cs-CZ"/>
              </w:rPr>
              <w:t xml:space="preserve"> RTLS (Real-</w:t>
            </w:r>
            <w:proofErr w:type="spellStart"/>
            <w:r w:rsidRPr="005B6D96">
              <w:rPr>
                <w:lang w:val="cs-CZ"/>
              </w:rPr>
              <w:t>time</w:t>
            </w:r>
            <w:proofErr w:type="spellEnd"/>
            <w:r w:rsidRPr="005B6D96">
              <w:rPr>
                <w:lang w:val="cs-CZ"/>
              </w:rPr>
              <w:t xml:space="preserve"> </w:t>
            </w:r>
            <w:proofErr w:type="spellStart"/>
            <w:r w:rsidRPr="005B6D96">
              <w:rPr>
                <w:lang w:val="cs-CZ"/>
              </w:rPr>
              <w:t>locating</w:t>
            </w:r>
            <w:proofErr w:type="spellEnd"/>
            <w:r w:rsidRPr="005B6D96">
              <w:rPr>
                <w:lang w:val="cs-CZ"/>
              </w:rPr>
              <w:t xml:space="preserve"> system) zajišťuje pokrytí prostoru </w:t>
            </w:r>
            <w:proofErr w:type="spellStart"/>
            <w:r w:rsidRPr="005B6D96">
              <w:rPr>
                <w:lang w:val="cs-CZ"/>
              </w:rPr>
              <w:t>Testbedu</w:t>
            </w:r>
            <w:proofErr w:type="spellEnd"/>
            <w:r w:rsidRPr="005B6D96">
              <w:rPr>
                <w:lang w:val="cs-CZ"/>
              </w:rPr>
              <w:t xml:space="preserve"> rádiovým signálem tak, aby bylo možné určit polohu lokalizačních tagů s přesností na 30 cm.  </w:t>
            </w:r>
          </w:p>
          <w:p w14:paraId="4E290FF6" w14:textId="22BDA25B" w:rsidR="00772FA9" w:rsidRPr="005B6D96" w:rsidRDefault="00F901D4" w:rsidP="00F901D4">
            <w:pPr>
              <w:jc w:val="both"/>
              <w:rPr>
                <w:lang w:val="cs-CZ"/>
              </w:rPr>
            </w:pPr>
            <w:r w:rsidRPr="005B6D96">
              <w:rPr>
                <w:lang w:val="cs-CZ"/>
              </w:rPr>
              <w:t xml:space="preserve">Součástí systému je softwarový produkt </w:t>
            </w:r>
            <w:proofErr w:type="spellStart"/>
            <w:r w:rsidRPr="005B6D96">
              <w:rPr>
                <w:lang w:val="cs-CZ"/>
              </w:rPr>
              <w:t>Location</w:t>
            </w:r>
            <w:proofErr w:type="spellEnd"/>
            <w:r w:rsidRPr="005B6D96">
              <w:rPr>
                <w:lang w:val="cs-CZ"/>
              </w:rPr>
              <w:t xml:space="preserve"> </w:t>
            </w:r>
            <w:proofErr w:type="spellStart"/>
            <w:r w:rsidRPr="005B6D96">
              <w:rPr>
                <w:lang w:val="cs-CZ"/>
              </w:rPr>
              <w:t>Intelligence</w:t>
            </w:r>
            <w:proofErr w:type="spellEnd"/>
            <w:r w:rsidRPr="005B6D96">
              <w:rPr>
                <w:lang w:val="cs-CZ"/>
              </w:rPr>
              <w:t>.</w:t>
            </w:r>
          </w:p>
        </w:tc>
      </w:tr>
      <w:tr w:rsidR="00C3062C" w:rsidRPr="00D10D2A" w14:paraId="56E302C6" w14:textId="77777777" w:rsidTr="00C3062C">
        <w:trPr>
          <w:trHeight w:val="1408"/>
        </w:trPr>
        <w:tc>
          <w:tcPr>
            <w:tcW w:w="0" w:type="auto"/>
            <w:shd w:val="clear" w:color="auto" w:fill="E7E6E6"/>
            <w:vAlign w:val="center"/>
          </w:tcPr>
          <w:p w14:paraId="3CFA00CA" w14:textId="77777777" w:rsidR="00772FA9" w:rsidRPr="005B6D96" w:rsidRDefault="00772FA9" w:rsidP="007F5AF7">
            <w:pPr>
              <w:jc w:val="both"/>
              <w:rPr>
                <w:b/>
                <w:bCs/>
                <w:lang w:val="cs-CZ"/>
              </w:rPr>
            </w:pPr>
            <w:r w:rsidRPr="005B6D96">
              <w:rPr>
                <w:b/>
                <w:bCs/>
                <w:lang w:val="cs-CZ"/>
              </w:rPr>
              <w:t>Účel požadovaného vybavení (zařízení)</w:t>
            </w:r>
          </w:p>
          <w:p w14:paraId="5DFD0DFD" w14:textId="77777777" w:rsidR="00772FA9" w:rsidRPr="005B6D96" w:rsidRDefault="00772FA9" w:rsidP="007F5AF7">
            <w:pPr>
              <w:jc w:val="both"/>
              <w:rPr>
                <w:b/>
                <w:bCs/>
                <w:lang w:val="cs-CZ"/>
              </w:rPr>
            </w:pPr>
          </w:p>
        </w:tc>
        <w:tc>
          <w:tcPr>
            <w:tcW w:w="0" w:type="auto"/>
          </w:tcPr>
          <w:p w14:paraId="500E7D20" w14:textId="70B4D454" w:rsidR="00772FA9" w:rsidRPr="005B6D96" w:rsidRDefault="00F901D4" w:rsidP="007F5AF7">
            <w:pPr>
              <w:jc w:val="both"/>
              <w:rPr>
                <w:lang w:val="cs-CZ"/>
              </w:rPr>
            </w:pPr>
            <w:r w:rsidRPr="005B6D96">
              <w:rPr>
                <w:lang w:val="cs-CZ"/>
              </w:rPr>
              <w:t>Geolokační systém RTLS pro účely sledování pohybu zařízení a osob v </w:t>
            </w:r>
            <w:proofErr w:type="spellStart"/>
            <w:r w:rsidRPr="005B6D96">
              <w:rPr>
                <w:lang w:val="cs-CZ"/>
              </w:rPr>
              <w:t>Testbedu</w:t>
            </w:r>
            <w:proofErr w:type="spellEnd"/>
            <w:r w:rsidRPr="005B6D96">
              <w:rPr>
                <w:lang w:val="cs-CZ"/>
              </w:rPr>
              <w:t xml:space="preserve"> se bude využívat pro přesnou absolutní lokalizaci, která umožní navazujícím systémům realizovat pokročilé navigační funkce a optimalizovat </w:t>
            </w:r>
            <w:proofErr w:type="spellStart"/>
            <w:r w:rsidRPr="005B6D96">
              <w:rPr>
                <w:lang w:val="cs-CZ"/>
              </w:rPr>
              <w:t>intralogistiku</w:t>
            </w:r>
            <w:proofErr w:type="spellEnd"/>
            <w:r w:rsidRPr="005B6D96">
              <w:rPr>
                <w:lang w:val="cs-CZ"/>
              </w:rPr>
              <w:t xml:space="preserve">.  </w:t>
            </w:r>
          </w:p>
        </w:tc>
      </w:tr>
    </w:tbl>
    <w:p w14:paraId="5DEE5113" w14:textId="77777777" w:rsidR="00772FA9" w:rsidRPr="00D10D2A" w:rsidRDefault="00772FA9" w:rsidP="00772FA9">
      <w:pPr>
        <w:suppressAutoHyphens/>
        <w:autoSpaceDN w:val="0"/>
        <w:spacing w:after="0" w:line="240" w:lineRule="auto"/>
        <w:textAlignment w:val="baseline"/>
        <w:rPr>
          <w:rFonts w:ascii="Calibri" w:eastAsia="Times New Roman" w:hAnsi="Calibri" w:cs="Calibri"/>
          <w:b/>
          <w:color w:val="00000A"/>
          <w:kern w:val="3"/>
          <w:sz w:val="20"/>
          <w:szCs w:val="20"/>
          <w:lang w:eastAsia="cs-CZ"/>
        </w:rPr>
      </w:pPr>
    </w:p>
    <w:tbl>
      <w:tblPr>
        <w:tblStyle w:val="Mkatabulky1"/>
        <w:tblW w:w="5000" w:type="pct"/>
        <w:tblCellMar>
          <w:bottom w:w="57" w:type="dxa"/>
        </w:tblCellMar>
        <w:tblLook w:val="04A0" w:firstRow="1" w:lastRow="0" w:firstColumn="1" w:lastColumn="0" w:noHBand="0" w:noVBand="1"/>
      </w:tblPr>
      <w:tblGrid>
        <w:gridCol w:w="5382"/>
        <w:gridCol w:w="2269"/>
        <w:gridCol w:w="1410"/>
      </w:tblGrid>
      <w:tr w:rsidR="000603C4" w:rsidRPr="00572437" w14:paraId="12E1C14A" w14:textId="3D5883E5" w:rsidTr="005B6D96">
        <w:tc>
          <w:tcPr>
            <w:tcW w:w="2970" w:type="pct"/>
            <w:shd w:val="clear" w:color="auto" w:fill="E7E6E6"/>
          </w:tcPr>
          <w:p w14:paraId="1AA93C5E" w14:textId="77777777" w:rsidR="000603C4" w:rsidRPr="00572437" w:rsidRDefault="000603C4" w:rsidP="007F5AF7">
            <w:pPr>
              <w:jc w:val="center"/>
              <w:rPr>
                <w:rFonts w:cstheme="minorHAnsi"/>
                <w:b/>
                <w:bCs/>
                <w:sz w:val="20"/>
                <w:szCs w:val="20"/>
                <w:lang w:val="cs-CZ"/>
              </w:rPr>
            </w:pPr>
            <w:r w:rsidRPr="00572437">
              <w:rPr>
                <w:rFonts w:cstheme="minorHAnsi"/>
                <w:b/>
                <w:bCs/>
                <w:sz w:val="20"/>
                <w:szCs w:val="20"/>
                <w:lang w:val="cs-CZ"/>
              </w:rPr>
              <w:t>Popis parametru:</w:t>
            </w:r>
          </w:p>
        </w:tc>
        <w:tc>
          <w:tcPr>
            <w:tcW w:w="1252" w:type="pct"/>
            <w:shd w:val="clear" w:color="auto" w:fill="E7E6E6"/>
          </w:tcPr>
          <w:p w14:paraId="697D9C4A" w14:textId="77777777" w:rsidR="000603C4" w:rsidRPr="00572437" w:rsidRDefault="000603C4" w:rsidP="007F5AF7">
            <w:pPr>
              <w:jc w:val="center"/>
              <w:rPr>
                <w:rFonts w:cstheme="minorHAnsi"/>
                <w:b/>
                <w:bCs/>
                <w:sz w:val="20"/>
                <w:szCs w:val="20"/>
                <w:lang w:val="cs-CZ"/>
              </w:rPr>
            </w:pPr>
            <w:r w:rsidRPr="00572437">
              <w:rPr>
                <w:rFonts w:cstheme="minorHAnsi"/>
                <w:b/>
                <w:bCs/>
                <w:sz w:val="20"/>
                <w:szCs w:val="20"/>
                <w:lang w:val="cs-CZ"/>
              </w:rPr>
              <w:t>Požadovaná hodnota</w:t>
            </w:r>
          </w:p>
        </w:tc>
        <w:tc>
          <w:tcPr>
            <w:tcW w:w="778" w:type="pct"/>
            <w:shd w:val="clear" w:color="auto" w:fill="E7E6E6"/>
          </w:tcPr>
          <w:p w14:paraId="07C8B226" w14:textId="65307354" w:rsidR="000603C4" w:rsidRPr="00572437" w:rsidRDefault="00F901D4" w:rsidP="007F5AF7">
            <w:pPr>
              <w:jc w:val="center"/>
              <w:rPr>
                <w:rFonts w:cstheme="minorHAnsi"/>
                <w:b/>
                <w:bCs/>
                <w:sz w:val="20"/>
                <w:szCs w:val="20"/>
                <w:lang w:val="cs-CZ"/>
              </w:rPr>
            </w:pPr>
            <w:r w:rsidRPr="00572437">
              <w:rPr>
                <w:rFonts w:cstheme="minorHAnsi"/>
                <w:b/>
                <w:bCs/>
                <w:sz w:val="20"/>
                <w:szCs w:val="20"/>
                <w:lang w:val="cs-CZ"/>
              </w:rPr>
              <w:t>Podmínka</w:t>
            </w:r>
          </w:p>
        </w:tc>
      </w:tr>
      <w:tr w:rsidR="00F901D4" w:rsidRPr="00572437" w14:paraId="18F9B63E" w14:textId="396719FF" w:rsidTr="005B6D96">
        <w:tc>
          <w:tcPr>
            <w:tcW w:w="2970" w:type="pct"/>
          </w:tcPr>
          <w:p w14:paraId="79C0F7C4" w14:textId="5A4B92D8" w:rsidR="00F901D4" w:rsidRPr="00572437" w:rsidRDefault="00F901D4" w:rsidP="00F901D4">
            <w:pPr>
              <w:jc w:val="both"/>
              <w:rPr>
                <w:rFonts w:cstheme="minorHAnsi"/>
                <w:sz w:val="20"/>
                <w:szCs w:val="20"/>
                <w:lang w:val="cs-CZ"/>
              </w:rPr>
            </w:pPr>
            <w:r w:rsidRPr="00572437">
              <w:rPr>
                <w:rFonts w:cstheme="minorHAnsi"/>
                <w:sz w:val="20"/>
                <w:szCs w:val="20"/>
              </w:rPr>
              <w:t>6GT2700-5DC0</w:t>
            </w:r>
            <w:r w:rsidR="00572437" w:rsidRPr="00572437">
              <w:rPr>
                <w:rFonts w:cstheme="minorHAnsi"/>
                <w:sz w:val="20"/>
                <w:szCs w:val="20"/>
              </w:rPr>
              <w:t>5</w:t>
            </w:r>
            <w:r w:rsidRPr="00572437">
              <w:rPr>
                <w:rFonts w:cstheme="minorHAnsi"/>
                <w:sz w:val="20"/>
                <w:szCs w:val="20"/>
              </w:rPr>
              <w:t xml:space="preserve"> -SIMATIC RTLS transponder RTLS4083T, UWB, phase (minimum order quantity 5 units)</w:t>
            </w:r>
          </w:p>
        </w:tc>
        <w:tc>
          <w:tcPr>
            <w:tcW w:w="1252" w:type="pct"/>
          </w:tcPr>
          <w:p w14:paraId="7AEE09C5" w14:textId="70A29C51" w:rsidR="00F901D4" w:rsidRPr="00572437" w:rsidRDefault="00F901D4" w:rsidP="00F901D4">
            <w:pPr>
              <w:jc w:val="center"/>
              <w:rPr>
                <w:rFonts w:cstheme="minorHAnsi"/>
                <w:sz w:val="20"/>
                <w:szCs w:val="20"/>
                <w:lang w:val="cs-CZ"/>
              </w:rPr>
            </w:pPr>
            <w:r w:rsidRPr="00572437">
              <w:rPr>
                <w:rFonts w:cstheme="minorHAnsi"/>
                <w:sz w:val="20"/>
                <w:szCs w:val="20"/>
              </w:rPr>
              <w:t xml:space="preserve">30 </w:t>
            </w:r>
            <w:proofErr w:type="spellStart"/>
            <w:r w:rsidRPr="00572437">
              <w:rPr>
                <w:rFonts w:cstheme="minorHAnsi"/>
                <w:sz w:val="20"/>
                <w:szCs w:val="20"/>
              </w:rPr>
              <w:t>ks</w:t>
            </w:r>
            <w:proofErr w:type="spellEnd"/>
          </w:p>
        </w:tc>
        <w:tc>
          <w:tcPr>
            <w:tcW w:w="778" w:type="pct"/>
            <w:shd w:val="clear" w:color="auto" w:fill="FFFFFF" w:themeFill="background1"/>
          </w:tcPr>
          <w:p w14:paraId="435D1C56" w14:textId="6D6E201F" w:rsidR="00F901D4" w:rsidRPr="00572437" w:rsidRDefault="00F901D4" w:rsidP="00572437">
            <w:pPr>
              <w:pStyle w:val="Standard"/>
              <w:contextualSpacing/>
              <w:jc w:val="center"/>
              <w:rPr>
                <w:rFonts w:asciiTheme="minorHAnsi" w:hAnsiTheme="minorHAnsi" w:cstheme="minorHAnsi"/>
                <w:sz w:val="20"/>
                <w:szCs w:val="20"/>
              </w:rPr>
            </w:pPr>
            <w:proofErr w:type="spellStart"/>
            <w:r w:rsidRPr="00572437">
              <w:rPr>
                <w:rFonts w:asciiTheme="minorHAnsi" w:hAnsiTheme="minorHAnsi" w:cstheme="minorHAnsi"/>
                <w:sz w:val="20"/>
                <w:szCs w:val="20"/>
              </w:rPr>
              <w:t>Podmínka</w:t>
            </w:r>
            <w:proofErr w:type="spellEnd"/>
          </w:p>
        </w:tc>
      </w:tr>
      <w:tr w:rsidR="00572437" w:rsidRPr="00572437" w14:paraId="74EE131F" w14:textId="77777777" w:rsidTr="005B6D96">
        <w:tc>
          <w:tcPr>
            <w:tcW w:w="2970" w:type="pct"/>
          </w:tcPr>
          <w:p w14:paraId="3DE1D6EA" w14:textId="3D1C0105" w:rsidR="00572437" w:rsidRPr="00572437" w:rsidRDefault="00572437" w:rsidP="00572437">
            <w:pPr>
              <w:autoSpaceDE w:val="0"/>
              <w:autoSpaceDN w:val="0"/>
              <w:adjustRightInd w:val="0"/>
              <w:rPr>
                <w:rFonts w:cstheme="minorHAnsi"/>
                <w:sz w:val="20"/>
                <w:szCs w:val="20"/>
              </w:rPr>
            </w:pPr>
            <w:r w:rsidRPr="00572437">
              <w:rPr>
                <w:rFonts w:cstheme="minorHAnsi"/>
                <w:sz w:val="20"/>
                <w:szCs w:val="20"/>
              </w:rPr>
              <w:t>6GT2790-0DE30 - SIMATIC RTLS accessory clip bracket RTLS transponder, RTLS4083T, plus, 100.6 x 71.1 x 22 mm (minimum order quantity 10 units)</w:t>
            </w:r>
          </w:p>
        </w:tc>
        <w:tc>
          <w:tcPr>
            <w:tcW w:w="1252" w:type="pct"/>
          </w:tcPr>
          <w:p w14:paraId="1BFE9EA9" w14:textId="236A0191" w:rsidR="00572437" w:rsidRPr="00572437" w:rsidRDefault="00572437" w:rsidP="00572437">
            <w:pPr>
              <w:pStyle w:val="Standard"/>
              <w:contextualSpacing/>
              <w:jc w:val="center"/>
              <w:rPr>
                <w:rFonts w:asciiTheme="minorHAnsi" w:hAnsiTheme="minorHAnsi" w:cstheme="minorHAnsi"/>
                <w:sz w:val="20"/>
                <w:szCs w:val="20"/>
              </w:rPr>
            </w:pPr>
            <w:r w:rsidRPr="00572437">
              <w:rPr>
                <w:rFonts w:asciiTheme="minorHAnsi" w:hAnsiTheme="minorHAnsi" w:cstheme="minorHAnsi"/>
                <w:sz w:val="20"/>
                <w:szCs w:val="20"/>
              </w:rPr>
              <w:t xml:space="preserve">30 </w:t>
            </w:r>
            <w:proofErr w:type="spellStart"/>
            <w:r w:rsidRPr="00572437">
              <w:rPr>
                <w:rFonts w:asciiTheme="minorHAnsi" w:hAnsiTheme="minorHAnsi" w:cstheme="minorHAnsi"/>
                <w:sz w:val="20"/>
                <w:szCs w:val="20"/>
              </w:rPr>
              <w:t>ks</w:t>
            </w:r>
            <w:proofErr w:type="spellEnd"/>
          </w:p>
        </w:tc>
        <w:tc>
          <w:tcPr>
            <w:tcW w:w="778" w:type="pct"/>
            <w:shd w:val="clear" w:color="auto" w:fill="FFFFFF" w:themeFill="background1"/>
          </w:tcPr>
          <w:p w14:paraId="12197018" w14:textId="564D11CA" w:rsidR="00572437" w:rsidRPr="00572437" w:rsidRDefault="00572437" w:rsidP="00572437">
            <w:pPr>
              <w:pStyle w:val="Standard"/>
              <w:contextualSpacing/>
              <w:jc w:val="center"/>
              <w:rPr>
                <w:rFonts w:asciiTheme="minorHAnsi" w:hAnsiTheme="minorHAnsi" w:cstheme="minorHAnsi"/>
                <w:sz w:val="20"/>
                <w:szCs w:val="20"/>
              </w:rPr>
            </w:pPr>
            <w:proofErr w:type="spellStart"/>
            <w:r w:rsidRPr="00572437">
              <w:rPr>
                <w:rFonts w:asciiTheme="minorHAnsi" w:hAnsiTheme="minorHAnsi" w:cstheme="minorHAnsi"/>
                <w:sz w:val="20"/>
                <w:szCs w:val="20"/>
              </w:rPr>
              <w:t>Podmínka</w:t>
            </w:r>
            <w:proofErr w:type="spellEnd"/>
          </w:p>
        </w:tc>
      </w:tr>
      <w:tr w:rsidR="00572437" w:rsidRPr="00572437" w14:paraId="3C6FABC8" w14:textId="6614DAC5" w:rsidTr="005B6D96">
        <w:tc>
          <w:tcPr>
            <w:tcW w:w="2970" w:type="pct"/>
          </w:tcPr>
          <w:p w14:paraId="3ED11CC0" w14:textId="16430A2A" w:rsidR="00572437" w:rsidRPr="00572437" w:rsidRDefault="00572437" w:rsidP="00572437">
            <w:pPr>
              <w:jc w:val="both"/>
              <w:rPr>
                <w:rFonts w:cstheme="minorHAnsi"/>
                <w:sz w:val="20"/>
                <w:szCs w:val="20"/>
                <w:lang w:val="cs-CZ"/>
              </w:rPr>
            </w:pPr>
            <w:r w:rsidRPr="00572437">
              <w:rPr>
                <w:rFonts w:cstheme="minorHAnsi"/>
                <w:sz w:val="20"/>
                <w:szCs w:val="20"/>
              </w:rPr>
              <w:t>6GT2700-6DE03 - SIMATIC RTLS transponder RTLS4060T, UWB, phase</w:t>
            </w:r>
          </w:p>
        </w:tc>
        <w:tc>
          <w:tcPr>
            <w:tcW w:w="1252" w:type="pct"/>
          </w:tcPr>
          <w:p w14:paraId="32047B41" w14:textId="77777777" w:rsidR="00572437" w:rsidRPr="00572437" w:rsidRDefault="00572437" w:rsidP="00572437">
            <w:pPr>
              <w:pStyle w:val="Standard"/>
              <w:contextualSpacing/>
              <w:jc w:val="center"/>
              <w:rPr>
                <w:rFonts w:asciiTheme="minorHAnsi" w:hAnsiTheme="minorHAnsi" w:cstheme="minorHAnsi"/>
                <w:sz w:val="20"/>
                <w:szCs w:val="20"/>
              </w:rPr>
            </w:pPr>
            <w:r w:rsidRPr="00572437">
              <w:rPr>
                <w:rFonts w:asciiTheme="minorHAnsi" w:hAnsiTheme="minorHAnsi" w:cstheme="minorHAnsi"/>
                <w:sz w:val="20"/>
                <w:szCs w:val="20"/>
              </w:rPr>
              <w:t xml:space="preserve">5 </w:t>
            </w:r>
            <w:proofErr w:type="spellStart"/>
            <w:r w:rsidRPr="00572437">
              <w:rPr>
                <w:rFonts w:asciiTheme="minorHAnsi" w:hAnsiTheme="minorHAnsi" w:cstheme="minorHAnsi"/>
                <w:sz w:val="20"/>
                <w:szCs w:val="20"/>
              </w:rPr>
              <w:t>ks</w:t>
            </w:r>
            <w:proofErr w:type="spellEnd"/>
          </w:p>
          <w:p w14:paraId="7748BC60" w14:textId="24E9A24F" w:rsidR="00572437" w:rsidRPr="00572437" w:rsidRDefault="00572437" w:rsidP="00572437">
            <w:pPr>
              <w:jc w:val="center"/>
              <w:rPr>
                <w:rFonts w:cstheme="minorHAnsi"/>
                <w:sz w:val="20"/>
                <w:szCs w:val="20"/>
                <w:lang w:val="cs-CZ"/>
              </w:rPr>
            </w:pPr>
          </w:p>
        </w:tc>
        <w:tc>
          <w:tcPr>
            <w:tcW w:w="778" w:type="pct"/>
            <w:shd w:val="clear" w:color="auto" w:fill="FFFFFF" w:themeFill="background1"/>
          </w:tcPr>
          <w:p w14:paraId="49199500" w14:textId="70F93C2F"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5FC7E7F5" w14:textId="75760E3E" w:rsidTr="005B6D96">
        <w:tc>
          <w:tcPr>
            <w:tcW w:w="2970" w:type="pct"/>
          </w:tcPr>
          <w:p w14:paraId="231DE9B4" w14:textId="636DD701" w:rsidR="00572437" w:rsidRPr="00572437" w:rsidRDefault="00572437" w:rsidP="00572437">
            <w:pPr>
              <w:jc w:val="both"/>
              <w:rPr>
                <w:rFonts w:cstheme="minorHAnsi"/>
                <w:sz w:val="20"/>
                <w:szCs w:val="20"/>
                <w:lang w:val="cs-CZ"/>
              </w:rPr>
            </w:pPr>
            <w:r w:rsidRPr="00572437">
              <w:rPr>
                <w:rFonts w:cstheme="minorHAnsi"/>
                <w:sz w:val="20"/>
                <w:szCs w:val="20"/>
              </w:rPr>
              <w:t>6GT2791-1AH30 - SIMATIC RTLS Accessories plug-in cable for Transponder</w:t>
            </w:r>
          </w:p>
        </w:tc>
        <w:tc>
          <w:tcPr>
            <w:tcW w:w="1252" w:type="pct"/>
          </w:tcPr>
          <w:p w14:paraId="4D9B7442" w14:textId="71E2A7BD" w:rsidR="00572437" w:rsidRPr="00572437" w:rsidRDefault="00572437" w:rsidP="00572437">
            <w:pPr>
              <w:jc w:val="center"/>
              <w:rPr>
                <w:rFonts w:cstheme="minorHAnsi"/>
                <w:sz w:val="20"/>
                <w:szCs w:val="20"/>
                <w:lang w:val="cs-CZ"/>
              </w:rPr>
            </w:pPr>
            <w:r w:rsidRPr="00572437">
              <w:rPr>
                <w:rFonts w:cstheme="minorHAnsi"/>
                <w:sz w:val="20"/>
                <w:szCs w:val="20"/>
              </w:rPr>
              <w:t xml:space="preserve">5 </w:t>
            </w:r>
            <w:proofErr w:type="spellStart"/>
            <w:r w:rsidRPr="00572437">
              <w:rPr>
                <w:rFonts w:cstheme="minorHAnsi"/>
                <w:sz w:val="20"/>
                <w:szCs w:val="20"/>
              </w:rPr>
              <w:t>ks</w:t>
            </w:r>
            <w:proofErr w:type="spellEnd"/>
          </w:p>
        </w:tc>
        <w:tc>
          <w:tcPr>
            <w:tcW w:w="778" w:type="pct"/>
            <w:shd w:val="clear" w:color="auto" w:fill="FFFFFF" w:themeFill="background1"/>
          </w:tcPr>
          <w:p w14:paraId="4D0D5A48" w14:textId="1F49E06B"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57349D4F" w14:textId="144D5C71" w:rsidTr="005B6D96">
        <w:tc>
          <w:tcPr>
            <w:tcW w:w="2970" w:type="pct"/>
          </w:tcPr>
          <w:p w14:paraId="131A95FF" w14:textId="7629391A" w:rsidR="00572437" w:rsidRPr="00572437" w:rsidRDefault="00572437" w:rsidP="00572437">
            <w:pPr>
              <w:jc w:val="both"/>
              <w:rPr>
                <w:rFonts w:cstheme="minorHAnsi"/>
                <w:sz w:val="20"/>
                <w:szCs w:val="20"/>
                <w:lang w:val="cs-CZ"/>
              </w:rPr>
            </w:pPr>
            <w:r w:rsidRPr="00572437">
              <w:rPr>
                <w:rFonts w:cstheme="minorHAnsi"/>
                <w:sz w:val="20"/>
                <w:szCs w:val="20"/>
              </w:rPr>
              <w:t>6GT2700-7DC05 - SIMATIC RTLS transponder RTLS4084T+, UWB, phase</w:t>
            </w:r>
          </w:p>
        </w:tc>
        <w:tc>
          <w:tcPr>
            <w:tcW w:w="1252" w:type="pct"/>
          </w:tcPr>
          <w:p w14:paraId="7DF91201" w14:textId="2CB43B55" w:rsidR="00572437" w:rsidRPr="00572437" w:rsidRDefault="00572437" w:rsidP="00572437">
            <w:pPr>
              <w:jc w:val="center"/>
              <w:rPr>
                <w:rFonts w:cstheme="minorHAnsi"/>
                <w:sz w:val="20"/>
                <w:szCs w:val="20"/>
                <w:lang w:val="cs-CZ"/>
              </w:rPr>
            </w:pPr>
            <w:r w:rsidRPr="00572437">
              <w:rPr>
                <w:rFonts w:cstheme="minorHAnsi"/>
                <w:sz w:val="20"/>
                <w:szCs w:val="20"/>
              </w:rPr>
              <w:t xml:space="preserve">10 </w:t>
            </w:r>
            <w:proofErr w:type="spellStart"/>
            <w:r w:rsidRPr="00572437">
              <w:rPr>
                <w:rFonts w:cstheme="minorHAnsi"/>
                <w:sz w:val="20"/>
                <w:szCs w:val="20"/>
              </w:rPr>
              <w:t>ks</w:t>
            </w:r>
            <w:proofErr w:type="spellEnd"/>
          </w:p>
        </w:tc>
        <w:tc>
          <w:tcPr>
            <w:tcW w:w="778" w:type="pct"/>
            <w:shd w:val="clear" w:color="auto" w:fill="FFFFFF" w:themeFill="background1"/>
          </w:tcPr>
          <w:p w14:paraId="76E01E2F" w14:textId="1954F2C4"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7BA2DCF6" w14:textId="77777777" w:rsidTr="005B6D96">
        <w:tc>
          <w:tcPr>
            <w:tcW w:w="2970" w:type="pct"/>
          </w:tcPr>
          <w:p w14:paraId="261D19DC" w14:textId="4DC3D773" w:rsidR="00572437" w:rsidRPr="00572437" w:rsidRDefault="00572437" w:rsidP="00572437">
            <w:pPr>
              <w:autoSpaceDE w:val="0"/>
              <w:autoSpaceDN w:val="0"/>
              <w:adjustRightInd w:val="0"/>
              <w:rPr>
                <w:rFonts w:cstheme="minorHAnsi"/>
                <w:sz w:val="20"/>
                <w:szCs w:val="20"/>
              </w:rPr>
            </w:pPr>
            <w:r w:rsidRPr="00572437">
              <w:rPr>
                <w:rFonts w:cstheme="minorHAnsi"/>
                <w:sz w:val="20"/>
                <w:szCs w:val="20"/>
              </w:rPr>
              <w:t>6GT2790-0EE00 - SIMATIC RTLS accessory battery pack RTLS transponder, RTLS4084T Plus battery pack with plug-in contact</w:t>
            </w:r>
          </w:p>
        </w:tc>
        <w:tc>
          <w:tcPr>
            <w:tcW w:w="1252" w:type="pct"/>
          </w:tcPr>
          <w:p w14:paraId="4575C9FD" w14:textId="15867EBD" w:rsidR="00572437" w:rsidRPr="00572437" w:rsidRDefault="00572437" w:rsidP="00572437">
            <w:pPr>
              <w:jc w:val="center"/>
              <w:rPr>
                <w:rFonts w:cstheme="minorHAnsi"/>
                <w:sz w:val="20"/>
                <w:szCs w:val="20"/>
              </w:rPr>
            </w:pPr>
            <w:r w:rsidRPr="00572437">
              <w:rPr>
                <w:rFonts w:cstheme="minorHAnsi"/>
                <w:sz w:val="20"/>
                <w:szCs w:val="20"/>
              </w:rPr>
              <w:t xml:space="preserve">10 </w:t>
            </w:r>
            <w:proofErr w:type="spellStart"/>
            <w:r w:rsidRPr="00572437">
              <w:rPr>
                <w:rFonts w:cstheme="minorHAnsi"/>
                <w:sz w:val="20"/>
                <w:szCs w:val="20"/>
              </w:rPr>
              <w:t>ks</w:t>
            </w:r>
            <w:proofErr w:type="spellEnd"/>
          </w:p>
        </w:tc>
        <w:tc>
          <w:tcPr>
            <w:tcW w:w="778" w:type="pct"/>
            <w:shd w:val="clear" w:color="auto" w:fill="FFFFFF" w:themeFill="background1"/>
          </w:tcPr>
          <w:p w14:paraId="52D2CA2C" w14:textId="63B8C6D0" w:rsidR="00572437" w:rsidRPr="00572437" w:rsidRDefault="00572437" w:rsidP="00572437">
            <w:pPr>
              <w:jc w:val="center"/>
              <w:rPr>
                <w:rFonts w:cstheme="minorHAnsi"/>
                <w:sz w:val="20"/>
                <w:szCs w:val="20"/>
              </w:rPr>
            </w:pPr>
            <w:proofErr w:type="spellStart"/>
            <w:r w:rsidRPr="00572437">
              <w:rPr>
                <w:rFonts w:cstheme="minorHAnsi"/>
                <w:sz w:val="20"/>
                <w:szCs w:val="20"/>
              </w:rPr>
              <w:t>Podmínka</w:t>
            </w:r>
            <w:proofErr w:type="spellEnd"/>
          </w:p>
        </w:tc>
      </w:tr>
      <w:tr w:rsidR="00572437" w:rsidRPr="00572437" w14:paraId="1499461B" w14:textId="0EF2E7B0" w:rsidTr="005B6D96">
        <w:tc>
          <w:tcPr>
            <w:tcW w:w="2970" w:type="pct"/>
          </w:tcPr>
          <w:p w14:paraId="1883BDBD" w14:textId="5F803C01" w:rsidR="00572437" w:rsidRPr="00572437" w:rsidRDefault="00572437" w:rsidP="00572437">
            <w:pPr>
              <w:jc w:val="both"/>
              <w:rPr>
                <w:rFonts w:cstheme="minorHAnsi"/>
                <w:sz w:val="20"/>
                <w:szCs w:val="20"/>
                <w:lang w:val="cs-CZ"/>
              </w:rPr>
            </w:pPr>
            <w:r w:rsidRPr="00572437">
              <w:rPr>
                <w:rFonts w:cstheme="minorHAnsi"/>
                <w:sz w:val="20"/>
                <w:szCs w:val="20"/>
              </w:rPr>
              <w:t>6GT2700-5DA03 - SIMATIC RTLS transponder RTLS4040T, UWB/Phase, ETSI</w:t>
            </w:r>
          </w:p>
        </w:tc>
        <w:tc>
          <w:tcPr>
            <w:tcW w:w="1252" w:type="pct"/>
          </w:tcPr>
          <w:p w14:paraId="1112AD91" w14:textId="4A16298F" w:rsidR="00572437" w:rsidRPr="00572437" w:rsidRDefault="00572437" w:rsidP="00572437">
            <w:pPr>
              <w:jc w:val="center"/>
              <w:rPr>
                <w:rFonts w:cstheme="minorHAnsi"/>
                <w:sz w:val="20"/>
                <w:szCs w:val="20"/>
                <w:lang w:val="cs-CZ"/>
              </w:rPr>
            </w:pPr>
            <w:r w:rsidRPr="00572437">
              <w:rPr>
                <w:rFonts w:cstheme="minorHAnsi"/>
                <w:sz w:val="20"/>
                <w:szCs w:val="20"/>
              </w:rPr>
              <w:t>10 ks</w:t>
            </w:r>
          </w:p>
        </w:tc>
        <w:tc>
          <w:tcPr>
            <w:tcW w:w="778" w:type="pct"/>
            <w:shd w:val="clear" w:color="auto" w:fill="FFFFFF" w:themeFill="background1"/>
          </w:tcPr>
          <w:p w14:paraId="17AF1319" w14:textId="4F454105"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47BAB486" w14:textId="327C567D" w:rsidTr="005B6D96">
        <w:tc>
          <w:tcPr>
            <w:tcW w:w="2970" w:type="pct"/>
          </w:tcPr>
          <w:p w14:paraId="572336A6" w14:textId="502F87F4" w:rsidR="00572437" w:rsidRPr="00572437" w:rsidRDefault="00572437" w:rsidP="00572437">
            <w:pPr>
              <w:jc w:val="both"/>
              <w:rPr>
                <w:rFonts w:cstheme="minorHAnsi"/>
                <w:sz w:val="20"/>
                <w:szCs w:val="20"/>
                <w:lang w:val="cs-CZ"/>
              </w:rPr>
            </w:pPr>
            <w:r w:rsidRPr="00572437">
              <w:rPr>
                <w:rFonts w:cstheme="minorHAnsi"/>
                <w:sz w:val="20"/>
                <w:szCs w:val="20"/>
              </w:rPr>
              <w:t>6GT2701-5DB03 - SIMATIC RTLS Gateway RTLS4030G, UWB, Phase</w:t>
            </w:r>
          </w:p>
        </w:tc>
        <w:tc>
          <w:tcPr>
            <w:tcW w:w="1252" w:type="pct"/>
          </w:tcPr>
          <w:p w14:paraId="7CF46B06" w14:textId="1A9463ED" w:rsidR="00572437" w:rsidRPr="00572437" w:rsidRDefault="00572437" w:rsidP="00572437">
            <w:pPr>
              <w:jc w:val="center"/>
              <w:rPr>
                <w:rFonts w:cstheme="minorHAnsi"/>
                <w:sz w:val="20"/>
                <w:szCs w:val="20"/>
                <w:lang w:val="cs-CZ"/>
              </w:rPr>
            </w:pPr>
            <w:r w:rsidRPr="00572437">
              <w:rPr>
                <w:rFonts w:cstheme="minorHAnsi"/>
                <w:sz w:val="20"/>
                <w:szCs w:val="20"/>
              </w:rPr>
              <w:t xml:space="preserve">20 </w:t>
            </w:r>
            <w:proofErr w:type="spellStart"/>
            <w:r w:rsidRPr="00572437">
              <w:rPr>
                <w:rFonts w:cstheme="minorHAnsi"/>
                <w:sz w:val="20"/>
                <w:szCs w:val="20"/>
              </w:rPr>
              <w:t>ks</w:t>
            </w:r>
            <w:proofErr w:type="spellEnd"/>
          </w:p>
        </w:tc>
        <w:tc>
          <w:tcPr>
            <w:tcW w:w="778" w:type="pct"/>
            <w:shd w:val="clear" w:color="auto" w:fill="FFFFFF" w:themeFill="background1"/>
          </w:tcPr>
          <w:p w14:paraId="670EB9EC" w14:textId="247154C1"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6547FCAC" w14:textId="3AFF7BA2" w:rsidTr="005B6D96">
        <w:tc>
          <w:tcPr>
            <w:tcW w:w="2970" w:type="pct"/>
          </w:tcPr>
          <w:p w14:paraId="60AC4F85" w14:textId="1CF79137" w:rsidR="00572437" w:rsidRPr="00572437" w:rsidRDefault="00572437" w:rsidP="00572437">
            <w:pPr>
              <w:jc w:val="both"/>
              <w:rPr>
                <w:rFonts w:cstheme="minorHAnsi"/>
                <w:sz w:val="20"/>
                <w:szCs w:val="20"/>
                <w:lang w:val="cs-CZ"/>
              </w:rPr>
            </w:pPr>
            <w:r w:rsidRPr="00572437">
              <w:rPr>
                <w:rFonts w:cstheme="minorHAnsi"/>
                <w:sz w:val="20"/>
                <w:szCs w:val="20"/>
              </w:rPr>
              <w:t>6GT2790-0BE20 - SIMATIC RTLS accessories Mount, panel made of plastic, 200 x 290 x 5mm</w:t>
            </w:r>
          </w:p>
        </w:tc>
        <w:tc>
          <w:tcPr>
            <w:tcW w:w="1252" w:type="pct"/>
          </w:tcPr>
          <w:p w14:paraId="4D738F29" w14:textId="348BF014" w:rsidR="00572437" w:rsidRPr="00572437" w:rsidRDefault="00572437" w:rsidP="00572437">
            <w:pPr>
              <w:jc w:val="center"/>
              <w:rPr>
                <w:rFonts w:cstheme="minorHAnsi"/>
                <w:sz w:val="20"/>
                <w:szCs w:val="20"/>
                <w:lang w:val="cs-CZ"/>
              </w:rPr>
            </w:pPr>
            <w:r w:rsidRPr="00572437">
              <w:rPr>
                <w:rFonts w:cstheme="minorHAnsi"/>
                <w:sz w:val="20"/>
                <w:szCs w:val="20"/>
              </w:rPr>
              <w:t xml:space="preserve">20 </w:t>
            </w:r>
            <w:proofErr w:type="spellStart"/>
            <w:r w:rsidRPr="00572437">
              <w:rPr>
                <w:rFonts w:cstheme="minorHAnsi"/>
                <w:sz w:val="20"/>
                <w:szCs w:val="20"/>
              </w:rPr>
              <w:t>ks</w:t>
            </w:r>
            <w:proofErr w:type="spellEnd"/>
          </w:p>
        </w:tc>
        <w:tc>
          <w:tcPr>
            <w:tcW w:w="778" w:type="pct"/>
            <w:shd w:val="clear" w:color="auto" w:fill="FFFFFF" w:themeFill="background1"/>
          </w:tcPr>
          <w:p w14:paraId="7636DB14" w14:textId="5F9E4758"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74E991DF" w14:textId="317F7751" w:rsidTr="005B6D96">
        <w:tc>
          <w:tcPr>
            <w:tcW w:w="2970" w:type="pct"/>
          </w:tcPr>
          <w:p w14:paraId="15B53817" w14:textId="4EB63C1F" w:rsidR="00572437" w:rsidRPr="00572437" w:rsidRDefault="00572437" w:rsidP="00572437">
            <w:pPr>
              <w:autoSpaceDE w:val="0"/>
              <w:autoSpaceDN w:val="0"/>
              <w:adjustRightInd w:val="0"/>
              <w:rPr>
                <w:rFonts w:cstheme="minorHAnsi"/>
                <w:sz w:val="20"/>
                <w:szCs w:val="20"/>
                <w:lang w:val="cs-CZ"/>
              </w:rPr>
            </w:pPr>
            <w:r w:rsidRPr="00572437">
              <w:rPr>
                <w:rFonts w:cstheme="minorHAnsi"/>
                <w:sz w:val="20"/>
                <w:szCs w:val="20"/>
              </w:rPr>
              <w:t>6GT2790-0DD20 - SIMATIC RTLS accessory charging cradle for transponder, without power supply unit for parallel charging of 10 tags, type RTLS4083T, plus</w:t>
            </w:r>
          </w:p>
        </w:tc>
        <w:tc>
          <w:tcPr>
            <w:tcW w:w="1252" w:type="pct"/>
          </w:tcPr>
          <w:p w14:paraId="64358985" w14:textId="7BCD5061" w:rsidR="00572437" w:rsidRPr="00572437" w:rsidRDefault="00572437" w:rsidP="00572437">
            <w:pPr>
              <w:jc w:val="center"/>
              <w:rPr>
                <w:rFonts w:cstheme="minorHAnsi"/>
                <w:sz w:val="20"/>
                <w:szCs w:val="20"/>
                <w:lang w:val="cs-CZ"/>
              </w:rPr>
            </w:pPr>
            <w:r w:rsidRPr="00572437">
              <w:rPr>
                <w:rFonts w:cstheme="minorHAnsi"/>
                <w:sz w:val="20"/>
                <w:szCs w:val="20"/>
              </w:rPr>
              <w:t xml:space="preserve">3 </w:t>
            </w:r>
            <w:proofErr w:type="spellStart"/>
            <w:r w:rsidRPr="00572437">
              <w:rPr>
                <w:rFonts w:cstheme="minorHAnsi"/>
                <w:sz w:val="20"/>
                <w:szCs w:val="20"/>
              </w:rPr>
              <w:t>ks</w:t>
            </w:r>
            <w:proofErr w:type="spellEnd"/>
          </w:p>
        </w:tc>
        <w:tc>
          <w:tcPr>
            <w:tcW w:w="778" w:type="pct"/>
            <w:shd w:val="clear" w:color="auto" w:fill="FFFFFF" w:themeFill="background1"/>
          </w:tcPr>
          <w:p w14:paraId="02112B62" w14:textId="0E9186C9"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1CC6DA07" w14:textId="67B9F09E" w:rsidTr="005B6D96">
        <w:tc>
          <w:tcPr>
            <w:tcW w:w="2970" w:type="pct"/>
          </w:tcPr>
          <w:p w14:paraId="3F8E210E" w14:textId="32463490" w:rsidR="00572437" w:rsidRPr="00572437" w:rsidRDefault="00572437" w:rsidP="00572437">
            <w:pPr>
              <w:jc w:val="both"/>
              <w:rPr>
                <w:rFonts w:cstheme="minorHAnsi"/>
                <w:sz w:val="20"/>
                <w:szCs w:val="20"/>
                <w:lang w:val="cs-CZ"/>
              </w:rPr>
            </w:pPr>
            <w:r w:rsidRPr="00572437">
              <w:rPr>
                <w:rFonts w:cstheme="minorHAnsi"/>
                <w:sz w:val="20"/>
                <w:szCs w:val="20"/>
              </w:rPr>
              <w:t>6GT2790-0DD40 - SIMATIC RTLS accessory, power supply for charging station,6GT2790-0DD10, with IEC plug-in connector C14, without power supply cable, In: AC: 100-240 V, 1.4 A, Out: DC: 5 V, 6 A, hollow plug 2.1 / 5.5 mm</w:t>
            </w:r>
          </w:p>
        </w:tc>
        <w:tc>
          <w:tcPr>
            <w:tcW w:w="1252" w:type="pct"/>
          </w:tcPr>
          <w:p w14:paraId="4A96F877" w14:textId="2CBBF038" w:rsidR="00572437" w:rsidRPr="00572437" w:rsidRDefault="00572437" w:rsidP="00572437">
            <w:pPr>
              <w:jc w:val="center"/>
              <w:rPr>
                <w:rFonts w:cstheme="minorHAnsi"/>
                <w:sz w:val="20"/>
                <w:szCs w:val="20"/>
                <w:lang w:val="cs-CZ"/>
              </w:rPr>
            </w:pPr>
            <w:r w:rsidRPr="00572437">
              <w:rPr>
                <w:rFonts w:cstheme="minorHAnsi"/>
                <w:sz w:val="20"/>
                <w:szCs w:val="20"/>
              </w:rPr>
              <w:t xml:space="preserve">3 </w:t>
            </w:r>
            <w:proofErr w:type="spellStart"/>
            <w:r w:rsidRPr="00572437">
              <w:rPr>
                <w:rFonts w:cstheme="minorHAnsi"/>
                <w:sz w:val="20"/>
                <w:szCs w:val="20"/>
              </w:rPr>
              <w:t>ks</w:t>
            </w:r>
            <w:proofErr w:type="spellEnd"/>
          </w:p>
        </w:tc>
        <w:tc>
          <w:tcPr>
            <w:tcW w:w="778" w:type="pct"/>
            <w:shd w:val="clear" w:color="auto" w:fill="FFFFFF" w:themeFill="background1"/>
          </w:tcPr>
          <w:p w14:paraId="6350C912" w14:textId="40FB6D6F"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3147F04B" w14:textId="77777777" w:rsidTr="005B6D96">
        <w:tc>
          <w:tcPr>
            <w:tcW w:w="2970" w:type="pct"/>
          </w:tcPr>
          <w:p w14:paraId="4EA47569" w14:textId="73E640BA" w:rsidR="00572437" w:rsidRPr="00572437" w:rsidRDefault="00572437" w:rsidP="00572437">
            <w:pPr>
              <w:autoSpaceDE w:val="0"/>
              <w:autoSpaceDN w:val="0"/>
              <w:adjustRightInd w:val="0"/>
              <w:rPr>
                <w:rFonts w:cstheme="minorHAnsi"/>
                <w:sz w:val="20"/>
                <w:szCs w:val="20"/>
              </w:rPr>
            </w:pPr>
            <w:r w:rsidRPr="00572437">
              <w:rPr>
                <w:rFonts w:cstheme="minorHAnsi"/>
                <w:sz w:val="20"/>
                <w:szCs w:val="20"/>
              </w:rPr>
              <w:lastRenderedPageBreak/>
              <w:t>6ES7900-0AA00-0XA0 - AC IEC cable, Germany and others, 90° male to 180° female (3-pole, C13) for Germany; France; Spain; The Netherlands, Belgium, Sweden; Austria, Finland for devices with corresponding interface, length</w:t>
            </w:r>
          </w:p>
        </w:tc>
        <w:tc>
          <w:tcPr>
            <w:tcW w:w="1252" w:type="pct"/>
          </w:tcPr>
          <w:p w14:paraId="16392E97" w14:textId="7C1F39FB" w:rsidR="00572437" w:rsidRPr="00572437" w:rsidRDefault="00572437" w:rsidP="00572437">
            <w:pPr>
              <w:jc w:val="center"/>
              <w:rPr>
                <w:rFonts w:cstheme="minorHAnsi"/>
                <w:sz w:val="20"/>
                <w:szCs w:val="20"/>
              </w:rPr>
            </w:pPr>
            <w:r w:rsidRPr="00572437">
              <w:rPr>
                <w:rFonts w:cstheme="minorHAnsi"/>
                <w:sz w:val="20"/>
                <w:szCs w:val="20"/>
              </w:rPr>
              <w:t xml:space="preserve">3 </w:t>
            </w:r>
            <w:proofErr w:type="spellStart"/>
            <w:r w:rsidRPr="00572437">
              <w:rPr>
                <w:rFonts w:cstheme="minorHAnsi"/>
                <w:sz w:val="20"/>
                <w:szCs w:val="20"/>
              </w:rPr>
              <w:t>ks</w:t>
            </w:r>
            <w:proofErr w:type="spellEnd"/>
          </w:p>
        </w:tc>
        <w:tc>
          <w:tcPr>
            <w:tcW w:w="778" w:type="pct"/>
            <w:shd w:val="clear" w:color="auto" w:fill="FFFFFF" w:themeFill="background1"/>
          </w:tcPr>
          <w:p w14:paraId="2ABD0A7C" w14:textId="550044AC" w:rsidR="00572437" w:rsidRPr="00572437" w:rsidRDefault="00572437" w:rsidP="00572437">
            <w:pPr>
              <w:jc w:val="center"/>
              <w:rPr>
                <w:rFonts w:cstheme="minorHAnsi"/>
                <w:sz w:val="20"/>
                <w:szCs w:val="20"/>
              </w:rPr>
            </w:pPr>
            <w:proofErr w:type="spellStart"/>
            <w:r w:rsidRPr="00572437">
              <w:rPr>
                <w:rFonts w:cstheme="minorHAnsi"/>
                <w:sz w:val="20"/>
                <w:szCs w:val="20"/>
              </w:rPr>
              <w:t>Podmínka</w:t>
            </w:r>
            <w:proofErr w:type="spellEnd"/>
          </w:p>
        </w:tc>
      </w:tr>
      <w:tr w:rsidR="00572437" w:rsidRPr="00572437" w14:paraId="5FD67240" w14:textId="2D3EA90F" w:rsidTr="005B6D96">
        <w:tc>
          <w:tcPr>
            <w:tcW w:w="2970" w:type="pct"/>
          </w:tcPr>
          <w:p w14:paraId="13A70E7F" w14:textId="4CE79FDE" w:rsidR="00572437" w:rsidRPr="00572437" w:rsidRDefault="00572437" w:rsidP="00572437">
            <w:pPr>
              <w:jc w:val="both"/>
              <w:rPr>
                <w:rFonts w:cstheme="minorHAnsi"/>
                <w:sz w:val="20"/>
                <w:szCs w:val="20"/>
                <w:lang w:val="cs-CZ"/>
              </w:rPr>
            </w:pPr>
            <w:r w:rsidRPr="00572437">
              <w:rPr>
                <w:rFonts w:cstheme="minorHAnsi"/>
                <w:sz w:val="20"/>
                <w:szCs w:val="20"/>
              </w:rPr>
              <w:t>6GT2780-0DA10 - SIMATIC RTLS Locating Manager Basic 100 for 100 transponders</w:t>
            </w:r>
          </w:p>
        </w:tc>
        <w:tc>
          <w:tcPr>
            <w:tcW w:w="1252" w:type="pct"/>
          </w:tcPr>
          <w:p w14:paraId="0AE3CA59" w14:textId="5A05C261" w:rsidR="00572437" w:rsidRPr="00572437" w:rsidRDefault="00572437" w:rsidP="00572437">
            <w:pPr>
              <w:jc w:val="center"/>
              <w:rPr>
                <w:rFonts w:cstheme="minorHAnsi"/>
                <w:sz w:val="20"/>
                <w:szCs w:val="20"/>
                <w:lang w:val="cs-CZ"/>
              </w:rPr>
            </w:pPr>
            <w:r w:rsidRPr="00572437">
              <w:rPr>
                <w:rFonts w:cstheme="minorHAnsi"/>
                <w:sz w:val="20"/>
                <w:szCs w:val="20"/>
              </w:rPr>
              <w:t xml:space="preserve">1 </w:t>
            </w:r>
            <w:proofErr w:type="spellStart"/>
            <w:r w:rsidRPr="00572437">
              <w:rPr>
                <w:rFonts w:cstheme="minorHAnsi"/>
                <w:sz w:val="20"/>
                <w:szCs w:val="20"/>
              </w:rPr>
              <w:t>ks</w:t>
            </w:r>
            <w:proofErr w:type="spellEnd"/>
          </w:p>
        </w:tc>
        <w:tc>
          <w:tcPr>
            <w:tcW w:w="778" w:type="pct"/>
            <w:shd w:val="clear" w:color="auto" w:fill="FFFFFF" w:themeFill="background1"/>
          </w:tcPr>
          <w:p w14:paraId="57E85F0B" w14:textId="29FEDD87" w:rsidR="00572437" w:rsidRPr="00572437" w:rsidRDefault="00572437" w:rsidP="00572437">
            <w:pPr>
              <w:jc w:val="center"/>
              <w:rPr>
                <w:rFonts w:cstheme="minorHAnsi"/>
                <w:sz w:val="20"/>
                <w:szCs w:val="20"/>
                <w:lang w:val="cs-CZ"/>
              </w:rPr>
            </w:pPr>
            <w:proofErr w:type="spellStart"/>
            <w:r w:rsidRPr="00572437">
              <w:rPr>
                <w:rFonts w:cstheme="minorHAnsi"/>
                <w:sz w:val="20"/>
                <w:szCs w:val="20"/>
              </w:rPr>
              <w:t>Podmínka</w:t>
            </w:r>
            <w:proofErr w:type="spellEnd"/>
          </w:p>
        </w:tc>
      </w:tr>
      <w:tr w:rsidR="00572437" w:rsidRPr="00572437" w14:paraId="0C61F145" w14:textId="77777777" w:rsidTr="005B6D96">
        <w:tc>
          <w:tcPr>
            <w:tcW w:w="2970" w:type="pct"/>
          </w:tcPr>
          <w:p w14:paraId="579DBDD4" w14:textId="25A4C16D" w:rsidR="00572437" w:rsidRPr="00572437" w:rsidRDefault="00572437" w:rsidP="00572437">
            <w:pPr>
              <w:jc w:val="both"/>
              <w:rPr>
                <w:rFonts w:cstheme="minorHAnsi"/>
                <w:sz w:val="20"/>
                <w:szCs w:val="20"/>
              </w:rPr>
            </w:pPr>
            <w:r w:rsidRPr="00572437">
              <w:rPr>
                <w:rFonts w:cstheme="minorHAnsi"/>
                <w:sz w:val="20"/>
                <w:szCs w:val="20"/>
              </w:rPr>
              <w:t>9DE5110-8CA11-1AX0</w:t>
            </w:r>
            <w:r>
              <w:rPr>
                <w:rFonts w:cstheme="minorHAnsi"/>
                <w:sz w:val="20"/>
                <w:szCs w:val="20"/>
              </w:rPr>
              <w:t xml:space="preserve"> - </w:t>
            </w:r>
            <w:r w:rsidRPr="00572437">
              <w:rPr>
                <w:rFonts w:cstheme="minorHAnsi"/>
                <w:sz w:val="20"/>
                <w:szCs w:val="20"/>
              </w:rPr>
              <w:t>Location Intelligence Perpetual Small (up to 100 transponders)</w:t>
            </w:r>
          </w:p>
        </w:tc>
        <w:tc>
          <w:tcPr>
            <w:tcW w:w="1252" w:type="pct"/>
          </w:tcPr>
          <w:p w14:paraId="59885125" w14:textId="4FF0FDCE" w:rsidR="00572437" w:rsidRPr="00572437" w:rsidRDefault="00572437" w:rsidP="00572437">
            <w:pPr>
              <w:jc w:val="center"/>
              <w:rPr>
                <w:rFonts w:cstheme="minorHAnsi"/>
                <w:sz w:val="20"/>
                <w:szCs w:val="20"/>
              </w:rPr>
            </w:pPr>
            <w:r>
              <w:rPr>
                <w:rFonts w:cstheme="minorHAnsi"/>
                <w:sz w:val="20"/>
                <w:szCs w:val="20"/>
              </w:rPr>
              <w:t xml:space="preserve">1 </w:t>
            </w:r>
            <w:proofErr w:type="spellStart"/>
            <w:r>
              <w:rPr>
                <w:rFonts w:cstheme="minorHAnsi"/>
                <w:sz w:val="20"/>
                <w:szCs w:val="20"/>
              </w:rPr>
              <w:t>ks</w:t>
            </w:r>
            <w:proofErr w:type="spellEnd"/>
          </w:p>
        </w:tc>
        <w:tc>
          <w:tcPr>
            <w:tcW w:w="778" w:type="pct"/>
            <w:shd w:val="clear" w:color="auto" w:fill="FFFFFF" w:themeFill="background1"/>
          </w:tcPr>
          <w:p w14:paraId="5D9DDE31" w14:textId="73F4BC8A" w:rsidR="00572437" w:rsidRPr="00572437" w:rsidRDefault="00572437" w:rsidP="00572437">
            <w:pPr>
              <w:jc w:val="center"/>
              <w:rPr>
                <w:rFonts w:cstheme="minorHAnsi"/>
                <w:sz w:val="20"/>
                <w:szCs w:val="20"/>
              </w:rPr>
            </w:pPr>
            <w:proofErr w:type="spellStart"/>
            <w:r w:rsidRPr="00572437">
              <w:rPr>
                <w:rFonts w:cstheme="minorHAnsi"/>
                <w:sz w:val="20"/>
                <w:szCs w:val="20"/>
              </w:rPr>
              <w:t>Podmínka</w:t>
            </w:r>
            <w:proofErr w:type="spellEnd"/>
          </w:p>
        </w:tc>
      </w:tr>
    </w:tbl>
    <w:p w14:paraId="40E9EAC0" w14:textId="77777777" w:rsidR="00772FA9" w:rsidRPr="00D10D2A" w:rsidRDefault="00772FA9" w:rsidP="00772FA9">
      <w:pPr>
        <w:suppressAutoHyphens/>
        <w:autoSpaceDN w:val="0"/>
        <w:spacing w:after="0" w:line="240" w:lineRule="auto"/>
        <w:textAlignment w:val="baseline"/>
        <w:rPr>
          <w:rFonts w:ascii="Calibri" w:eastAsia="Times New Roman" w:hAnsi="Calibri" w:cs="Calibri"/>
          <w:color w:val="00000A"/>
          <w:kern w:val="3"/>
          <w:lang w:eastAsia="cs-CZ"/>
        </w:rPr>
      </w:pPr>
    </w:p>
    <w:p w14:paraId="0591496D" w14:textId="77777777" w:rsidR="00846224" w:rsidRPr="00AD334A" w:rsidRDefault="00846224"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sectPr w:rsidR="00846224" w:rsidRPr="00AD334A"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B60C" w14:textId="77777777" w:rsidR="00891B89" w:rsidRDefault="00891B89" w:rsidP="00832D0D">
      <w:pPr>
        <w:spacing w:after="0" w:line="240" w:lineRule="auto"/>
      </w:pPr>
      <w:r>
        <w:separator/>
      </w:r>
    </w:p>
  </w:endnote>
  <w:endnote w:type="continuationSeparator" w:id="0">
    <w:p w14:paraId="5F890349" w14:textId="77777777" w:rsidR="00891B89" w:rsidRDefault="00891B89"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BD52" w14:textId="77777777" w:rsidR="00891B89" w:rsidRDefault="00891B89" w:rsidP="00832D0D">
      <w:pPr>
        <w:spacing w:after="0" w:line="240" w:lineRule="auto"/>
      </w:pPr>
      <w:r>
        <w:separator/>
      </w:r>
    </w:p>
  </w:footnote>
  <w:footnote w:type="continuationSeparator" w:id="0">
    <w:p w14:paraId="17B078C9" w14:textId="77777777" w:rsidR="00891B89" w:rsidRDefault="00891B89"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513FB"/>
    <w:multiLevelType w:val="hybridMultilevel"/>
    <w:tmpl w:val="77AED9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9"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1"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A047A9A"/>
    <w:multiLevelType w:val="hybridMultilevel"/>
    <w:tmpl w:val="51DE3A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7"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8"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4"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2"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7"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635FEB"/>
    <w:multiLevelType w:val="multilevel"/>
    <w:tmpl w:val="77AED9D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26"/>
  </w:num>
  <w:num w:numId="3">
    <w:abstractNumId w:val="27"/>
  </w:num>
  <w:num w:numId="4">
    <w:abstractNumId w:val="8"/>
  </w:num>
  <w:num w:numId="5">
    <w:abstractNumId w:val="8"/>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6"/>
  </w:num>
  <w:num w:numId="7">
    <w:abstractNumId w:val="23"/>
  </w:num>
  <w:num w:numId="8">
    <w:abstractNumId w:val="3"/>
  </w:num>
  <w:num w:numId="9">
    <w:abstractNumId w:val="14"/>
  </w:num>
  <w:num w:numId="10">
    <w:abstractNumId w:val="19"/>
  </w:num>
  <w:num w:numId="11">
    <w:abstractNumId w:val="39"/>
  </w:num>
  <w:num w:numId="12">
    <w:abstractNumId w:val="41"/>
  </w:num>
  <w:num w:numId="13">
    <w:abstractNumId w:val="35"/>
  </w:num>
  <w:num w:numId="14">
    <w:abstractNumId w:val="33"/>
  </w:num>
  <w:num w:numId="15">
    <w:abstractNumId w:val="10"/>
  </w:num>
  <w:num w:numId="16">
    <w:abstractNumId w:val="5"/>
  </w:num>
  <w:num w:numId="17">
    <w:abstractNumId w:val="24"/>
  </w:num>
  <w:num w:numId="18">
    <w:abstractNumId w:val="17"/>
  </w:num>
  <w:num w:numId="19">
    <w:abstractNumId w:val="44"/>
  </w:num>
  <w:num w:numId="20">
    <w:abstractNumId w:val="52"/>
  </w:num>
  <w:num w:numId="21">
    <w:abstractNumId w:val="16"/>
  </w:num>
  <w:num w:numId="22">
    <w:abstractNumId w:val="38"/>
  </w:num>
  <w:num w:numId="23">
    <w:abstractNumId w:val="12"/>
  </w:num>
  <w:num w:numId="24">
    <w:abstractNumId w:val="13"/>
  </w:num>
  <w:num w:numId="25">
    <w:abstractNumId w:val="29"/>
  </w:num>
  <w:num w:numId="26">
    <w:abstractNumId w:val="18"/>
  </w:num>
  <w:num w:numId="27">
    <w:abstractNumId w:val="30"/>
  </w:num>
  <w:num w:numId="28">
    <w:abstractNumId w:val="43"/>
  </w:num>
  <w:num w:numId="29">
    <w:abstractNumId w:val="48"/>
  </w:num>
  <w:num w:numId="30">
    <w:abstractNumId w:val="51"/>
  </w:num>
  <w:num w:numId="31">
    <w:abstractNumId w:val="45"/>
  </w:num>
  <w:num w:numId="32">
    <w:abstractNumId w:val="15"/>
  </w:num>
  <w:num w:numId="33">
    <w:abstractNumId w:val="42"/>
  </w:num>
  <w:num w:numId="34">
    <w:abstractNumId w:val="20"/>
  </w:num>
  <w:num w:numId="35">
    <w:abstractNumId w:val="22"/>
  </w:num>
  <w:num w:numId="36">
    <w:abstractNumId w:val="2"/>
  </w:num>
  <w:num w:numId="37">
    <w:abstractNumId w:val="11"/>
  </w:num>
  <w:num w:numId="38">
    <w:abstractNumId w:val="28"/>
  </w:num>
  <w:num w:numId="39">
    <w:abstractNumId w:val="34"/>
  </w:num>
  <w:num w:numId="40">
    <w:abstractNumId w:val="32"/>
  </w:num>
  <w:num w:numId="41">
    <w:abstractNumId w:val="49"/>
  </w:num>
  <w:num w:numId="42">
    <w:abstractNumId w:val="47"/>
  </w:num>
  <w:num w:numId="43">
    <w:abstractNumId w:val="6"/>
  </w:num>
  <w:num w:numId="44">
    <w:abstractNumId w:val="1"/>
  </w:num>
  <w:num w:numId="45">
    <w:abstractNumId w:val="40"/>
  </w:num>
  <w:num w:numId="46">
    <w:abstractNumId w:val="21"/>
  </w:num>
  <w:num w:numId="47">
    <w:abstractNumId w:val="53"/>
  </w:num>
  <w:num w:numId="48">
    <w:abstractNumId w:val="31"/>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30"/>
    <w:lvlOverride w:ilvl="0">
      <w:startOverride w:val="1"/>
    </w:lvlOverride>
  </w:num>
  <w:num w:numId="54">
    <w:abstractNumId w:val="37"/>
  </w:num>
  <w:num w:numId="55">
    <w:abstractNumId w:val="37"/>
    <w:lvlOverride w:ilvl="0">
      <w:startOverride w:val="1"/>
    </w:lvlOverride>
  </w:num>
  <w:num w:numId="56">
    <w:abstractNumId w:val="25"/>
  </w:num>
  <w:num w:numId="57">
    <w:abstractNumId w:val="7"/>
  </w:num>
  <w:num w:numId="58">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144E7"/>
    <w:rsid w:val="000151B1"/>
    <w:rsid w:val="0001617C"/>
    <w:rsid w:val="0002032A"/>
    <w:rsid w:val="00025D2B"/>
    <w:rsid w:val="00026CEF"/>
    <w:rsid w:val="00027BA9"/>
    <w:rsid w:val="0003234E"/>
    <w:rsid w:val="00032390"/>
    <w:rsid w:val="0003346B"/>
    <w:rsid w:val="00033C22"/>
    <w:rsid w:val="0003792A"/>
    <w:rsid w:val="00042403"/>
    <w:rsid w:val="00043C1E"/>
    <w:rsid w:val="000443F9"/>
    <w:rsid w:val="00044F4D"/>
    <w:rsid w:val="000450AB"/>
    <w:rsid w:val="00045995"/>
    <w:rsid w:val="00051CE9"/>
    <w:rsid w:val="00056807"/>
    <w:rsid w:val="000603C4"/>
    <w:rsid w:val="00061089"/>
    <w:rsid w:val="00065170"/>
    <w:rsid w:val="00066D94"/>
    <w:rsid w:val="00066F32"/>
    <w:rsid w:val="00067EF1"/>
    <w:rsid w:val="00070352"/>
    <w:rsid w:val="00072B23"/>
    <w:rsid w:val="0007364F"/>
    <w:rsid w:val="000744BE"/>
    <w:rsid w:val="00091855"/>
    <w:rsid w:val="00092CA5"/>
    <w:rsid w:val="00093C53"/>
    <w:rsid w:val="000949D6"/>
    <w:rsid w:val="000A760F"/>
    <w:rsid w:val="000B24E8"/>
    <w:rsid w:val="000B3AE3"/>
    <w:rsid w:val="000B730E"/>
    <w:rsid w:val="000C1A2F"/>
    <w:rsid w:val="000C2868"/>
    <w:rsid w:val="000C3F20"/>
    <w:rsid w:val="000D2B7C"/>
    <w:rsid w:val="000E1106"/>
    <w:rsid w:val="000E414C"/>
    <w:rsid w:val="000E5F87"/>
    <w:rsid w:val="000F61B5"/>
    <w:rsid w:val="000F6F55"/>
    <w:rsid w:val="00102730"/>
    <w:rsid w:val="001112A5"/>
    <w:rsid w:val="0012098E"/>
    <w:rsid w:val="00124188"/>
    <w:rsid w:val="00126208"/>
    <w:rsid w:val="00134DCF"/>
    <w:rsid w:val="00135704"/>
    <w:rsid w:val="00136F8C"/>
    <w:rsid w:val="0013744B"/>
    <w:rsid w:val="00140FA3"/>
    <w:rsid w:val="00142E1A"/>
    <w:rsid w:val="00144E7E"/>
    <w:rsid w:val="00152CF2"/>
    <w:rsid w:val="0015528C"/>
    <w:rsid w:val="001569EC"/>
    <w:rsid w:val="00160634"/>
    <w:rsid w:val="00163748"/>
    <w:rsid w:val="00166A73"/>
    <w:rsid w:val="00167D44"/>
    <w:rsid w:val="00184837"/>
    <w:rsid w:val="00184910"/>
    <w:rsid w:val="001858AB"/>
    <w:rsid w:val="0019419A"/>
    <w:rsid w:val="001A47EF"/>
    <w:rsid w:val="001A77FE"/>
    <w:rsid w:val="001B0954"/>
    <w:rsid w:val="001B1323"/>
    <w:rsid w:val="001C082C"/>
    <w:rsid w:val="001C4CFA"/>
    <w:rsid w:val="001C60BA"/>
    <w:rsid w:val="001C6DA7"/>
    <w:rsid w:val="001C7D91"/>
    <w:rsid w:val="001E0EBE"/>
    <w:rsid w:val="001E2D66"/>
    <w:rsid w:val="001E3412"/>
    <w:rsid w:val="001E3F75"/>
    <w:rsid w:val="001E4316"/>
    <w:rsid w:val="001E5ED0"/>
    <w:rsid w:val="001E7EA0"/>
    <w:rsid w:val="001F2330"/>
    <w:rsid w:val="001F2819"/>
    <w:rsid w:val="00203BF2"/>
    <w:rsid w:val="00204AF8"/>
    <w:rsid w:val="00206F75"/>
    <w:rsid w:val="00211592"/>
    <w:rsid w:val="00215180"/>
    <w:rsid w:val="00216D6B"/>
    <w:rsid w:val="002217F8"/>
    <w:rsid w:val="002226E9"/>
    <w:rsid w:val="00224ED9"/>
    <w:rsid w:val="00232BE5"/>
    <w:rsid w:val="00235BAD"/>
    <w:rsid w:val="00240467"/>
    <w:rsid w:val="00242794"/>
    <w:rsid w:val="00244C99"/>
    <w:rsid w:val="00245614"/>
    <w:rsid w:val="002460A7"/>
    <w:rsid w:val="002507B4"/>
    <w:rsid w:val="002523A9"/>
    <w:rsid w:val="00253D5B"/>
    <w:rsid w:val="0025665A"/>
    <w:rsid w:val="00263D58"/>
    <w:rsid w:val="0027003B"/>
    <w:rsid w:val="00270203"/>
    <w:rsid w:val="00271270"/>
    <w:rsid w:val="0027325C"/>
    <w:rsid w:val="00276B26"/>
    <w:rsid w:val="0028085D"/>
    <w:rsid w:val="002815CC"/>
    <w:rsid w:val="0028563F"/>
    <w:rsid w:val="00292615"/>
    <w:rsid w:val="0029375C"/>
    <w:rsid w:val="002944E4"/>
    <w:rsid w:val="0029578C"/>
    <w:rsid w:val="002A21F9"/>
    <w:rsid w:val="002A79F2"/>
    <w:rsid w:val="002B6841"/>
    <w:rsid w:val="002D0BFB"/>
    <w:rsid w:val="002D245B"/>
    <w:rsid w:val="002D2C1A"/>
    <w:rsid w:val="002D3247"/>
    <w:rsid w:val="002E06FB"/>
    <w:rsid w:val="002E09ED"/>
    <w:rsid w:val="002E12A6"/>
    <w:rsid w:val="002E3666"/>
    <w:rsid w:val="002E44C5"/>
    <w:rsid w:val="002E44F0"/>
    <w:rsid w:val="002E562F"/>
    <w:rsid w:val="002F32A0"/>
    <w:rsid w:val="0030183C"/>
    <w:rsid w:val="003107A2"/>
    <w:rsid w:val="00310940"/>
    <w:rsid w:val="00317A8D"/>
    <w:rsid w:val="00320529"/>
    <w:rsid w:val="00320A6E"/>
    <w:rsid w:val="0032402E"/>
    <w:rsid w:val="0033463E"/>
    <w:rsid w:val="0035098C"/>
    <w:rsid w:val="003510A9"/>
    <w:rsid w:val="00352F7D"/>
    <w:rsid w:val="0035467B"/>
    <w:rsid w:val="003546D3"/>
    <w:rsid w:val="00357D94"/>
    <w:rsid w:val="0036027F"/>
    <w:rsid w:val="00362E41"/>
    <w:rsid w:val="00364BEA"/>
    <w:rsid w:val="003702B1"/>
    <w:rsid w:val="00380460"/>
    <w:rsid w:val="00380C01"/>
    <w:rsid w:val="00384371"/>
    <w:rsid w:val="00390DF9"/>
    <w:rsid w:val="003913FF"/>
    <w:rsid w:val="00396A55"/>
    <w:rsid w:val="00396F69"/>
    <w:rsid w:val="00397D7E"/>
    <w:rsid w:val="003A0768"/>
    <w:rsid w:val="003A50B5"/>
    <w:rsid w:val="003A57D8"/>
    <w:rsid w:val="003A6B95"/>
    <w:rsid w:val="003A7C4D"/>
    <w:rsid w:val="003D0243"/>
    <w:rsid w:val="003D1061"/>
    <w:rsid w:val="003D62D4"/>
    <w:rsid w:val="003F23AA"/>
    <w:rsid w:val="003F297F"/>
    <w:rsid w:val="003F781B"/>
    <w:rsid w:val="00402D43"/>
    <w:rsid w:val="0040490F"/>
    <w:rsid w:val="00405B47"/>
    <w:rsid w:val="00406509"/>
    <w:rsid w:val="00407B9B"/>
    <w:rsid w:val="00436629"/>
    <w:rsid w:val="004367EC"/>
    <w:rsid w:val="0043744F"/>
    <w:rsid w:val="00441C6E"/>
    <w:rsid w:val="00442DB8"/>
    <w:rsid w:val="0044521B"/>
    <w:rsid w:val="00452A0F"/>
    <w:rsid w:val="004530DE"/>
    <w:rsid w:val="00465624"/>
    <w:rsid w:val="00465972"/>
    <w:rsid w:val="00471B39"/>
    <w:rsid w:val="00483C89"/>
    <w:rsid w:val="00483F32"/>
    <w:rsid w:val="00484546"/>
    <w:rsid w:val="00484F6E"/>
    <w:rsid w:val="00485DC7"/>
    <w:rsid w:val="00491896"/>
    <w:rsid w:val="004946B0"/>
    <w:rsid w:val="00496855"/>
    <w:rsid w:val="004978A0"/>
    <w:rsid w:val="004A05BD"/>
    <w:rsid w:val="004A12B1"/>
    <w:rsid w:val="004B1186"/>
    <w:rsid w:val="004B531C"/>
    <w:rsid w:val="004B7339"/>
    <w:rsid w:val="004B753A"/>
    <w:rsid w:val="004B7C8B"/>
    <w:rsid w:val="004C147A"/>
    <w:rsid w:val="004C450B"/>
    <w:rsid w:val="004D20CF"/>
    <w:rsid w:val="004D3017"/>
    <w:rsid w:val="004D41EF"/>
    <w:rsid w:val="004D4F47"/>
    <w:rsid w:val="004D55A2"/>
    <w:rsid w:val="004E3A8F"/>
    <w:rsid w:val="004F24AC"/>
    <w:rsid w:val="004F7909"/>
    <w:rsid w:val="005016A7"/>
    <w:rsid w:val="00502231"/>
    <w:rsid w:val="00502350"/>
    <w:rsid w:val="00503499"/>
    <w:rsid w:val="00510818"/>
    <w:rsid w:val="00516C6E"/>
    <w:rsid w:val="00521615"/>
    <w:rsid w:val="00522DAA"/>
    <w:rsid w:val="00532E25"/>
    <w:rsid w:val="00545B5C"/>
    <w:rsid w:val="005467F0"/>
    <w:rsid w:val="0055729C"/>
    <w:rsid w:val="00561633"/>
    <w:rsid w:val="00572437"/>
    <w:rsid w:val="00576975"/>
    <w:rsid w:val="00577FE5"/>
    <w:rsid w:val="005802DB"/>
    <w:rsid w:val="00581FBE"/>
    <w:rsid w:val="00585195"/>
    <w:rsid w:val="00587CDA"/>
    <w:rsid w:val="0059212D"/>
    <w:rsid w:val="00592B30"/>
    <w:rsid w:val="00597CF3"/>
    <w:rsid w:val="005B18E0"/>
    <w:rsid w:val="005B3684"/>
    <w:rsid w:val="005B6D96"/>
    <w:rsid w:val="005C40D7"/>
    <w:rsid w:val="005C66BE"/>
    <w:rsid w:val="005C6E80"/>
    <w:rsid w:val="005D0648"/>
    <w:rsid w:val="005D62B1"/>
    <w:rsid w:val="005F1D61"/>
    <w:rsid w:val="005F437A"/>
    <w:rsid w:val="005F4627"/>
    <w:rsid w:val="005F797E"/>
    <w:rsid w:val="00602BC2"/>
    <w:rsid w:val="0060654B"/>
    <w:rsid w:val="006076D0"/>
    <w:rsid w:val="00610FDE"/>
    <w:rsid w:val="0061385B"/>
    <w:rsid w:val="00617024"/>
    <w:rsid w:val="0061708D"/>
    <w:rsid w:val="006248E3"/>
    <w:rsid w:val="00624933"/>
    <w:rsid w:val="00637182"/>
    <w:rsid w:val="00637433"/>
    <w:rsid w:val="00637FB0"/>
    <w:rsid w:val="00640CD6"/>
    <w:rsid w:val="00645A6D"/>
    <w:rsid w:val="00647A70"/>
    <w:rsid w:val="00662BA1"/>
    <w:rsid w:val="00663919"/>
    <w:rsid w:val="00670657"/>
    <w:rsid w:val="006836E2"/>
    <w:rsid w:val="00687B14"/>
    <w:rsid w:val="006949EB"/>
    <w:rsid w:val="00697FEE"/>
    <w:rsid w:val="006A05AC"/>
    <w:rsid w:val="006B1929"/>
    <w:rsid w:val="006B34E3"/>
    <w:rsid w:val="006B48D3"/>
    <w:rsid w:val="006B7623"/>
    <w:rsid w:val="006C169B"/>
    <w:rsid w:val="006C5098"/>
    <w:rsid w:val="006C6004"/>
    <w:rsid w:val="006C636C"/>
    <w:rsid w:val="006D1153"/>
    <w:rsid w:val="006D6F49"/>
    <w:rsid w:val="006E469B"/>
    <w:rsid w:val="006E7526"/>
    <w:rsid w:val="006F3943"/>
    <w:rsid w:val="006F3AC3"/>
    <w:rsid w:val="006F5FBB"/>
    <w:rsid w:val="00706E29"/>
    <w:rsid w:val="0071714B"/>
    <w:rsid w:val="00724E5B"/>
    <w:rsid w:val="0073739B"/>
    <w:rsid w:val="00752DE9"/>
    <w:rsid w:val="007607C7"/>
    <w:rsid w:val="00760CD3"/>
    <w:rsid w:val="0076243F"/>
    <w:rsid w:val="00772FA9"/>
    <w:rsid w:val="00786C38"/>
    <w:rsid w:val="00797295"/>
    <w:rsid w:val="007A2C81"/>
    <w:rsid w:val="007C5FC1"/>
    <w:rsid w:val="007D1FA6"/>
    <w:rsid w:val="007D5606"/>
    <w:rsid w:val="007D6ECC"/>
    <w:rsid w:val="007D7EF9"/>
    <w:rsid w:val="007E2AE1"/>
    <w:rsid w:val="007E3EA1"/>
    <w:rsid w:val="007F28E3"/>
    <w:rsid w:val="007F4C3F"/>
    <w:rsid w:val="007F5AF7"/>
    <w:rsid w:val="007F73D2"/>
    <w:rsid w:val="00801BE6"/>
    <w:rsid w:val="008022B4"/>
    <w:rsid w:val="00803239"/>
    <w:rsid w:val="0080418A"/>
    <w:rsid w:val="00806973"/>
    <w:rsid w:val="00810F4F"/>
    <w:rsid w:val="00811CB6"/>
    <w:rsid w:val="008217F5"/>
    <w:rsid w:val="00824617"/>
    <w:rsid w:val="0083129B"/>
    <w:rsid w:val="00832D0D"/>
    <w:rsid w:val="00834E84"/>
    <w:rsid w:val="00836B45"/>
    <w:rsid w:val="00836D47"/>
    <w:rsid w:val="008441B7"/>
    <w:rsid w:val="00846224"/>
    <w:rsid w:val="0084730E"/>
    <w:rsid w:val="00850AF7"/>
    <w:rsid w:val="008511A5"/>
    <w:rsid w:val="00852735"/>
    <w:rsid w:val="008552E0"/>
    <w:rsid w:val="00857285"/>
    <w:rsid w:val="00864E2C"/>
    <w:rsid w:val="008676C4"/>
    <w:rsid w:val="0087124F"/>
    <w:rsid w:val="00872E65"/>
    <w:rsid w:val="0088620C"/>
    <w:rsid w:val="00891B89"/>
    <w:rsid w:val="008951C4"/>
    <w:rsid w:val="008A3B61"/>
    <w:rsid w:val="008B0295"/>
    <w:rsid w:val="008B14CA"/>
    <w:rsid w:val="008B37CC"/>
    <w:rsid w:val="008B3DAB"/>
    <w:rsid w:val="008B60FE"/>
    <w:rsid w:val="008B7A13"/>
    <w:rsid w:val="008B7D92"/>
    <w:rsid w:val="008C0BC0"/>
    <w:rsid w:val="008C2CF2"/>
    <w:rsid w:val="008C306E"/>
    <w:rsid w:val="008C75C0"/>
    <w:rsid w:val="008D3A98"/>
    <w:rsid w:val="008D45A6"/>
    <w:rsid w:val="008E461A"/>
    <w:rsid w:val="00900D91"/>
    <w:rsid w:val="00901627"/>
    <w:rsid w:val="00901716"/>
    <w:rsid w:val="00903BDF"/>
    <w:rsid w:val="00903C56"/>
    <w:rsid w:val="00904736"/>
    <w:rsid w:val="00906F1E"/>
    <w:rsid w:val="009076DB"/>
    <w:rsid w:val="00914DC5"/>
    <w:rsid w:val="00916B0F"/>
    <w:rsid w:val="00923362"/>
    <w:rsid w:val="009268CF"/>
    <w:rsid w:val="009269D5"/>
    <w:rsid w:val="00932604"/>
    <w:rsid w:val="00933216"/>
    <w:rsid w:val="00935D15"/>
    <w:rsid w:val="009405DD"/>
    <w:rsid w:val="00940A18"/>
    <w:rsid w:val="00940EBA"/>
    <w:rsid w:val="00942E70"/>
    <w:rsid w:val="00952711"/>
    <w:rsid w:val="00960CBB"/>
    <w:rsid w:val="00962059"/>
    <w:rsid w:val="00967451"/>
    <w:rsid w:val="00976026"/>
    <w:rsid w:val="00986520"/>
    <w:rsid w:val="009879E2"/>
    <w:rsid w:val="00993707"/>
    <w:rsid w:val="00994559"/>
    <w:rsid w:val="00996F9A"/>
    <w:rsid w:val="0099749C"/>
    <w:rsid w:val="009A0705"/>
    <w:rsid w:val="009A24A0"/>
    <w:rsid w:val="009A27F1"/>
    <w:rsid w:val="009A280F"/>
    <w:rsid w:val="009A312F"/>
    <w:rsid w:val="009A37AD"/>
    <w:rsid w:val="009C39FF"/>
    <w:rsid w:val="009D2F44"/>
    <w:rsid w:val="009D56E9"/>
    <w:rsid w:val="009E1BFA"/>
    <w:rsid w:val="009E7D5E"/>
    <w:rsid w:val="009F0997"/>
    <w:rsid w:val="009F29A3"/>
    <w:rsid w:val="009F6614"/>
    <w:rsid w:val="009F6EC9"/>
    <w:rsid w:val="00A057A1"/>
    <w:rsid w:val="00A0760F"/>
    <w:rsid w:val="00A12B1B"/>
    <w:rsid w:val="00A22409"/>
    <w:rsid w:val="00A23921"/>
    <w:rsid w:val="00A23999"/>
    <w:rsid w:val="00A25429"/>
    <w:rsid w:val="00A27202"/>
    <w:rsid w:val="00A33F54"/>
    <w:rsid w:val="00A3695F"/>
    <w:rsid w:val="00A37B2C"/>
    <w:rsid w:val="00A50215"/>
    <w:rsid w:val="00A534AA"/>
    <w:rsid w:val="00A63AE7"/>
    <w:rsid w:val="00A65D46"/>
    <w:rsid w:val="00A8335F"/>
    <w:rsid w:val="00A84E7A"/>
    <w:rsid w:val="00A96EC1"/>
    <w:rsid w:val="00AA26F7"/>
    <w:rsid w:val="00AA6528"/>
    <w:rsid w:val="00AA7094"/>
    <w:rsid w:val="00AA747C"/>
    <w:rsid w:val="00AB2C7C"/>
    <w:rsid w:val="00AB7EA2"/>
    <w:rsid w:val="00AC2464"/>
    <w:rsid w:val="00AC3BD5"/>
    <w:rsid w:val="00AD25A7"/>
    <w:rsid w:val="00AD2B66"/>
    <w:rsid w:val="00AD334A"/>
    <w:rsid w:val="00AD5F08"/>
    <w:rsid w:val="00AE0141"/>
    <w:rsid w:val="00AE5383"/>
    <w:rsid w:val="00AE7B84"/>
    <w:rsid w:val="00AF0CF0"/>
    <w:rsid w:val="00B011D1"/>
    <w:rsid w:val="00B05582"/>
    <w:rsid w:val="00B0756C"/>
    <w:rsid w:val="00B075A6"/>
    <w:rsid w:val="00B14966"/>
    <w:rsid w:val="00B14D84"/>
    <w:rsid w:val="00B16213"/>
    <w:rsid w:val="00B213EB"/>
    <w:rsid w:val="00B21FBC"/>
    <w:rsid w:val="00B43A85"/>
    <w:rsid w:val="00B44A61"/>
    <w:rsid w:val="00B53CFA"/>
    <w:rsid w:val="00B609C0"/>
    <w:rsid w:val="00B62FBC"/>
    <w:rsid w:val="00B80F63"/>
    <w:rsid w:val="00B86BEB"/>
    <w:rsid w:val="00BA0001"/>
    <w:rsid w:val="00BA1236"/>
    <w:rsid w:val="00BA1E96"/>
    <w:rsid w:val="00BA2108"/>
    <w:rsid w:val="00BA230B"/>
    <w:rsid w:val="00BA33E6"/>
    <w:rsid w:val="00BA4457"/>
    <w:rsid w:val="00BA4E47"/>
    <w:rsid w:val="00BB5F5F"/>
    <w:rsid w:val="00BC0679"/>
    <w:rsid w:val="00BC40C4"/>
    <w:rsid w:val="00BC6128"/>
    <w:rsid w:val="00BE1102"/>
    <w:rsid w:val="00BE1D2F"/>
    <w:rsid w:val="00BE7AE5"/>
    <w:rsid w:val="00BF2E8A"/>
    <w:rsid w:val="00BF32F3"/>
    <w:rsid w:val="00C021B6"/>
    <w:rsid w:val="00C06115"/>
    <w:rsid w:val="00C1076F"/>
    <w:rsid w:val="00C12F26"/>
    <w:rsid w:val="00C15599"/>
    <w:rsid w:val="00C17037"/>
    <w:rsid w:val="00C1790B"/>
    <w:rsid w:val="00C262E7"/>
    <w:rsid w:val="00C26BBD"/>
    <w:rsid w:val="00C3062C"/>
    <w:rsid w:val="00C36387"/>
    <w:rsid w:val="00C3778F"/>
    <w:rsid w:val="00C43CD6"/>
    <w:rsid w:val="00C46C71"/>
    <w:rsid w:val="00C473AF"/>
    <w:rsid w:val="00C50214"/>
    <w:rsid w:val="00C54247"/>
    <w:rsid w:val="00C548AF"/>
    <w:rsid w:val="00C55BE8"/>
    <w:rsid w:val="00C55EAB"/>
    <w:rsid w:val="00C60B58"/>
    <w:rsid w:val="00C632C4"/>
    <w:rsid w:val="00C6542F"/>
    <w:rsid w:val="00C74B3D"/>
    <w:rsid w:val="00C750E3"/>
    <w:rsid w:val="00C76BD6"/>
    <w:rsid w:val="00C77EC8"/>
    <w:rsid w:val="00C81DFD"/>
    <w:rsid w:val="00C84E59"/>
    <w:rsid w:val="00C92D58"/>
    <w:rsid w:val="00C968A7"/>
    <w:rsid w:val="00CA091E"/>
    <w:rsid w:val="00CA1E3A"/>
    <w:rsid w:val="00CA408D"/>
    <w:rsid w:val="00CA4D0E"/>
    <w:rsid w:val="00CA767D"/>
    <w:rsid w:val="00CB1FE3"/>
    <w:rsid w:val="00CB2082"/>
    <w:rsid w:val="00CB2357"/>
    <w:rsid w:val="00CB2E61"/>
    <w:rsid w:val="00CB3A31"/>
    <w:rsid w:val="00CB55E9"/>
    <w:rsid w:val="00CB7D03"/>
    <w:rsid w:val="00CC090D"/>
    <w:rsid w:val="00CC30AD"/>
    <w:rsid w:val="00CC4F3D"/>
    <w:rsid w:val="00CD4E9F"/>
    <w:rsid w:val="00CD5FEE"/>
    <w:rsid w:val="00CE0604"/>
    <w:rsid w:val="00CE1D19"/>
    <w:rsid w:val="00CE3C72"/>
    <w:rsid w:val="00CE4929"/>
    <w:rsid w:val="00CE59A0"/>
    <w:rsid w:val="00CF2EEB"/>
    <w:rsid w:val="00CF4D9E"/>
    <w:rsid w:val="00D00EED"/>
    <w:rsid w:val="00D01E73"/>
    <w:rsid w:val="00D025F4"/>
    <w:rsid w:val="00D02D8B"/>
    <w:rsid w:val="00D02DB5"/>
    <w:rsid w:val="00D033C4"/>
    <w:rsid w:val="00D102E6"/>
    <w:rsid w:val="00D10D2A"/>
    <w:rsid w:val="00D12D2A"/>
    <w:rsid w:val="00D14B34"/>
    <w:rsid w:val="00D2017B"/>
    <w:rsid w:val="00D22D01"/>
    <w:rsid w:val="00D24521"/>
    <w:rsid w:val="00D33315"/>
    <w:rsid w:val="00D348A6"/>
    <w:rsid w:val="00D35414"/>
    <w:rsid w:val="00D41330"/>
    <w:rsid w:val="00D42CB9"/>
    <w:rsid w:val="00D45BF8"/>
    <w:rsid w:val="00D50899"/>
    <w:rsid w:val="00D53392"/>
    <w:rsid w:val="00D574F6"/>
    <w:rsid w:val="00D6019F"/>
    <w:rsid w:val="00D60E45"/>
    <w:rsid w:val="00D620CE"/>
    <w:rsid w:val="00D67D86"/>
    <w:rsid w:val="00D71141"/>
    <w:rsid w:val="00D72159"/>
    <w:rsid w:val="00D72754"/>
    <w:rsid w:val="00D72A94"/>
    <w:rsid w:val="00D751A6"/>
    <w:rsid w:val="00D820AF"/>
    <w:rsid w:val="00D858C5"/>
    <w:rsid w:val="00D86E38"/>
    <w:rsid w:val="00D87439"/>
    <w:rsid w:val="00D91913"/>
    <w:rsid w:val="00D963BD"/>
    <w:rsid w:val="00DA6D69"/>
    <w:rsid w:val="00DB26C3"/>
    <w:rsid w:val="00DD39F1"/>
    <w:rsid w:val="00DD7175"/>
    <w:rsid w:val="00DE5887"/>
    <w:rsid w:val="00DE68E1"/>
    <w:rsid w:val="00DF5E2C"/>
    <w:rsid w:val="00DF6642"/>
    <w:rsid w:val="00E01D47"/>
    <w:rsid w:val="00E07125"/>
    <w:rsid w:val="00E11B4D"/>
    <w:rsid w:val="00E1427B"/>
    <w:rsid w:val="00E15AD8"/>
    <w:rsid w:val="00E15DAF"/>
    <w:rsid w:val="00E20D07"/>
    <w:rsid w:val="00E24327"/>
    <w:rsid w:val="00E26B33"/>
    <w:rsid w:val="00E27281"/>
    <w:rsid w:val="00E275B9"/>
    <w:rsid w:val="00E27B1C"/>
    <w:rsid w:val="00E36ACD"/>
    <w:rsid w:val="00E408E3"/>
    <w:rsid w:val="00E40C0C"/>
    <w:rsid w:val="00E4278D"/>
    <w:rsid w:val="00E5175B"/>
    <w:rsid w:val="00E54F82"/>
    <w:rsid w:val="00E5638A"/>
    <w:rsid w:val="00E624AE"/>
    <w:rsid w:val="00E66A19"/>
    <w:rsid w:val="00E776AC"/>
    <w:rsid w:val="00E806A8"/>
    <w:rsid w:val="00E918D3"/>
    <w:rsid w:val="00E93C15"/>
    <w:rsid w:val="00EA10AA"/>
    <w:rsid w:val="00EA4926"/>
    <w:rsid w:val="00EA49A8"/>
    <w:rsid w:val="00EA5974"/>
    <w:rsid w:val="00EA67B2"/>
    <w:rsid w:val="00EB2392"/>
    <w:rsid w:val="00EC0401"/>
    <w:rsid w:val="00EC6F47"/>
    <w:rsid w:val="00EC7A56"/>
    <w:rsid w:val="00ED1F77"/>
    <w:rsid w:val="00ED1FD3"/>
    <w:rsid w:val="00EE7362"/>
    <w:rsid w:val="00EF00CA"/>
    <w:rsid w:val="00EF4D9A"/>
    <w:rsid w:val="00F05968"/>
    <w:rsid w:val="00F11C83"/>
    <w:rsid w:val="00F12A24"/>
    <w:rsid w:val="00F12BF0"/>
    <w:rsid w:val="00F25C24"/>
    <w:rsid w:val="00F31EEB"/>
    <w:rsid w:val="00F3685E"/>
    <w:rsid w:val="00F40462"/>
    <w:rsid w:val="00F41552"/>
    <w:rsid w:val="00F44188"/>
    <w:rsid w:val="00F44D4C"/>
    <w:rsid w:val="00F51468"/>
    <w:rsid w:val="00F53342"/>
    <w:rsid w:val="00F565E2"/>
    <w:rsid w:val="00F66B04"/>
    <w:rsid w:val="00F672B1"/>
    <w:rsid w:val="00F67970"/>
    <w:rsid w:val="00F72221"/>
    <w:rsid w:val="00F72F22"/>
    <w:rsid w:val="00F740D3"/>
    <w:rsid w:val="00F74476"/>
    <w:rsid w:val="00F81C16"/>
    <w:rsid w:val="00F82508"/>
    <w:rsid w:val="00F901D4"/>
    <w:rsid w:val="00F922C4"/>
    <w:rsid w:val="00F93CE8"/>
    <w:rsid w:val="00F96270"/>
    <w:rsid w:val="00FA4911"/>
    <w:rsid w:val="00FC1666"/>
    <w:rsid w:val="00FC1727"/>
    <w:rsid w:val="00FC7FE7"/>
    <w:rsid w:val="00FD0A8B"/>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customStyle="1" w:styleId="paragraph">
    <w:name w:val="paragraph"/>
    <w:basedOn w:val="Normln"/>
    <w:rsid w:val="00F901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901D4"/>
  </w:style>
  <w:style w:type="character" w:customStyle="1" w:styleId="spellingerror">
    <w:name w:val="spellingerror"/>
    <w:basedOn w:val="Standardnpsmoodstavce"/>
    <w:rsid w:val="00F901D4"/>
  </w:style>
  <w:style w:type="character" w:customStyle="1" w:styleId="eop">
    <w:name w:val="eop"/>
    <w:basedOn w:val="Standardnpsmoodstavce"/>
    <w:rsid w:val="00F901D4"/>
  </w:style>
  <w:style w:type="paragraph" w:customStyle="1" w:styleId="Standard">
    <w:name w:val="Standard"/>
    <w:rsid w:val="00F901D4"/>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numbering" w:customStyle="1" w:styleId="CurrentList1">
    <w:name w:val="Current List1"/>
    <w:uiPriority w:val="99"/>
    <w:rsid w:val="00135704"/>
    <w:pPr>
      <w:numPr>
        <w:numId w:val="58"/>
      </w:numPr>
    </w:pPr>
  </w:style>
  <w:style w:type="character" w:styleId="Nevyeenzmnka">
    <w:name w:val="Unresolved Mention"/>
    <w:basedOn w:val="Standardnpsmoodstavce"/>
    <w:uiPriority w:val="99"/>
    <w:semiHidden/>
    <w:unhideWhenUsed/>
    <w:rsid w:val="00DD3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AFC0-86DD-48A6-AA70-E7D6D08A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3763</Words>
  <Characters>22204</Characters>
  <Application>Microsoft Office Word</Application>
  <DocSecurity>0</DocSecurity>
  <Lines>185</Lines>
  <Paragraphs>51</Paragraphs>
  <ScaleCrop>false</ScaleCrop>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2022-02-25T10:17:00Z</dcterms:created>
  <dcterms:modified xsi:type="dcterms:W3CDTF">2022-02-25T10:17:00Z</dcterms:modified>
</cp:coreProperties>
</file>