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679" w14:textId="1EC7B6E3" w:rsidR="00F93F0D" w:rsidRPr="00F93F0D" w:rsidRDefault="00F93F0D" w:rsidP="00F93F0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F0D">
        <w:rPr>
          <w:rFonts w:asciiTheme="minorHAnsi" w:hAnsiTheme="minorHAnsi" w:cstheme="minorHAnsi"/>
          <w:b/>
          <w:bCs/>
          <w:sz w:val="22"/>
          <w:szCs w:val="22"/>
        </w:rPr>
        <w:t>Dodatek č.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030C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3F0D">
        <w:rPr>
          <w:rFonts w:asciiTheme="minorHAnsi" w:hAnsiTheme="minorHAnsi" w:cstheme="minorHAnsi"/>
          <w:b/>
          <w:bCs/>
          <w:sz w:val="22"/>
          <w:szCs w:val="22"/>
        </w:rPr>
        <w:t xml:space="preserve">ke smlouvě o </w:t>
      </w:r>
      <w:r w:rsidR="002D7294">
        <w:rPr>
          <w:rFonts w:asciiTheme="minorHAnsi" w:hAnsiTheme="minorHAnsi" w:cstheme="minorHAnsi"/>
          <w:b/>
          <w:bCs/>
          <w:sz w:val="22"/>
          <w:szCs w:val="22"/>
        </w:rPr>
        <w:t>poskytnutí služby</w:t>
      </w:r>
      <w:r w:rsidRPr="00F93F0D">
        <w:rPr>
          <w:rFonts w:asciiTheme="minorHAnsi" w:hAnsiTheme="minorHAnsi" w:cstheme="minorHAnsi"/>
          <w:b/>
          <w:bCs/>
          <w:sz w:val="22"/>
          <w:szCs w:val="22"/>
        </w:rPr>
        <w:t xml:space="preserve"> č. SML/</w:t>
      </w:r>
      <w:r w:rsidR="002D7294">
        <w:rPr>
          <w:rFonts w:asciiTheme="minorHAnsi" w:hAnsiTheme="minorHAnsi" w:cstheme="minorHAnsi"/>
          <w:b/>
          <w:bCs/>
          <w:sz w:val="22"/>
          <w:szCs w:val="22"/>
        </w:rPr>
        <w:t>9731</w:t>
      </w:r>
      <w:r w:rsidR="00D6030C" w:rsidRPr="00D6030C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0172BEB7" w14:textId="2EC63BFC" w:rsidR="00F93F0D" w:rsidRPr="00F93F0D" w:rsidRDefault="00F93F0D" w:rsidP="00F93F0D">
      <w:pPr>
        <w:jc w:val="center"/>
        <w:rPr>
          <w:rFonts w:asciiTheme="minorHAnsi" w:hAnsiTheme="minorHAnsi" w:cstheme="minorHAnsi"/>
          <w:sz w:val="22"/>
          <w:szCs w:val="22"/>
        </w:rPr>
      </w:pPr>
      <w:r w:rsidRPr="00F93F0D">
        <w:rPr>
          <w:rFonts w:asciiTheme="minorHAnsi" w:hAnsiTheme="minorHAnsi" w:cstheme="minorHAnsi"/>
          <w:sz w:val="22"/>
          <w:szCs w:val="22"/>
        </w:rPr>
        <w:t xml:space="preserve">uzavřené podle § </w:t>
      </w:r>
      <w:r w:rsidR="002D7294">
        <w:rPr>
          <w:rFonts w:asciiTheme="minorHAnsi" w:hAnsiTheme="minorHAnsi" w:cstheme="minorHAnsi"/>
          <w:sz w:val="22"/>
          <w:szCs w:val="22"/>
        </w:rPr>
        <w:t>1746</w:t>
      </w:r>
      <w:r w:rsidRPr="00F93F0D">
        <w:rPr>
          <w:rFonts w:asciiTheme="minorHAnsi" w:hAnsiTheme="minorHAnsi" w:cstheme="minorHAnsi"/>
          <w:sz w:val="22"/>
          <w:szCs w:val="22"/>
        </w:rPr>
        <w:t xml:space="preserve"> a násl. zákona č. 89/2012 Sb., občanský zákoník.</w:t>
      </w:r>
    </w:p>
    <w:p w14:paraId="536A54D6" w14:textId="77777777" w:rsidR="00F93F0D" w:rsidRDefault="00F93F0D" w:rsidP="003147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5EA819" w14:textId="77777777" w:rsidR="00D61188" w:rsidRPr="00AB576F" w:rsidRDefault="00D61188" w:rsidP="00D611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B576F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4E05B647" w14:textId="28358F82" w:rsidR="00B27125" w:rsidRPr="00B27125" w:rsidRDefault="00B27125" w:rsidP="00B271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>Autoklub České republiky</w:t>
      </w:r>
    </w:p>
    <w:p w14:paraId="4C2E9FFA" w14:textId="738E91ED" w:rsidR="00B27125" w:rsidRPr="00B27125" w:rsidRDefault="00B27125" w:rsidP="00B27125">
      <w:pPr>
        <w:rPr>
          <w:rFonts w:asciiTheme="minorHAnsi" w:hAnsiTheme="minorHAnsi" w:cstheme="minorHAnsi"/>
          <w:sz w:val="22"/>
          <w:szCs w:val="22"/>
        </w:rPr>
      </w:pPr>
      <w:r w:rsidRPr="00B2712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>Opletalova 1337/29, 110 00 Praha 1 – Nové Město</w:t>
      </w:r>
      <w:r w:rsidRPr="00B27125">
        <w:rPr>
          <w:rFonts w:asciiTheme="minorHAnsi" w:hAnsiTheme="minorHAnsi" w:cstheme="minorHAnsi"/>
          <w:sz w:val="22"/>
          <w:szCs w:val="22"/>
        </w:rPr>
        <w:br/>
        <w:t>IČ:</w:t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>00550264</w:t>
      </w:r>
      <w:r w:rsidRPr="00B27125">
        <w:rPr>
          <w:rFonts w:asciiTheme="minorHAnsi" w:hAnsiTheme="minorHAnsi" w:cstheme="minorHAnsi"/>
          <w:sz w:val="22"/>
          <w:szCs w:val="22"/>
        </w:rPr>
        <w:br/>
        <w:t>DIČ:</w:t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>CZ00550264</w:t>
      </w:r>
      <w:r w:rsidRPr="00B27125">
        <w:rPr>
          <w:rFonts w:asciiTheme="minorHAnsi" w:hAnsiTheme="minorHAnsi" w:cstheme="minorHAnsi"/>
          <w:sz w:val="22"/>
          <w:szCs w:val="22"/>
        </w:rPr>
        <w:br/>
        <w:t xml:space="preserve">Zapsaný ve spolkovém rejstříku vedeném Městským soudem v Praze, oddíl L, vložka č. 1219 </w:t>
      </w:r>
      <w:r w:rsidRPr="00B27125">
        <w:rPr>
          <w:rFonts w:asciiTheme="minorHAnsi" w:hAnsiTheme="minorHAnsi" w:cstheme="minorHAnsi"/>
          <w:sz w:val="22"/>
          <w:szCs w:val="22"/>
        </w:rPr>
        <w:br/>
        <w:t xml:space="preserve">bankovní </w:t>
      </w:r>
      <w:proofErr w:type="gramStart"/>
      <w:r w:rsidRPr="00B27125">
        <w:rPr>
          <w:rFonts w:asciiTheme="minorHAnsi" w:hAnsiTheme="minorHAnsi" w:cstheme="minorHAnsi"/>
          <w:sz w:val="22"/>
          <w:szCs w:val="22"/>
        </w:rPr>
        <w:t xml:space="preserve">spojení:   </w:t>
      </w:r>
      <w:proofErr w:type="gramEnd"/>
      <w:r w:rsidRPr="00B2712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27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 xml:space="preserve">Komerční banka a.s., </w:t>
      </w:r>
      <w:proofErr w:type="spellStart"/>
      <w:r w:rsidRPr="00B27125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B27125">
        <w:rPr>
          <w:rFonts w:asciiTheme="minorHAnsi" w:hAnsiTheme="minorHAnsi" w:cstheme="minorHAnsi"/>
          <w:sz w:val="22"/>
          <w:szCs w:val="22"/>
        </w:rPr>
        <w:t>.: 64531011/0100</w:t>
      </w:r>
      <w:r w:rsidRPr="00B27125">
        <w:rPr>
          <w:rFonts w:asciiTheme="minorHAnsi" w:hAnsiTheme="minorHAnsi" w:cstheme="minorHAnsi"/>
          <w:sz w:val="22"/>
          <w:szCs w:val="22"/>
        </w:rPr>
        <w:br/>
        <w:t xml:space="preserve">zastoupení: </w:t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>JUDr., Jan Šťovíček, Ph.D., prezident</w:t>
      </w:r>
    </w:p>
    <w:p w14:paraId="33BC2006" w14:textId="6D3A60C1" w:rsidR="00B27125" w:rsidRPr="00B27125" w:rsidRDefault="00B27125" w:rsidP="00B27125">
      <w:pPr>
        <w:rPr>
          <w:rFonts w:asciiTheme="minorHAnsi" w:hAnsiTheme="minorHAnsi" w:cstheme="minorHAnsi"/>
          <w:sz w:val="22"/>
          <w:szCs w:val="22"/>
        </w:rPr>
      </w:pPr>
      <w:r w:rsidRPr="00B27125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Pr="00B27125">
        <w:rPr>
          <w:rFonts w:asciiTheme="minorHAnsi" w:hAnsiTheme="minorHAnsi" w:cstheme="minorHAnsi"/>
          <w:sz w:val="22"/>
          <w:szCs w:val="22"/>
        </w:rPr>
        <w:tab/>
      </w:r>
      <w:r w:rsidRPr="00B271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7197B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B27125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 w:rsidR="00C7197B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Pr="00B27125">
        <w:rPr>
          <w:rFonts w:asciiTheme="minorHAnsi" w:hAnsiTheme="minorHAnsi" w:cstheme="minorHAnsi"/>
          <w:sz w:val="22"/>
          <w:szCs w:val="22"/>
        </w:rPr>
        <w:t>, e-mail: </w:t>
      </w:r>
      <w:proofErr w:type="spellStart"/>
      <w:r w:rsidR="00C7197B">
        <w:fldChar w:fldCharType="begin"/>
      </w:r>
      <w:r w:rsidR="00C7197B">
        <w:instrText xml:space="preserve"> HYPERLINK "mailto:budina@autoklub.cz" </w:instrText>
      </w:r>
      <w:r w:rsidR="00C7197B">
        <w:fldChar w:fldCharType="separate"/>
      </w:r>
      <w:r w:rsidR="00C7197B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C7197B">
        <w:rPr>
          <w:rFonts w:asciiTheme="minorHAnsi" w:hAnsiTheme="minorHAnsi" w:cstheme="minorHAnsi"/>
          <w:sz w:val="22"/>
          <w:szCs w:val="22"/>
        </w:rPr>
        <w:fldChar w:fldCharType="end"/>
      </w:r>
      <w:r w:rsidRPr="00B2712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32556BA" w14:textId="6AFAAAC1" w:rsidR="00B27125" w:rsidRPr="00B27125" w:rsidRDefault="00B27125" w:rsidP="00B27125">
      <w:pPr>
        <w:rPr>
          <w:rFonts w:asciiTheme="minorHAnsi" w:hAnsiTheme="minorHAnsi" w:cstheme="minorHAnsi"/>
          <w:sz w:val="22"/>
          <w:szCs w:val="22"/>
        </w:rPr>
      </w:pPr>
      <w:r w:rsidRPr="00B27125">
        <w:rPr>
          <w:rFonts w:asciiTheme="minorHAnsi" w:hAnsiTheme="minorHAnsi" w:cstheme="minorHAnsi"/>
          <w:sz w:val="22"/>
          <w:szCs w:val="22"/>
        </w:rPr>
        <w:t>(dále též „</w:t>
      </w:r>
      <w:r w:rsidR="00A35121">
        <w:rPr>
          <w:rFonts w:asciiTheme="minorHAnsi" w:hAnsiTheme="minorHAnsi" w:cstheme="minorHAnsi"/>
          <w:sz w:val="22"/>
          <w:szCs w:val="22"/>
        </w:rPr>
        <w:t>O</w:t>
      </w:r>
      <w:r w:rsidRPr="00B27125">
        <w:rPr>
          <w:rFonts w:asciiTheme="minorHAnsi" w:hAnsiTheme="minorHAnsi" w:cstheme="minorHAnsi"/>
          <w:sz w:val="22"/>
          <w:szCs w:val="22"/>
        </w:rPr>
        <w:t xml:space="preserve">bjednatel“) </w:t>
      </w:r>
    </w:p>
    <w:p w14:paraId="691DDADE" w14:textId="77777777" w:rsidR="00D61188" w:rsidRPr="00AB576F" w:rsidRDefault="00D61188" w:rsidP="00D61188">
      <w:pPr>
        <w:rPr>
          <w:rFonts w:asciiTheme="minorHAnsi" w:hAnsiTheme="minorHAnsi" w:cstheme="minorHAnsi"/>
          <w:sz w:val="22"/>
          <w:szCs w:val="22"/>
        </w:rPr>
      </w:pPr>
    </w:p>
    <w:p w14:paraId="5B2C9863" w14:textId="1083F078" w:rsidR="002D7294" w:rsidRPr="00AB576F" w:rsidRDefault="0064466B" w:rsidP="002D72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Poskytovatel:</w:t>
      </w:r>
      <w:r w:rsidR="00D61188" w:rsidRPr="00AB576F">
        <w:rPr>
          <w:rFonts w:asciiTheme="minorHAnsi" w:hAnsiTheme="minorHAnsi" w:cstheme="minorHAnsi"/>
          <w:sz w:val="22"/>
          <w:szCs w:val="22"/>
        </w:rPr>
        <w:tab/>
      </w:r>
      <w:r w:rsidR="00D61188" w:rsidRPr="00AB576F">
        <w:rPr>
          <w:rFonts w:asciiTheme="minorHAnsi" w:hAnsiTheme="minorHAnsi" w:cstheme="minorHAnsi"/>
          <w:b/>
          <w:sz w:val="22"/>
          <w:szCs w:val="22"/>
        </w:rPr>
        <w:tab/>
      </w:r>
      <w:r w:rsidR="00D61188" w:rsidRPr="00AB576F">
        <w:rPr>
          <w:rFonts w:asciiTheme="minorHAnsi" w:hAnsiTheme="minorHAnsi" w:cstheme="minorHAnsi"/>
          <w:b/>
          <w:sz w:val="22"/>
          <w:szCs w:val="22"/>
        </w:rPr>
        <w:tab/>
      </w:r>
      <w:r w:rsidR="00D61188" w:rsidRPr="00AB576F">
        <w:rPr>
          <w:rFonts w:asciiTheme="minorHAnsi" w:hAnsiTheme="minorHAnsi" w:cstheme="minorHAnsi"/>
          <w:b/>
          <w:sz w:val="22"/>
          <w:szCs w:val="22"/>
        </w:rPr>
        <w:tab/>
      </w:r>
      <w:r w:rsidR="002D7294" w:rsidRPr="00AB576F">
        <w:rPr>
          <w:rFonts w:asciiTheme="minorHAnsi" w:hAnsiTheme="minorHAnsi" w:cstheme="minorHAnsi"/>
          <w:b/>
          <w:sz w:val="22"/>
          <w:szCs w:val="22"/>
        </w:rPr>
        <w:t xml:space="preserve">Centrum dopravního výzkumu, </w:t>
      </w:r>
      <w:proofErr w:type="spellStart"/>
      <w:r w:rsidR="002D7294" w:rsidRPr="00AB576F"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 w:rsidR="002D7294" w:rsidRPr="00AB576F">
        <w:rPr>
          <w:rFonts w:asciiTheme="minorHAnsi" w:hAnsiTheme="minorHAnsi" w:cstheme="minorHAnsi"/>
          <w:b/>
          <w:sz w:val="22"/>
          <w:szCs w:val="22"/>
        </w:rPr>
        <w:t>.</w:t>
      </w:r>
    </w:p>
    <w:p w14:paraId="58DF00AE" w14:textId="77777777" w:rsidR="002D7294" w:rsidRPr="00AB576F" w:rsidRDefault="002D7294" w:rsidP="002D7294">
      <w:pPr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Sídlo/místo podnikání: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>Líšeňská 2657/</w:t>
      </w:r>
      <w:proofErr w:type="gramStart"/>
      <w:r w:rsidRPr="00AB576F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AB576F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7E29F091" w14:textId="77777777" w:rsidR="002D7294" w:rsidRPr="00AB576F" w:rsidRDefault="002D7294" w:rsidP="002D7294">
      <w:pPr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IČ: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29FEF751" w14:textId="77777777" w:rsidR="002D7294" w:rsidRPr="00AB576F" w:rsidRDefault="002D7294" w:rsidP="002D7294">
      <w:pPr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DIČ: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3562B605" w14:textId="77777777" w:rsidR="002D7294" w:rsidRPr="00AB576F" w:rsidRDefault="002D7294" w:rsidP="002D7294">
      <w:pPr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Jednající osoba: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>Ing. Jindřich Frič, Ph.D., ředitel</w:t>
      </w:r>
    </w:p>
    <w:p w14:paraId="26ED9E42" w14:textId="38241F1A" w:rsidR="002D7294" w:rsidRPr="00AB576F" w:rsidRDefault="002D7294" w:rsidP="002D7294">
      <w:pPr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2D7294">
        <w:rPr>
          <w:rFonts w:asciiTheme="minorHAnsi" w:hAnsiTheme="minorHAnsi" w:cstheme="minorHAnsi"/>
          <w:sz w:val="22"/>
          <w:szCs w:val="22"/>
        </w:rPr>
        <w:tab/>
      </w:r>
      <w:r w:rsidRPr="002D7294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="00C7197B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Pr="002D72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DD058C" w14:textId="414918E9" w:rsidR="002D7294" w:rsidRPr="00AB576F" w:rsidRDefault="002D7294" w:rsidP="002D7294">
      <w:pPr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Email: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7197B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14:paraId="6AEE915C" w14:textId="11B0E499" w:rsidR="00D61188" w:rsidRPr="00AB576F" w:rsidRDefault="00D61188" w:rsidP="002D7294">
      <w:pPr>
        <w:rPr>
          <w:rFonts w:asciiTheme="minorHAnsi" w:hAnsiTheme="minorHAnsi" w:cstheme="minorHAnsi"/>
          <w:bCs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AB576F">
        <w:rPr>
          <w:rFonts w:asciiTheme="minorHAnsi" w:hAnsiTheme="minorHAnsi" w:cstheme="minorHAnsi"/>
          <w:bCs/>
          <w:sz w:val="22"/>
          <w:szCs w:val="22"/>
        </w:rPr>
        <w:t>„</w:t>
      </w:r>
      <w:r w:rsidR="00A35121">
        <w:rPr>
          <w:rFonts w:asciiTheme="minorHAnsi" w:hAnsiTheme="minorHAnsi" w:cstheme="minorHAnsi"/>
          <w:bCs/>
          <w:sz w:val="22"/>
          <w:szCs w:val="22"/>
        </w:rPr>
        <w:t>P</w:t>
      </w:r>
      <w:r w:rsidR="006B5C4B">
        <w:rPr>
          <w:rFonts w:asciiTheme="minorHAnsi" w:hAnsiTheme="minorHAnsi" w:cstheme="minorHAnsi"/>
          <w:bCs/>
          <w:sz w:val="22"/>
          <w:szCs w:val="22"/>
        </w:rPr>
        <w:t>oskytovatel</w:t>
      </w:r>
      <w:r w:rsidRPr="00AB576F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8790127" w14:textId="77777777" w:rsidR="00D61188" w:rsidRDefault="00D61188" w:rsidP="00D61188">
      <w:pPr>
        <w:rPr>
          <w:rFonts w:asciiTheme="minorHAnsi" w:hAnsiTheme="minorHAnsi" w:cstheme="minorHAnsi"/>
          <w:bCs/>
          <w:sz w:val="22"/>
          <w:szCs w:val="22"/>
        </w:rPr>
      </w:pPr>
    </w:p>
    <w:p w14:paraId="5D4B69A9" w14:textId="31216052" w:rsidR="00D61188" w:rsidRPr="00AB576F" w:rsidRDefault="00D61188" w:rsidP="00D61188">
      <w:pPr>
        <w:rPr>
          <w:rFonts w:asciiTheme="minorHAnsi" w:hAnsiTheme="minorHAnsi" w:cstheme="minorHAnsi"/>
          <w:bCs/>
          <w:sz w:val="22"/>
          <w:szCs w:val="22"/>
        </w:rPr>
      </w:pPr>
      <w:r w:rsidRPr="00AB576F">
        <w:rPr>
          <w:rFonts w:asciiTheme="minorHAnsi" w:hAnsiTheme="minorHAnsi" w:cstheme="minorHAnsi"/>
          <w:bCs/>
          <w:sz w:val="22"/>
          <w:szCs w:val="22"/>
        </w:rPr>
        <w:t>Dále též souhrnně jako „Smluvní strany“ či jednotlivě jako „Smluvní strana“</w:t>
      </w:r>
    </w:p>
    <w:p w14:paraId="048928B0" w14:textId="4AEFB898" w:rsidR="0031474D" w:rsidRPr="00AC17D1" w:rsidRDefault="0031474D" w:rsidP="0031474D">
      <w:pPr>
        <w:pStyle w:val="Nadpis4"/>
        <w:jc w:val="center"/>
        <w:rPr>
          <w:rFonts w:asciiTheme="minorHAnsi" w:hAnsiTheme="minorHAnsi" w:cstheme="minorHAnsi"/>
          <w:b w:val="0"/>
          <w:i w:val="0"/>
          <w:iCs w:val="0"/>
          <w:color w:val="auto"/>
        </w:rPr>
      </w:pPr>
      <w:r w:rsidRPr="00AC17D1">
        <w:rPr>
          <w:rFonts w:asciiTheme="minorHAnsi" w:hAnsiTheme="minorHAnsi" w:cstheme="minorHAnsi"/>
          <w:i w:val="0"/>
          <w:iCs w:val="0"/>
          <w:color w:val="auto"/>
        </w:rPr>
        <w:t>Preambule:</w:t>
      </w:r>
    </w:p>
    <w:p w14:paraId="1CEA883C" w14:textId="77777777" w:rsidR="0031474D" w:rsidRPr="00AC17D1" w:rsidRDefault="0031474D" w:rsidP="0031474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>Vzhledem k tomu, že:</w:t>
      </w:r>
    </w:p>
    <w:p w14:paraId="6C792449" w14:textId="77777777" w:rsidR="0031474D" w:rsidRPr="00AC17D1" w:rsidRDefault="0031474D" w:rsidP="0031474D">
      <w:pPr>
        <w:rPr>
          <w:rFonts w:asciiTheme="minorHAnsi" w:hAnsiTheme="minorHAnsi" w:cstheme="minorHAnsi"/>
          <w:sz w:val="22"/>
          <w:szCs w:val="22"/>
        </w:rPr>
      </w:pPr>
    </w:p>
    <w:p w14:paraId="21698711" w14:textId="27333DA2" w:rsidR="000424AA" w:rsidRDefault="0031474D" w:rsidP="00127A13">
      <w:pPr>
        <w:pStyle w:val="Odstavecseseznamem"/>
        <w:numPr>
          <w:ilvl w:val="0"/>
          <w:numId w:val="27"/>
        </w:numPr>
        <w:ind w:left="0"/>
        <w:jc w:val="both"/>
        <w:rPr>
          <w:rFonts w:cstheme="minorHAnsi"/>
        </w:rPr>
      </w:pPr>
      <w:r w:rsidRPr="006B5C4B">
        <w:rPr>
          <w:rFonts w:cstheme="minorHAnsi"/>
        </w:rPr>
        <w:t xml:space="preserve">Mezi výše uvedenými Smluvními stranami byla dne </w:t>
      </w:r>
      <w:r w:rsidR="006B5C4B">
        <w:rPr>
          <w:rFonts w:cstheme="minorHAnsi"/>
        </w:rPr>
        <w:t>03. 8.</w:t>
      </w:r>
      <w:r w:rsidR="00CE4CC6" w:rsidRPr="006B5C4B">
        <w:rPr>
          <w:rFonts w:cstheme="minorHAnsi"/>
        </w:rPr>
        <w:t xml:space="preserve"> </w:t>
      </w:r>
      <w:r w:rsidRPr="006B5C4B">
        <w:rPr>
          <w:rFonts w:cstheme="minorHAnsi"/>
        </w:rPr>
        <w:t>202</w:t>
      </w:r>
      <w:r w:rsidR="005D3A09" w:rsidRPr="006B5C4B">
        <w:rPr>
          <w:rFonts w:cstheme="minorHAnsi"/>
        </w:rPr>
        <w:t>1</w:t>
      </w:r>
      <w:r w:rsidR="00FC2B1C" w:rsidRPr="006B5C4B">
        <w:rPr>
          <w:rFonts w:cstheme="minorHAnsi"/>
        </w:rPr>
        <w:t xml:space="preserve"> </w:t>
      </w:r>
      <w:r w:rsidRPr="006B5C4B">
        <w:rPr>
          <w:rFonts w:cstheme="minorHAnsi"/>
        </w:rPr>
        <w:t xml:space="preserve">uzavřena Smlouva o </w:t>
      </w:r>
      <w:r w:rsidR="006B5C4B" w:rsidRPr="006B5C4B">
        <w:rPr>
          <w:rFonts w:cstheme="minorHAnsi"/>
        </w:rPr>
        <w:t>poskytnutí služby</w:t>
      </w:r>
      <w:r w:rsidR="00D61188" w:rsidRPr="006B5C4B">
        <w:rPr>
          <w:rFonts w:cstheme="minorHAnsi"/>
        </w:rPr>
        <w:t xml:space="preserve">, </w:t>
      </w:r>
      <w:r w:rsidR="00127A13" w:rsidRPr="00127A13">
        <w:rPr>
          <w:rFonts w:cstheme="minorHAnsi"/>
        </w:rPr>
        <w:t>(dále též „Smlouva“</w:t>
      </w:r>
      <w:r w:rsidR="00606A4B">
        <w:rPr>
          <w:rFonts w:cstheme="minorHAnsi"/>
        </w:rPr>
        <w:t>)</w:t>
      </w:r>
      <w:r w:rsidR="00127A13">
        <w:rPr>
          <w:rFonts w:cstheme="minorHAnsi"/>
          <w:lang w:bidi="cs-CZ"/>
        </w:rPr>
        <w:t>. P</w:t>
      </w:r>
      <w:r w:rsidR="00D61188" w:rsidRPr="006B5C4B">
        <w:rPr>
          <w:rFonts w:cstheme="minorHAnsi"/>
        </w:rPr>
        <w:t xml:space="preserve">ředmětem </w:t>
      </w:r>
      <w:r w:rsidR="00127A13">
        <w:rPr>
          <w:rFonts w:cstheme="minorHAnsi"/>
        </w:rPr>
        <w:t xml:space="preserve">Smlouvy </w:t>
      </w:r>
      <w:r w:rsidR="00D61188" w:rsidRPr="006B5C4B">
        <w:rPr>
          <w:rFonts w:cstheme="minorHAnsi"/>
        </w:rPr>
        <w:t>je</w:t>
      </w:r>
      <w:r w:rsidR="006B5C4B" w:rsidRPr="006B5C4B">
        <w:rPr>
          <w:rFonts w:cstheme="minorHAnsi"/>
        </w:rPr>
        <w:t xml:space="preserve"> závazek poskytovatele, za podmínek uvedených </w:t>
      </w:r>
      <w:r w:rsidR="00127A13">
        <w:rPr>
          <w:rFonts w:cstheme="minorHAnsi"/>
        </w:rPr>
        <w:t>Smlouvou</w:t>
      </w:r>
      <w:r w:rsidR="006B5C4B" w:rsidRPr="006B5C4B">
        <w:rPr>
          <w:rFonts w:cstheme="minorHAnsi"/>
        </w:rPr>
        <w:t xml:space="preserve">, zabezpečit v termínu od 1.9.2021 do 28.2.2022 pro </w:t>
      </w:r>
      <w:r w:rsidR="00A35121">
        <w:rPr>
          <w:rFonts w:cstheme="minorHAnsi"/>
        </w:rPr>
        <w:t>O</w:t>
      </w:r>
      <w:r w:rsidR="006B5C4B" w:rsidRPr="006B5C4B">
        <w:rPr>
          <w:rFonts w:cstheme="minorHAnsi"/>
        </w:rPr>
        <w:t xml:space="preserve">bjednatele 20 (slovy: dvacet) </w:t>
      </w:r>
      <w:r w:rsidR="00350D96">
        <w:rPr>
          <w:rFonts w:cstheme="minorHAnsi"/>
        </w:rPr>
        <w:t xml:space="preserve">dopravně-psychologických </w:t>
      </w:r>
      <w:r w:rsidR="006B5C4B" w:rsidRPr="006B5C4B">
        <w:rPr>
          <w:rFonts w:cstheme="minorHAnsi"/>
        </w:rPr>
        <w:t xml:space="preserve">seminářů, a to včetně přípravy seminářů, zajištění cesty lektora na seminář a zpět, zajištění ubytování lektora seminářů. Semináře </w:t>
      </w:r>
      <w:r w:rsidR="00127A13">
        <w:rPr>
          <w:rFonts w:cstheme="minorHAnsi"/>
        </w:rPr>
        <w:t>jsou</w:t>
      </w:r>
      <w:r w:rsidR="006B5C4B" w:rsidRPr="006B5C4B">
        <w:rPr>
          <w:rFonts w:cstheme="minorHAnsi"/>
        </w:rPr>
        <w:t xml:space="preserve"> pořádány v rámci Projektu</w:t>
      </w:r>
      <w:r w:rsidR="006B5C4B">
        <w:rPr>
          <w:rFonts w:cstheme="minorHAnsi"/>
        </w:rPr>
        <w:t xml:space="preserve"> „</w:t>
      </w:r>
      <w:r w:rsidR="006B5C4B">
        <w:t>Systémové vzdělávání řidičů ZZS“</w:t>
      </w:r>
      <w:r w:rsidR="00127A13">
        <w:rPr>
          <w:rFonts w:cstheme="minorHAnsi"/>
        </w:rPr>
        <w:t xml:space="preserve">. </w:t>
      </w:r>
      <w:r w:rsidR="003D0C45" w:rsidRPr="00127A13">
        <w:rPr>
          <w:rFonts w:cstheme="minorHAnsi"/>
          <w:lang w:bidi="cs-CZ"/>
        </w:rPr>
        <w:t>V průběhu plnění díla</w:t>
      </w:r>
      <w:r w:rsidR="00127A13">
        <w:rPr>
          <w:rFonts w:cstheme="minorHAnsi"/>
          <w:lang w:bidi="cs-CZ"/>
        </w:rPr>
        <w:t xml:space="preserve"> nastaly okolnosti, které </w:t>
      </w:r>
      <w:r w:rsidRPr="00127A13">
        <w:rPr>
          <w:rFonts w:cstheme="minorHAnsi"/>
        </w:rPr>
        <w:t>v době podpisu Smluvním stranám znám</w:t>
      </w:r>
      <w:r w:rsidR="00127A13">
        <w:rPr>
          <w:rFonts w:cstheme="minorHAnsi"/>
        </w:rPr>
        <w:t>y</w:t>
      </w:r>
      <w:r w:rsidR="00350D96">
        <w:rPr>
          <w:rFonts w:cstheme="minorHAnsi"/>
        </w:rPr>
        <w:t xml:space="preserve"> a které zapříčinily potřebu prodloužení doby plnění ze smlouvy. Jelikož obě smluvní strany s prodloužením </w:t>
      </w:r>
      <w:r w:rsidR="00F87870">
        <w:rPr>
          <w:rFonts w:cstheme="minorHAnsi"/>
        </w:rPr>
        <w:t>termínu poskytování služby</w:t>
      </w:r>
      <w:r w:rsidR="000424AA">
        <w:rPr>
          <w:rFonts w:cstheme="minorHAnsi"/>
        </w:rPr>
        <w:t xml:space="preserve"> z data 28.2. 2022 do data 31. 3. 2022 plně souhlasí, uzavírají za účelem prodloužení termínu poskytování služby tento Dodatek č. 1 v následujícím znění</w:t>
      </w:r>
      <w:r w:rsidR="00863D49">
        <w:rPr>
          <w:rFonts w:cstheme="minorHAnsi"/>
        </w:rPr>
        <w:t>.</w:t>
      </w:r>
    </w:p>
    <w:p w14:paraId="66740952" w14:textId="07F15DA3" w:rsidR="00F11002" w:rsidRPr="00127A13" w:rsidRDefault="000424AA" w:rsidP="000424AA">
      <w:pPr>
        <w:pStyle w:val="Odstavecseseznamem"/>
        <w:ind w:left="0"/>
        <w:jc w:val="center"/>
        <w:rPr>
          <w:rFonts w:cstheme="minorHAnsi"/>
        </w:rPr>
      </w:pPr>
      <w:r>
        <w:rPr>
          <w:rFonts w:cstheme="minorHAnsi"/>
        </w:rPr>
        <w:t>I.</w:t>
      </w:r>
    </w:p>
    <w:p w14:paraId="4CC17B37" w14:textId="0F4D7B5F" w:rsidR="00F93F0D" w:rsidRPr="00FC2B1C" w:rsidRDefault="0031474D" w:rsidP="00F11002">
      <w:pPr>
        <w:pStyle w:val="Zhlavnebozpat20"/>
        <w:numPr>
          <w:ilvl w:val="0"/>
          <w:numId w:val="1"/>
        </w:numPr>
        <w:spacing w:before="120" w:after="12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2B1C">
        <w:rPr>
          <w:rFonts w:asciiTheme="minorHAnsi" w:hAnsiTheme="minorHAnsi" w:cstheme="minorHAnsi"/>
          <w:sz w:val="22"/>
          <w:szCs w:val="22"/>
        </w:rPr>
        <w:t>Vzhledem k výše uvedenému se Smluvní strany dohodly na úpravě současného znění výše citované Smlouvy</w:t>
      </w:r>
      <w:r w:rsidR="00C04222" w:rsidRPr="00FC2B1C">
        <w:rPr>
          <w:rFonts w:asciiTheme="minorHAnsi" w:hAnsiTheme="minorHAnsi" w:cstheme="minorHAnsi"/>
          <w:sz w:val="22"/>
          <w:szCs w:val="22"/>
        </w:rPr>
        <w:t>,</w:t>
      </w:r>
      <w:r w:rsidRPr="00FC2B1C">
        <w:rPr>
          <w:rFonts w:asciiTheme="minorHAnsi" w:hAnsiTheme="minorHAnsi" w:cstheme="minorHAnsi"/>
          <w:sz w:val="22"/>
          <w:szCs w:val="22"/>
        </w:rPr>
        <w:t xml:space="preserve"> a</w:t>
      </w:r>
      <w:r w:rsidR="00FC2B1C">
        <w:rPr>
          <w:rFonts w:asciiTheme="minorHAnsi" w:hAnsiTheme="minorHAnsi" w:cstheme="minorHAnsi"/>
          <w:sz w:val="22"/>
          <w:szCs w:val="22"/>
        </w:rPr>
        <w:t xml:space="preserve"> </w:t>
      </w:r>
      <w:r w:rsidRPr="00FC2B1C">
        <w:rPr>
          <w:rFonts w:asciiTheme="minorHAnsi" w:hAnsiTheme="minorHAnsi" w:cstheme="minorHAnsi"/>
          <w:sz w:val="22"/>
          <w:szCs w:val="22"/>
        </w:rPr>
        <w:t>to</w:t>
      </w:r>
      <w:r w:rsidR="00C04222" w:rsidRPr="00FC2B1C">
        <w:rPr>
          <w:rFonts w:asciiTheme="minorHAnsi" w:hAnsiTheme="minorHAnsi" w:cstheme="minorHAnsi"/>
          <w:sz w:val="22"/>
          <w:szCs w:val="22"/>
        </w:rPr>
        <w:t xml:space="preserve"> </w:t>
      </w:r>
      <w:r w:rsidR="009A3C50" w:rsidRPr="00FC2B1C">
        <w:rPr>
          <w:rFonts w:asciiTheme="minorHAnsi" w:hAnsiTheme="minorHAnsi" w:cstheme="minorHAnsi"/>
          <w:sz w:val="22"/>
          <w:szCs w:val="22"/>
        </w:rPr>
        <w:t>článk</w:t>
      </w:r>
      <w:r w:rsidR="007A2820">
        <w:rPr>
          <w:rFonts w:asciiTheme="minorHAnsi" w:hAnsiTheme="minorHAnsi" w:cstheme="minorHAnsi"/>
          <w:sz w:val="22"/>
          <w:szCs w:val="22"/>
        </w:rPr>
        <w:t>ů</w:t>
      </w:r>
      <w:r w:rsidR="009A3C50" w:rsidRPr="00FC2B1C">
        <w:rPr>
          <w:rFonts w:asciiTheme="minorHAnsi" w:hAnsiTheme="minorHAnsi" w:cstheme="minorHAnsi"/>
          <w:sz w:val="22"/>
          <w:szCs w:val="22"/>
        </w:rPr>
        <w:t xml:space="preserve"> </w:t>
      </w:r>
      <w:r w:rsidR="00863D49">
        <w:rPr>
          <w:rFonts w:asciiTheme="minorHAnsi" w:hAnsiTheme="minorHAnsi" w:cstheme="minorHAnsi"/>
          <w:sz w:val="22"/>
          <w:szCs w:val="22"/>
        </w:rPr>
        <w:t>I.</w:t>
      </w:r>
      <w:r w:rsidR="00A55E36"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5728CD29" w14:textId="77777777" w:rsidR="00F93F0D" w:rsidRPr="00F93F0D" w:rsidRDefault="00F93F0D" w:rsidP="00F93F0D">
      <w:pPr>
        <w:pBdr>
          <w:bottom w:val="single" w:sz="12" w:space="1" w:color="auto"/>
        </w:pBdr>
        <w:spacing w:after="240"/>
        <w:rPr>
          <w:rFonts w:cstheme="minorHAnsi"/>
          <w:b/>
          <w:sz w:val="18"/>
          <w:szCs w:val="18"/>
        </w:rPr>
      </w:pPr>
    </w:p>
    <w:p w14:paraId="00C20FEE" w14:textId="64DC96F2" w:rsidR="0031474D" w:rsidRDefault="0031474D" w:rsidP="0031474D">
      <w:pPr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>Smluvní strany se dohodly na následujících změnách a doplněních Smlouvy</w:t>
      </w:r>
      <w:r w:rsidR="009A3C50" w:rsidRPr="00AC17D1">
        <w:rPr>
          <w:rFonts w:asciiTheme="minorHAnsi" w:hAnsiTheme="minorHAnsi" w:cstheme="minorHAnsi"/>
          <w:sz w:val="22"/>
          <w:szCs w:val="22"/>
        </w:rPr>
        <w:t xml:space="preserve">, </w:t>
      </w:r>
      <w:r w:rsidRPr="00AC17D1">
        <w:rPr>
          <w:rFonts w:asciiTheme="minorHAnsi" w:hAnsiTheme="minorHAnsi" w:cstheme="minorHAnsi"/>
          <w:sz w:val="22"/>
          <w:szCs w:val="22"/>
        </w:rPr>
        <w:t xml:space="preserve">za účelem čehož uzavírají tento Dodatek č. </w:t>
      </w:r>
      <w:r w:rsidR="00D6030C"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. (dále jen „</w:t>
      </w:r>
      <w:r w:rsidRPr="00AC17D1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D6030C">
        <w:rPr>
          <w:rFonts w:asciiTheme="minorHAnsi" w:hAnsiTheme="minorHAnsi" w:cstheme="minorHAnsi"/>
          <w:b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“):</w:t>
      </w:r>
    </w:p>
    <w:p w14:paraId="461C3D45" w14:textId="7F5C6B4A" w:rsidR="00F93F0D" w:rsidRDefault="00F93F0D" w:rsidP="00F93F0D">
      <w:pPr>
        <w:spacing w:before="480"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6020">
        <w:rPr>
          <w:rFonts w:asciiTheme="minorHAnsi" w:hAnsiTheme="minorHAnsi" w:cstheme="minorHAnsi"/>
          <w:b/>
          <w:sz w:val="22"/>
          <w:szCs w:val="22"/>
          <w:u w:val="single"/>
        </w:rPr>
        <w:t>Čl. I</w:t>
      </w:r>
    </w:p>
    <w:p w14:paraId="178CF184" w14:textId="7B5770F2" w:rsidR="007A2820" w:rsidRPr="000B494B" w:rsidRDefault="007A2820" w:rsidP="000B494B">
      <w:pPr>
        <w:spacing w:before="480" w:after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494B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I. Smlouvy se </w:t>
      </w:r>
      <w:r w:rsidR="00863D49" w:rsidRPr="000B494B">
        <w:rPr>
          <w:rFonts w:asciiTheme="minorHAnsi" w:hAnsiTheme="minorHAnsi" w:cstheme="minorHAnsi"/>
          <w:b/>
          <w:sz w:val="22"/>
          <w:szCs w:val="22"/>
          <w:u w:val="single"/>
        </w:rPr>
        <w:t xml:space="preserve">doplňuje a </w:t>
      </w:r>
      <w:r w:rsidRPr="000B494B">
        <w:rPr>
          <w:rFonts w:asciiTheme="minorHAnsi" w:hAnsiTheme="minorHAnsi" w:cstheme="minorHAnsi"/>
          <w:b/>
          <w:sz w:val="22"/>
          <w:szCs w:val="22"/>
          <w:u w:val="single"/>
        </w:rPr>
        <w:t>mění následovně:</w:t>
      </w:r>
    </w:p>
    <w:p w14:paraId="6494F8AF" w14:textId="6C15C9D5" w:rsidR="000B494B" w:rsidRPr="000B494B" w:rsidRDefault="000B494B" w:rsidP="000B494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B494B">
        <w:rPr>
          <w:rFonts w:asciiTheme="minorHAnsi" w:hAnsiTheme="minorHAnsi" w:cstheme="minorHAnsi"/>
          <w:sz w:val="22"/>
          <w:szCs w:val="22"/>
        </w:rPr>
        <w:lastRenderedPageBreak/>
        <w:t>Původní znění</w:t>
      </w:r>
      <w:r w:rsidR="007C4D94">
        <w:rPr>
          <w:rFonts w:asciiTheme="minorHAnsi" w:hAnsiTheme="minorHAnsi" w:cstheme="minorHAnsi"/>
          <w:sz w:val="22"/>
          <w:szCs w:val="22"/>
        </w:rPr>
        <w:t xml:space="preserve"> čl. I. Smlouvy</w:t>
      </w:r>
      <w:r w:rsidRPr="000B494B">
        <w:rPr>
          <w:rFonts w:asciiTheme="minorHAnsi" w:hAnsiTheme="minorHAnsi" w:cstheme="minorHAnsi"/>
          <w:sz w:val="22"/>
          <w:szCs w:val="22"/>
        </w:rPr>
        <w:t>:</w:t>
      </w:r>
    </w:p>
    <w:p w14:paraId="7BAA352C" w14:textId="77777777" w:rsidR="00863D49" w:rsidRPr="00FB3B16" w:rsidRDefault="00863D49" w:rsidP="000B494B">
      <w:pPr>
        <w:pStyle w:val="Bezmezer"/>
        <w:jc w:val="center"/>
        <w:rPr>
          <w:rFonts w:asciiTheme="minorHAnsi" w:hAnsiTheme="minorHAnsi" w:cstheme="minorHAnsi"/>
          <w:strike/>
          <w:noProof/>
          <w:sz w:val="22"/>
          <w:szCs w:val="22"/>
        </w:rPr>
      </w:pPr>
      <w:r w:rsidRPr="00FB3B16">
        <w:rPr>
          <w:rFonts w:asciiTheme="minorHAnsi" w:hAnsiTheme="minorHAnsi" w:cstheme="minorHAnsi"/>
          <w:strike/>
          <w:noProof/>
          <w:sz w:val="22"/>
          <w:szCs w:val="22"/>
        </w:rPr>
        <w:t>I.</w:t>
      </w:r>
    </w:p>
    <w:p w14:paraId="4BC6E3FA" w14:textId="77777777" w:rsidR="00863D49" w:rsidRPr="00FB3B16" w:rsidRDefault="00863D49" w:rsidP="000B494B">
      <w:pPr>
        <w:pStyle w:val="Bezmezer"/>
        <w:jc w:val="center"/>
        <w:rPr>
          <w:rFonts w:asciiTheme="minorHAnsi" w:hAnsiTheme="minorHAnsi" w:cstheme="minorHAnsi"/>
          <w:strike/>
          <w:noProof/>
          <w:sz w:val="22"/>
          <w:szCs w:val="22"/>
        </w:rPr>
      </w:pPr>
      <w:r w:rsidRPr="00FB3B16">
        <w:rPr>
          <w:rFonts w:asciiTheme="minorHAnsi" w:hAnsiTheme="minorHAnsi" w:cstheme="minorHAnsi"/>
          <w:strike/>
          <w:noProof/>
          <w:sz w:val="22"/>
          <w:szCs w:val="22"/>
        </w:rPr>
        <w:t>Předmět smlouvy</w:t>
      </w:r>
    </w:p>
    <w:p w14:paraId="2824C590" w14:textId="77777777" w:rsidR="00863D49" w:rsidRPr="00FB3B16" w:rsidRDefault="00863D49" w:rsidP="000B494B">
      <w:pPr>
        <w:pStyle w:val="Bezmezer"/>
        <w:jc w:val="both"/>
        <w:rPr>
          <w:rFonts w:asciiTheme="minorHAnsi" w:hAnsiTheme="minorHAnsi" w:cstheme="minorHAnsi"/>
          <w:bCs/>
          <w:strike/>
          <w:noProof/>
          <w:sz w:val="22"/>
          <w:szCs w:val="22"/>
        </w:rPr>
      </w:pPr>
      <w:r w:rsidRPr="00FB3B16">
        <w:rPr>
          <w:rFonts w:asciiTheme="minorHAnsi" w:hAnsiTheme="minorHAnsi" w:cstheme="minorHAnsi"/>
          <w:bCs/>
          <w:strike/>
          <w:noProof/>
          <w:sz w:val="22"/>
          <w:szCs w:val="22"/>
        </w:rPr>
        <w:tab/>
      </w:r>
    </w:p>
    <w:p w14:paraId="25BBF3B0" w14:textId="019E6C0F" w:rsidR="00863D49" w:rsidRPr="00FB3B16" w:rsidRDefault="00863D49" w:rsidP="000B494B">
      <w:pPr>
        <w:pStyle w:val="Bezmezer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  <w:r w:rsidRPr="00FB3B16">
        <w:rPr>
          <w:rFonts w:asciiTheme="minorHAnsi" w:hAnsiTheme="minorHAnsi" w:cstheme="minorHAnsi"/>
          <w:bCs/>
          <w:strike/>
          <w:noProof/>
          <w:sz w:val="22"/>
          <w:szCs w:val="22"/>
        </w:rPr>
        <w:t xml:space="preserve">Předmětem </w:t>
      </w:r>
      <w:r w:rsidRPr="00FB3B16">
        <w:rPr>
          <w:rFonts w:asciiTheme="minorHAnsi" w:hAnsiTheme="minorHAnsi" w:cstheme="minorHAnsi"/>
          <w:bCs/>
          <w:strike/>
          <w:sz w:val="22"/>
          <w:szCs w:val="22"/>
        </w:rPr>
        <w:t xml:space="preserve">této smlouvy je závazek poskytovatele, za podmínek uvedených v této smlouvě, zabezpečit v termínu od </w:t>
      </w:r>
      <w:r w:rsidRPr="00FB3B16">
        <w:rPr>
          <w:rFonts w:asciiTheme="minorHAnsi" w:hAnsiTheme="minorHAnsi" w:cstheme="minorHAnsi"/>
          <w:strike/>
          <w:sz w:val="22"/>
          <w:szCs w:val="22"/>
          <w:lang w:eastAsia="en-US"/>
        </w:rPr>
        <w:t xml:space="preserve">1.9.2021 do 28.2.2022 </w:t>
      </w:r>
      <w:r w:rsidRPr="00FB3B16">
        <w:rPr>
          <w:rFonts w:asciiTheme="minorHAnsi" w:hAnsiTheme="minorHAnsi" w:cstheme="minorHAnsi"/>
          <w:bCs/>
          <w:strike/>
          <w:sz w:val="22"/>
          <w:szCs w:val="22"/>
        </w:rPr>
        <w:t xml:space="preserve">pro objednatele </w:t>
      </w:r>
      <w:r w:rsidRPr="00FB3B16">
        <w:rPr>
          <w:rFonts w:asciiTheme="minorHAnsi" w:hAnsiTheme="minorHAnsi" w:cstheme="minorHAnsi"/>
          <w:strike/>
          <w:sz w:val="22"/>
          <w:szCs w:val="22"/>
          <w:lang w:eastAsia="en-US"/>
        </w:rPr>
        <w:t>20 (slovy: dvacet) seminářů, a to včetně přípravy seminářů, zajištění cesty lektora na seminář a zpět, zajištění ubytování lektora seminářů. Semináře budou pořádány v rámci Projektu.</w:t>
      </w:r>
    </w:p>
    <w:p w14:paraId="35A42DF4" w14:textId="7683AD73" w:rsidR="000B494B" w:rsidRDefault="000B494B" w:rsidP="000B494B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4A208D8" w14:textId="4025EADF" w:rsidR="000B494B" w:rsidRDefault="000B494B" w:rsidP="000B494B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Nové znění</w:t>
      </w:r>
      <w:r w:rsidR="007C4D94">
        <w:rPr>
          <w:rFonts w:asciiTheme="minorHAnsi" w:hAnsiTheme="minorHAnsi" w:cstheme="minorHAnsi"/>
          <w:sz w:val="22"/>
          <w:szCs w:val="22"/>
          <w:lang w:eastAsia="en-US"/>
        </w:rPr>
        <w:t xml:space="preserve"> čl. I. smlouvy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3A0866A8" w14:textId="77777777" w:rsidR="000B494B" w:rsidRPr="000B494B" w:rsidRDefault="000B494B" w:rsidP="000B494B">
      <w:pPr>
        <w:pStyle w:val="Bezmezer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0B494B">
        <w:rPr>
          <w:rFonts w:asciiTheme="minorHAnsi" w:hAnsiTheme="minorHAnsi" w:cstheme="minorHAnsi"/>
          <w:noProof/>
          <w:sz w:val="22"/>
          <w:szCs w:val="22"/>
        </w:rPr>
        <w:t>I.</w:t>
      </w:r>
    </w:p>
    <w:p w14:paraId="6F571A90" w14:textId="77777777" w:rsidR="000B494B" w:rsidRPr="000B494B" w:rsidRDefault="000B494B" w:rsidP="000B494B">
      <w:pPr>
        <w:pStyle w:val="Bezmezer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0B494B">
        <w:rPr>
          <w:rFonts w:asciiTheme="minorHAnsi" w:hAnsiTheme="minorHAnsi" w:cstheme="minorHAnsi"/>
          <w:noProof/>
          <w:sz w:val="22"/>
          <w:szCs w:val="22"/>
        </w:rPr>
        <w:t>Předmět smlouvy</w:t>
      </w:r>
    </w:p>
    <w:p w14:paraId="7BA2F6DA" w14:textId="77777777" w:rsidR="000B494B" w:rsidRPr="000B494B" w:rsidRDefault="000B494B" w:rsidP="000B494B">
      <w:pPr>
        <w:pStyle w:val="Bezmezer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B494B">
        <w:rPr>
          <w:rFonts w:asciiTheme="minorHAnsi" w:hAnsiTheme="minorHAnsi" w:cstheme="minorHAnsi"/>
          <w:bCs/>
          <w:noProof/>
          <w:sz w:val="22"/>
          <w:szCs w:val="22"/>
        </w:rPr>
        <w:tab/>
      </w:r>
    </w:p>
    <w:p w14:paraId="35E502CE" w14:textId="60A49EE7" w:rsidR="000B494B" w:rsidRDefault="000B494B" w:rsidP="000B494B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494B">
        <w:rPr>
          <w:rFonts w:asciiTheme="minorHAnsi" w:hAnsiTheme="minorHAnsi" w:cstheme="minorHAnsi"/>
          <w:bCs/>
          <w:noProof/>
          <w:sz w:val="22"/>
          <w:szCs w:val="22"/>
        </w:rPr>
        <w:t xml:space="preserve">Předmětem </w:t>
      </w:r>
      <w:r w:rsidRPr="000B494B">
        <w:rPr>
          <w:rFonts w:asciiTheme="minorHAnsi" w:hAnsiTheme="minorHAnsi" w:cstheme="minorHAnsi"/>
          <w:bCs/>
          <w:sz w:val="22"/>
          <w:szCs w:val="22"/>
        </w:rPr>
        <w:t xml:space="preserve">této smlouvy je závazek poskytovatele, za podmínek uvedených v této smlouvě, zabezpečit v termínu od </w:t>
      </w:r>
      <w:r w:rsidRPr="000B494B">
        <w:rPr>
          <w:rFonts w:asciiTheme="minorHAnsi" w:hAnsiTheme="minorHAnsi" w:cstheme="minorHAnsi"/>
          <w:sz w:val="22"/>
          <w:szCs w:val="22"/>
          <w:lang w:eastAsia="en-US"/>
        </w:rPr>
        <w:t xml:space="preserve">1.9.2021 do </w:t>
      </w:r>
      <w:r>
        <w:rPr>
          <w:rFonts w:asciiTheme="minorHAnsi" w:hAnsiTheme="minorHAnsi" w:cstheme="minorHAnsi"/>
          <w:sz w:val="22"/>
          <w:szCs w:val="22"/>
          <w:lang w:eastAsia="en-US"/>
        </w:rPr>
        <w:t>31.3</w:t>
      </w:r>
      <w:r w:rsidRPr="000B494B">
        <w:rPr>
          <w:rFonts w:asciiTheme="minorHAnsi" w:hAnsiTheme="minorHAnsi" w:cstheme="minorHAnsi"/>
          <w:sz w:val="22"/>
          <w:szCs w:val="22"/>
          <w:lang w:eastAsia="en-US"/>
        </w:rPr>
        <w:t xml:space="preserve">.2022 </w:t>
      </w:r>
      <w:r w:rsidRPr="000B494B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A35121">
        <w:rPr>
          <w:rFonts w:asciiTheme="minorHAnsi" w:hAnsiTheme="minorHAnsi" w:cstheme="minorHAnsi"/>
          <w:bCs/>
          <w:sz w:val="22"/>
          <w:szCs w:val="22"/>
        </w:rPr>
        <w:t>O</w:t>
      </w:r>
      <w:r w:rsidRPr="000B494B">
        <w:rPr>
          <w:rFonts w:asciiTheme="minorHAnsi" w:hAnsiTheme="minorHAnsi" w:cstheme="minorHAnsi"/>
          <w:bCs/>
          <w:sz w:val="22"/>
          <w:szCs w:val="22"/>
        </w:rPr>
        <w:t xml:space="preserve">bjednatele </w:t>
      </w:r>
      <w:r w:rsidRPr="000B494B">
        <w:rPr>
          <w:rFonts w:asciiTheme="minorHAnsi" w:hAnsiTheme="minorHAnsi" w:cstheme="minorHAnsi"/>
          <w:sz w:val="22"/>
          <w:szCs w:val="22"/>
          <w:lang w:eastAsia="en-US"/>
        </w:rPr>
        <w:t>20 (slovy: dvacet) seminářů, a to včetně přípravy seminářů, zajištění cesty lektora na seminář a zpět, zajištění ubytování lektora seminářů. Semináře budou pořádány v rámci Projektu.</w:t>
      </w:r>
    </w:p>
    <w:p w14:paraId="45FB3777" w14:textId="77777777" w:rsidR="000B494B" w:rsidRPr="000B494B" w:rsidRDefault="000B494B" w:rsidP="000B494B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4E7E1E8" w14:textId="0896AEAD" w:rsidR="00284AC4" w:rsidRPr="00284AC4" w:rsidRDefault="00AC17D1" w:rsidP="00E5290C">
      <w:pPr>
        <w:pStyle w:val="Bezmezer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AB6020">
        <w:rPr>
          <w:rFonts w:asciiTheme="minorHAnsi" w:hAnsiTheme="minorHAnsi" w:cstheme="minorHAnsi"/>
          <w:b/>
          <w:sz w:val="22"/>
          <w:szCs w:val="22"/>
          <w:u w:val="single"/>
        </w:rPr>
        <w:t>Čl. II.</w:t>
      </w:r>
    </w:p>
    <w:p w14:paraId="2D64BB82" w14:textId="25ABCF03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Ostatní ustanovení Smlouvy či Příloh Smlouvy zůstávají v platnosti, pokud nejsou dotčena tímto 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.</w:t>
      </w:r>
    </w:p>
    <w:p w14:paraId="0C7A2CD7" w14:textId="448724D3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Tento Dodatek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je vyhotoven ve </w:t>
      </w:r>
      <w:r>
        <w:rPr>
          <w:rFonts w:asciiTheme="minorHAnsi" w:hAnsiTheme="minorHAnsi" w:cstheme="minorHAnsi"/>
          <w:sz w:val="22"/>
          <w:szCs w:val="22"/>
        </w:rPr>
        <w:t>dvou</w:t>
      </w:r>
      <w:r w:rsidRPr="00AC17D1">
        <w:rPr>
          <w:rFonts w:asciiTheme="minorHAnsi" w:hAnsiTheme="minorHAnsi" w:cstheme="minorHAnsi"/>
          <w:sz w:val="22"/>
          <w:szCs w:val="22"/>
        </w:rPr>
        <w:t xml:space="preserve"> vyhotoveních s platností originálu, z nichž každá strana </w:t>
      </w:r>
      <w:proofErr w:type="gramStart"/>
      <w:r w:rsidRPr="00AC17D1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AC17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jednom</w:t>
      </w:r>
      <w:r w:rsidRPr="00AC17D1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14:paraId="4616F9F0" w14:textId="0222E255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Dodatek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nabývá platnosti dnem podpisu oprávněnými zástupci Smluvních stran a účinnosti dnem </w:t>
      </w:r>
      <w:r>
        <w:rPr>
          <w:rFonts w:asciiTheme="minorHAnsi" w:hAnsiTheme="minorHAnsi" w:cstheme="minorHAnsi"/>
          <w:sz w:val="22"/>
          <w:szCs w:val="22"/>
        </w:rPr>
        <w:t>uveřejnění v registru smluv.</w:t>
      </w:r>
    </w:p>
    <w:p w14:paraId="7A7F511D" w14:textId="1713F68F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Případné plnění Smluvních stran v rámci předmětu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, které si Smluvní strany poskytly před nabytím účinnosti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, se považuje za plnění podle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. Práva a povinnosti vzniklá z tohoto plnění se řídí tímto Dodatkem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61510"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a Smlouvou.</w:t>
      </w:r>
    </w:p>
    <w:p w14:paraId="0157B914" w14:textId="52C74F59" w:rsidR="00D6030C" w:rsidRPr="00A20206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 xml:space="preserve">Smluvní strany berou na vědomí, že </w:t>
      </w: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36151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č. </w:t>
      </w:r>
      <w:r w:rsidR="00361510">
        <w:rPr>
          <w:rFonts w:asciiTheme="minorHAnsi" w:hAnsiTheme="minorHAnsi" w:cstheme="minorHAnsi"/>
          <w:sz w:val="22"/>
          <w:szCs w:val="22"/>
        </w:rPr>
        <w:t>1</w:t>
      </w:r>
      <w:r w:rsidRPr="00A20206">
        <w:rPr>
          <w:rFonts w:asciiTheme="minorHAnsi" w:hAnsiTheme="minorHAnsi" w:cstheme="minorHAnsi"/>
          <w:sz w:val="22"/>
          <w:szCs w:val="22"/>
        </w:rPr>
        <w:t xml:space="preserve"> bude uveřejněna v souladu s ustanoveními zák. č. 340/2015 Sb., o registru smluv. Smlouvu v registru smluv uveřejní </w:t>
      </w:r>
      <w:r w:rsidR="00A35121">
        <w:rPr>
          <w:rFonts w:asciiTheme="minorHAnsi" w:hAnsiTheme="minorHAnsi" w:cstheme="minorHAnsi"/>
          <w:sz w:val="22"/>
          <w:szCs w:val="22"/>
        </w:rPr>
        <w:t>O</w:t>
      </w:r>
      <w:r w:rsidRPr="00A20206">
        <w:rPr>
          <w:rFonts w:asciiTheme="minorHAnsi" w:hAnsiTheme="minorHAnsi" w:cstheme="minorHAnsi"/>
          <w:sz w:val="22"/>
          <w:szCs w:val="22"/>
        </w:rPr>
        <w:t xml:space="preserve">bjednatel. </w:t>
      </w:r>
      <w:r w:rsidR="00E5290C">
        <w:rPr>
          <w:rFonts w:asciiTheme="minorHAnsi" w:hAnsiTheme="minorHAnsi" w:cstheme="minorHAnsi"/>
          <w:sz w:val="22"/>
          <w:szCs w:val="22"/>
        </w:rPr>
        <w:t>poskytova</w:t>
      </w:r>
      <w:r w:rsidRPr="00A20206">
        <w:rPr>
          <w:rFonts w:asciiTheme="minorHAnsi" w:hAnsiTheme="minorHAnsi" w:cstheme="minorHAnsi"/>
          <w:sz w:val="22"/>
          <w:szCs w:val="22"/>
        </w:rPr>
        <w:t xml:space="preserve">tel prohlašuje, že tato smlouva neobsahuje jeho obchodní tajemství, osobní údaje osob na straně </w:t>
      </w:r>
      <w:r w:rsidR="00E5290C">
        <w:rPr>
          <w:rFonts w:asciiTheme="minorHAnsi" w:hAnsiTheme="minorHAnsi" w:cstheme="minorHAnsi"/>
          <w:sz w:val="22"/>
          <w:szCs w:val="22"/>
        </w:rPr>
        <w:t>Poskytovatele</w:t>
      </w:r>
      <w:r w:rsidRPr="00A20206">
        <w:rPr>
          <w:rFonts w:asciiTheme="minorHAnsi" w:hAnsiTheme="minorHAnsi" w:cstheme="minorHAnsi"/>
          <w:sz w:val="22"/>
          <w:szCs w:val="22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14:paraId="1D63EB57" w14:textId="06E90C2F" w:rsidR="00D6030C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Na důkaz svého souhlasu s textem a obsahem tohoto Dodatku č. </w:t>
      </w:r>
      <w:r w:rsidR="00361510"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k němu Smluvní strany připojily své podpisy. </w:t>
      </w:r>
    </w:p>
    <w:p w14:paraId="35852BEF" w14:textId="50F346E4" w:rsidR="006D6003" w:rsidRDefault="006D6003" w:rsidP="006D6003">
      <w:pPr>
        <w:widowControl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06C527F" w14:textId="2E63C6EE" w:rsidR="003F6500" w:rsidRPr="00AB576F" w:rsidRDefault="003F6500" w:rsidP="003F65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V Brně dne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="00C7197B">
        <w:rPr>
          <w:rFonts w:asciiTheme="minorHAnsi" w:hAnsiTheme="minorHAnsi" w:cstheme="minorHAnsi"/>
          <w:sz w:val="22"/>
          <w:szCs w:val="22"/>
        </w:rPr>
        <w:t>23.02.2022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  <w:t>V </w:t>
      </w:r>
      <w:r w:rsidR="00C7197B">
        <w:rPr>
          <w:rFonts w:asciiTheme="minorHAnsi" w:hAnsiTheme="minorHAnsi" w:cstheme="minorHAnsi"/>
          <w:sz w:val="22"/>
          <w:szCs w:val="22"/>
        </w:rPr>
        <w:t>Praze</w:t>
      </w:r>
      <w:r w:rsidRPr="00AB576F">
        <w:rPr>
          <w:rFonts w:asciiTheme="minorHAnsi" w:hAnsiTheme="minorHAnsi" w:cstheme="minorHAnsi"/>
          <w:sz w:val="22"/>
          <w:szCs w:val="22"/>
        </w:rPr>
        <w:t xml:space="preserve"> dne</w:t>
      </w:r>
      <w:r w:rsidR="00C7197B">
        <w:rPr>
          <w:rFonts w:asciiTheme="minorHAnsi" w:hAnsiTheme="minorHAnsi" w:cstheme="minorHAnsi"/>
          <w:sz w:val="22"/>
          <w:szCs w:val="22"/>
        </w:rPr>
        <w:t xml:space="preserve"> 9.2.2022</w:t>
      </w:r>
    </w:p>
    <w:p w14:paraId="16A5B977" w14:textId="77777777" w:rsidR="003F6500" w:rsidRDefault="003F6500" w:rsidP="003F65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C8D036" w14:textId="77777777" w:rsidR="003F6500" w:rsidRPr="00AB576F" w:rsidRDefault="003F6500" w:rsidP="003F65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E89A7C" w14:textId="77777777" w:rsidR="003F6500" w:rsidRPr="00AB576F" w:rsidRDefault="003F6500" w:rsidP="003F6500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AB576F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AB57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AB576F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5E96DDCB" w14:textId="7D3A6E6B" w:rsidR="00E5290C" w:rsidRDefault="00E5290C" w:rsidP="00E5290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Za Poskytovatele</w:t>
      </w:r>
      <w:r w:rsidR="003F6500" w:rsidRPr="00AB57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 Objednatele</w:t>
      </w:r>
    </w:p>
    <w:p w14:paraId="50184629" w14:textId="0EF16AB2" w:rsidR="00E5290C" w:rsidRDefault="00E5290C" w:rsidP="00E5290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B576F">
        <w:rPr>
          <w:rFonts w:asciiTheme="minorHAnsi" w:hAnsiTheme="minorHAnsi" w:cstheme="minorHAnsi"/>
          <w:sz w:val="22"/>
          <w:szCs w:val="22"/>
        </w:rPr>
        <w:t>Centrum dopravního výzkumu, v. v. i.</w:t>
      </w:r>
    </w:p>
    <w:p w14:paraId="394063FC" w14:textId="39BFD23E" w:rsidR="000E4EF4" w:rsidRPr="00E5290C" w:rsidRDefault="00E5290C" w:rsidP="003F6500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B576F">
        <w:rPr>
          <w:rFonts w:asciiTheme="minorHAnsi" w:hAnsiTheme="minorHAnsi" w:cstheme="minorHAnsi"/>
          <w:sz w:val="22"/>
          <w:szCs w:val="22"/>
        </w:rPr>
        <w:t>Ing. Jindřich Frič, Ph.D.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A72E0">
        <w:rPr>
          <w:rFonts w:asciiTheme="minorHAnsi" w:hAnsiTheme="minorHAnsi" w:cstheme="minorHAnsi"/>
          <w:sz w:val="22"/>
          <w:szCs w:val="22"/>
        </w:rPr>
        <w:t xml:space="preserve"> </w:t>
      </w:r>
      <w:r w:rsidRPr="00AB576F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ab/>
      </w:r>
      <w:r w:rsidRPr="00AB576F">
        <w:rPr>
          <w:rFonts w:asciiTheme="minorHAnsi" w:hAnsiTheme="minorHAnsi" w:cstheme="minorHAnsi"/>
          <w:sz w:val="22"/>
          <w:szCs w:val="22"/>
        </w:rPr>
        <w:tab/>
      </w:r>
    </w:p>
    <w:sectPr w:rsidR="000E4EF4" w:rsidRPr="00E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1A3"/>
    <w:multiLevelType w:val="multilevel"/>
    <w:tmpl w:val="4B62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5044B"/>
    <w:multiLevelType w:val="hybridMultilevel"/>
    <w:tmpl w:val="F0C8D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4A60"/>
    <w:multiLevelType w:val="multilevel"/>
    <w:tmpl w:val="342A769E"/>
    <w:lvl w:ilvl="0">
      <w:start w:val="3"/>
      <w:numFmt w:val="decimal"/>
      <w:lvlText w:val="%1"/>
      <w:lvlJc w:val="left"/>
      <w:pPr>
        <w:ind w:left="480" w:hanging="480"/>
      </w:pPr>
      <w:rPr>
        <w:u w:val="singl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u w:val="single"/>
      </w:rPr>
    </w:lvl>
  </w:abstractNum>
  <w:abstractNum w:abstractNumId="3" w15:restartNumberingAfterBreak="0">
    <w:nsid w:val="30090DEA"/>
    <w:multiLevelType w:val="hybridMultilevel"/>
    <w:tmpl w:val="DEC4C938"/>
    <w:lvl w:ilvl="0" w:tplc="13481B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6010A5B4">
      <w:numFmt w:val="bullet"/>
      <w:lvlText w:val="-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E4CEF"/>
    <w:multiLevelType w:val="hybridMultilevel"/>
    <w:tmpl w:val="6ED2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0B02"/>
    <w:multiLevelType w:val="hybridMultilevel"/>
    <w:tmpl w:val="F424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65A"/>
    <w:multiLevelType w:val="multilevel"/>
    <w:tmpl w:val="4E0C8F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0914739"/>
    <w:multiLevelType w:val="hybridMultilevel"/>
    <w:tmpl w:val="5AACF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6002"/>
    <w:multiLevelType w:val="hybridMultilevel"/>
    <w:tmpl w:val="53900DEC"/>
    <w:lvl w:ilvl="0" w:tplc="0405000F">
      <w:start w:val="1"/>
      <w:numFmt w:val="decimal"/>
      <w:lvlText w:val="%1."/>
      <w:lvlJc w:val="left"/>
      <w:pPr>
        <w:ind w:left="1734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6322455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066ED"/>
    <w:multiLevelType w:val="hybridMultilevel"/>
    <w:tmpl w:val="D826AC3C"/>
    <w:lvl w:ilvl="0" w:tplc="59AEBA3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3C10"/>
    <w:multiLevelType w:val="multilevel"/>
    <w:tmpl w:val="E076AFDC"/>
    <w:lvl w:ilvl="0">
      <w:start w:val="1"/>
      <w:numFmt w:val="decimal"/>
      <w:lvlText w:val="%1."/>
      <w:lvlJc w:val="left"/>
      <w:pPr>
        <w:ind w:left="360" w:hanging="360"/>
      </w:pPr>
      <w:rPr>
        <w:color w:val="353F3B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353F3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53F3B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53F3B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53F3B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53F3B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53F3B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53F3B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53F3B"/>
      </w:rPr>
    </w:lvl>
  </w:abstractNum>
  <w:abstractNum w:abstractNumId="13" w15:restartNumberingAfterBreak="0">
    <w:nsid w:val="51E740F5"/>
    <w:multiLevelType w:val="hybridMultilevel"/>
    <w:tmpl w:val="F0C8D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1C31"/>
    <w:multiLevelType w:val="multilevel"/>
    <w:tmpl w:val="62D28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420" w:hanging="720"/>
      </w:p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3180" w:hanging="108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940" w:hanging="144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700" w:hanging="180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15" w15:restartNumberingAfterBreak="0">
    <w:nsid w:val="5EC14C9F"/>
    <w:multiLevelType w:val="multilevel"/>
    <w:tmpl w:val="6186D1D2"/>
    <w:lvl w:ilvl="0">
      <w:start w:val="1"/>
      <w:numFmt w:val="decimal"/>
      <w:lvlText w:val="%1."/>
      <w:lvlJc w:val="left"/>
      <w:pPr>
        <w:ind w:left="360" w:hanging="360"/>
      </w:pPr>
      <w:rPr>
        <w:color w:val="353F3B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353F3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53F3B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53F3B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53F3B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53F3B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53F3B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53F3B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53F3B"/>
      </w:rPr>
    </w:lvl>
  </w:abstractNum>
  <w:abstractNum w:abstractNumId="16" w15:restartNumberingAfterBreak="0">
    <w:nsid w:val="60EF00DD"/>
    <w:multiLevelType w:val="hybridMultilevel"/>
    <w:tmpl w:val="523053A6"/>
    <w:lvl w:ilvl="0" w:tplc="216CA63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F5DCE"/>
    <w:multiLevelType w:val="hybridMultilevel"/>
    <w:tmpl w:val="0C544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1CB2"/>
    <w:multiLevelType w:val="hybridMultilevel"/>
    <w:tmpl w:val="5CFCC5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A7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B43F3"/>
    <w:multiLevelType w:val="hybridMultilevel"/>
    <w:tmpl w:val="10FAC06A"/>
    <w:lvl w:ilvl="0" w:tplc="21BE00D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6C084884"/>
    <w:multiLevelType w:val="multilevel"/>
    <w:tmpl w:val="6EE85D98"/>
    <w:lvl w:ilvl="0">
      <w:start w:val="3"/>
      <w:numFmt w:val="decimal"/>
      <w:lvlText w:val="%1"/>
      <w:lvlJc w:val="left"/>
      <w:pPr>
        <w:ind w:left="480" w:hanging="480"/>
      </w:pPr>
      <w:rPr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21" w15:restartNumberingAfterBreak="0">
    <w:nsid w:val="73DA4DB5"/>
    <w:multiLevelType w:val="hybridMultilevel"/>
    <w:tmpl w:val="C7C45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103D1"/>
    <w:multiLevelType w:val="multilevel"/>
    <w:tmpl w:val="18386F78"/>
    <w:lvl w:ilvl="0">
      <w:start w:val="2"/>
      <w:numFmt w:val="decimal"/>
      <w:lvlText w:val="%1"/>
      <w:lvlJc w:val="left"/>
      <w:pPr>
        <w:ind w:left="480" w:hanging="480"/>
      </w:pPr>
      <w:rPr>
        <w:b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u w:val="single"/>
      </w:rPr>
    </w:lvl>
  </w:abstractNum>
  <w:abstractNum w:abstractNumId="23" w15:restartNumberingAfterBreak="0">
    <w:nsid w:val="74C16274"/>
    <w:multiLevelType w:val="hybridMultilevel"/>
    <w:tmpl w:val="5536889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3"/>
  </w:num>
  <w:num w:numId="18">
    <w:abstractNumId w:val="18"/>
  </w:num>
  <w:num w:numId="19">
    <w:abstractNumId w:val="9"/>
  </w:num>
  <w:num w:numId="20">
    <w:abstractNumId w:val="1"/>
  </w:num>
  <w:num w:numId="21">
    <w:abstractNumId w:val="13"/>
  </w:num>
  <w:num w:numId="22">
    <w:abstractNumId w:val="2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8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4D"/>
    <w:rsid w:val="00033240"/>
    <w:rsid w:val="000424AA"/>
    <w:rsid w:val="00055616"/>
    <w:rsid w:val="00077818"/>
    <w:rsid w:val="00094B27"/>
    <w:rsid w:val="000B494B"/>
    <w:rsid w:val="000E1C37"/>
    <w:rsid w:val="000E4EF4"/>
    <w:rsid w:val="00127A13"/>
    <w:rsid w:val="00127BFA"/>
    <w:rsid w:val="00284AC4"/>
    <w:rsid w:val="002D7294"/>
    <w:rsid w:val="0031474D"/>
    <w:rsid w:val="00350D96"/>
    <w:rsid w:val="00361510"/>
    <w:rsid w:val="00380F93"/>
    <w:rsid w:val="00397800"/>
    <w:rsid w:val="003C536D"/>
    <w:rsid w:val="003D0C45"/>
    <w:rsid w:val="003D6DDC"/>
    <w:rsid w:val="003F6500"/>
    <w:rsid w:val="00411C90"/>
    <w:rsid w:val="004303C5"/>
    <w:rsid w:val="004345E1"/>
    <w:rsid w:val="00510E4F"/>
    <w:rsid w:val="00530150"/>
    <w:rsid w:val="005602EF"/>
    <w:rsid w:val="005C5558"/>
    <w:rsid w:val="005D3A09"/>
    <w:rsid w:val="00606A4B"/>
    <w:rsid w:val="00637CC7"/>
    <w:rsid w:val="0064466B"/>
    <w:rsid w:val="006551D6"/>
    <w:rsid w:val="006676A7"/>
    <w:rsid w:val="006A0A58"/>
    <w:rsid w:val="006B4A51"/>
    <w:rsid w:val="006B5C4B"/>
    <w:rsid w:val="006D6003"/>
    <w:rsid w:val="007A2820"/>
    <w:rsid w:val="007C4D94"/>
    <w:rsid w:val="00832319"/>
    <w:rsid w:val="00853ABD"/>
    <w:rsid w:val="00855891"/>
    <w:rsid w:val="00863D49"/>
    <w:rsid w:val="008B69E9"/>
    <w:rsid w:val="00976859"/>
    <w:rsid w:val="009A3C50"/>
    <w:rsid w:val="009C4BE3"/>
    <w:rsid w:val="009E36E6"/>
    <w:rsid w:val="00A35121"/>
    <w:rsid w:val="00A55E36"/>
    <w:rsid w:val="00A64C8E"/>
    <w:rsid w:val="00AB6020"/>
    <w:rsid w:val="00AC17D1"/>
    <w:rsid w:val="00AD6CA3"/>
    <w:rsid w:val="00B27125"/>
    <w:rsid w:val="00BB1456"/>
    <w:rsid w:val="00C04222"/>
    <w:rsid w:val="00C65C87"/>
    <w:rsid w:val="00C7197B"/>
    <w:rsid w:val="00C96042"/>
    <w:rsid w:val="00CE4CC6"/>
    <w:rsid w:val="00CE7B90"/>
    <w:rsid w:val="00D6030C"/>
    <w:rsid w:val="00D610DE"/>
    <w:rsid w:val="00D61188"/>
    <w:rsid w:val="00DC497A"/>
    <w:rsid w:val="00E37FA1"/>
    <w:rsid w:val="00E5290C"/>
    <w:rsid w:val="00E729D8"/>
    <w:rsid w:val="00F00643"/>
    <w:rsid w:val="00F05413"/>
    <w:rsid w:val="00F11002"/>
    <w:rsid w:val="00F11F44"/>
    <w:rsid w:val="00F768D3"/>
    <w:rsid w:val="00F87870"/>
    <w:rsid w:val="00F93F0D"/>
    <w:rsid w:val="00FB3B16"/>
    <w:rsid w:val="00FC0C25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6FC6"/>
  <w15:docId w15:val="{BD52AC4B-8662-4C20-9174-D38B8FA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474D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1474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31474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kladntext2">
    <w:name w:val="Základní text (2)_"/>
    <w:basedOn w:val="Standardnpsmoodstavce"/>
    <w:link w:val="Zkladntext20"/>
    <w:locked/>
    <w:rsid w:val="0031474D"/>
    <w:rPr>
      <w:rFonts w:ascii="Arial" w:eastAsia="Arial" w:hAnsi="Arial" w:cs="Arial"/>
      <w:color w:val="25272A"/>
    </w:rPr>
  </w:style>
  <w:style w:type="paragraph" w:customStyle="1" w:styleId="Zkladntext20">
    <w:name w:val="Základní text (2)"/>
    <w:basedOn w:val="Normln"/>
    <w:link w:val="Zkladntext2"/>
    <w:rsid w:val="0031474D"/>
    <w:pPr>
      <w:spacing w:after="100"/>
      <w:ind w:left="700" w:hanging="700"/>
    </w:pPr>
    <w:rPr>
      <w:rFonts w:ascii="Arial" w:eastAsia="Arial" w:hAnsi="Arial" w:cs="Arial"/>
      <w:color w:val="25272A"/>
      <w:sz w:val="22"/>
      <w:szCs w:val="22"/>
      <w:lang w:eastAsia="en-US" w:bidi="ar-SA"/>
    </w:rPr>
  </w:style>
  <w:style w:type="character" w:customStyle="1" w:styleId="Zhlavnebozpat2">
    <w:name w:val="Záhlaví nebo zápatí (2)_"/>
    <w:basedOn w:val="Standardnpsmoodstavce"/>
    <w:link w:val="Zhlavnebozpat20"/>
    <w:locked/>
    <w:rsid w:val="0031474D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31474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kladntext3">
    <w:name w:val="Základní text (3)_"/>
    <w:basedOn w:val="Standardnpsmoodstavce"/>
    <w:link w:val="Zkladntext30"/>
    <w:locked/>
    <w:rsid w:val="0031474D"/>
    <w:rPr>
      <w:rFonts w:ascii="Arial" w:eastAsia="Arial" w:hAnsi="Arial" w:cs="Arial"/>
      <w:color w:val="25272A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31474D"/>
    <w:pPr>
      <w:spacing w:after="40" w:line="252" w:lineRule="auto"/>
    </w:pPr>
    <w:rPr>
      <w:rFonts w:ascii="Arial" w:eastAsia="Arial" w:hAnsi="Arial" w:cs="Arial"/>
      <w:color w:val="25272A"/>
      <w:sz w:val="17"/>
      <w:szCs w:val="17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5D3A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A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1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F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A0A5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2022-02-25T08:57:00Z</dcterms:created>
  <dcterms:modified xsi:type="dcterms:W3CDTF">2022-02-25T09:00:00Z</dcterms:modified>
</cp:coreProperties>
</file>