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8C" w:rsidRDefault="00E325CA">
      <w:pPr>
        <w:pStyle w:val="Zkladntext20"/>
        <w:framePr w:wrap="none" w:vAnchor="page" w:hAnchor="page" w:x="1187" w:y="1237"/>
        <w:shd w:val="clear" w:color="auto" w:fill="auto"/>
        <w:spacing w:after="0" w:line="220" w:lineRule="exact"/>
        <w:ind w:left="7200" w:firstLine="0"/>
      </w:pPr>
      <w:r>
        <w:t>č.j. NG/489/2017</w:t>
      </w:r>
    </w:p>
    <w:p w:rsidR="003A638C" w:rsidRDefault="00E325CA">
      <w:pPr>
        <w:pStyle w:val="Zkladntext20"/>
        <w:framePr w:wrap="none" w:vAnchor="page" w:hAnchor="page" w:x="1187" w:y="1766"/>
        <w:shd w:val="clear" w:color="auto" w:fill="auto"/>
        <w:spacing w:after="0" w:line="220" w:lineRule="exact"/>
        <w:ind w:firstLine="0"/>
        <w:jc w:val="both"/>
      </w:pPr>
      <w:r>
        <w:t>Níže uvedeného dne, měsíce a roku spolu uzavřely smluvní strany</w:t>
      </w:r>
    </w:p>
    <w:p w:rsidR="003A638C" w:rsidRDefault="00E325CA">
      <w:pPr>
        <w:pStyle w:val="Nadpis30"/>
        <w:framePr w:w="9158" w:h="5624" w:hRule="exact" w:wrap="none" w:vAnchor="page" w:hAnchor="page" w:x="1187" w:y="2527"/>
        <w:shd w:val="clear" w:color="auto" w:fill="auto"/>
        <w:spacing w:before="0"/>
      </w:pPr>
      <w:bookmarkStart w:id="0" w:name="bookmark0"/>
      <w:r>
        <w:t>Národní galerie v Praze</w:t>
      </w:r>
      <w:bookmarkEnd w:id="0"/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>státní příspěvková organizace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>se sídlem Staroměstské nám. 12, 110 15 Praha 1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>zastoupená Doc. Dr. et Ing. Jiřím Fajtem, PhD, generálním ředitelem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 xml:space="preserve">IČO: </w:t>
      </w:r>
      <w:r>
        <w:t>00023281, DIČ: CZ00023281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 xml:space="preserve">bankovní spojení: </w:t>
      </w:r>
      <w:r w:rsidR="00023F92">
        <w:t>XXX</w:t>
      </w:r>
      <w:r>
        <w:t xml:space="preserve">, č.ú.: </w:t>
      </w:r>
      <w:r w:rsidR="00023F92">
        <w:t>XXXXXXXXXXXXXXXXX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274" w:line="263" w:lineRule="exact"/>
        <w:ind w:firstLine="0"/>
        <w:jc w:val="both"/>
      </w:pPr>
      <w:r>
        <w:t>(dále jen „NG“)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204" w:line="220" w:lineRule="exact"/>
        <w:ind w:firstLine="0"/>
        <w:jc w:val="both"/>
      </w:pPr>
      <w:r>
        <w:t>a</w:t>
      </w:r>
    </w:p>
    <w:p w:rsidR="003A638C" w:rsidRDefault="00E325CA">
      <w:pPr>
        <w:pStyle w:val="Nadpis30"/>
        <w:framePr w:w="9158" w:h="5624" w:hRule="exact" w:wrap="none" w:vAnchor="page" w:hAnchor="page" w:x="1187" w:y="2527"/>
        <w:shd w:val="clear" w:color="auto" w:fill="auto"/>
        <w:spacing w:before="0"/>
      </w:pPr>
      <w:bookmarkStart w:id="1" w:name="bookmark1"/>
      <w:r>
        <w:t>PIAF, a.s.</w:t>
      </w:r>
      <w:bookmarkEnd w:id="1"/>
    </w:p>
    <w:p w:rsidR="00023F92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right="3000" w:firstLine="0"/>
      </w:pPr>
      <w:r>
        <w:t xml:space="preserve">se sídlem Mánesova 92, 120 00 Praha 2, Nové Město 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right="3000" w:firstLine="0"/>
      </w:pPr>
      <w:r>
        <w:t>samostatně jednající: PhDr. Markem Hlavicou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>zapsaná v obchodním rejstříku vedeném Městským soudem v</w:t>
      </w:r>
      <w:r>
        <w:t xml:space="preserve"> Praze, v oddílu B, vložce 15897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>IČO: 29024978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>DIČ: CZ29024978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 xml:space="preserve">Bankovní spojení: </w:t>
      </w:r>
      <w:r w:rsidR="00023F92">
        <w:t>XXXXXXXXXXXXXXXX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63" w:lineRule="exact"/>
        <w:ind w:firstLine="0"/>
        <w:jc w:val="both"/>
      </w:pPr>
      <w:r>
        <w:t>Korespondenční adresa: Jankovcova 23, Praha 7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274" w:line="263" w:lineRule="exact"/>
        <w:ind w:firstLine="0"/>
        <w:jc w:val="both"/>
      </w:pPr>
      <w:r>
        <w:t>(dále jen „PIAF“)</w:t>
      </w:r>
    </w:p>
    <w:p w:rsidR="003A638C" w:rsidRDefault="00E325CA">
      <w:pPr>
        <w:pStyle w:val="Zkladntext20"/>
        <w:framePr w:w="9158" w:h="5624" w:hRule="exact" w:wrap="none" w:vAnchor="page" w:hAnchor="page" w:x="1187" w:y="2527"/>
        <w:shd w:val="clear" w:color="auto" w:fill="auto"/>
        <w:spacing w:after="0" w:line="220" w:lineRule="exact"/>
        <w:ind w:firstLine="0"/>
        <w:jc w:val="both"/>
      </w:pPr>
      <w:r>
        <w:t>uzavírají dle zákona ě. 89/2012 Sb. tuto</w:t>
      </w:r>
    </w:p>
    <w:p w:rsidR="003A638C" w:rsidRDefault="00E325CA">
      <w:pPr>
        <w:pStyle w:val="Zkladntext30"/>
        <w:framePr w:w="9158" w:h="955" w:hRule="exact" w:wrap="none" w:vAnchor="page" w:hAnchor="page" w:x="1187" w:y="8637"/>
        <w:shd w:val="clear" w:color="auto" w:fill="auto"/>
        <w:spacing w:before="0"/>
      </w:pPr>
      <w:r>
        <w:rPr>
          <w:rStyle w:val="Zkladntext3Malpsmena"/>
          <w:b/>
          <w:bCs/>
        </w:rPr>
        <w:t>Smlouvu o vzájemné spolupráci</w:t>
      </w:r>
      <w:r>
        <w:rPr>
          <w:rStyle w:val="Zkladntext3Malpsmena"/>
          <w:b/>
          <w:bCs/>
        </w:rPr>
        <w:br/>
        <w:t xml:space="preserve">při pořádání </w:t>
      </w:r>
      <w:r>
        <w:rPr>
          <w:rStyle w:val="Zkladntext3Malpsmena"/>
          <w:b/>
          <w:bCs/>
          <w:lang w:val="en-US" w:eastAsia="en-US" w:bidi="en-US"/>
        </w:rPr>
        <w:t xml:space="preserve">„Prague international advertising festival </w:t>
      </w:r>
      <w:r>
        <w:rPr>
          <w:rStyle w:val="Zkladntext314pt"/>
          <w:b/>
          <w:bCs/>
        </w:rPr>
        <w:t>2017</w:t>
      </w:r>
      <w:r>
        <w:rPr>
          <w:rStyle w:val="Zkladntext365ptNetun"/>
        </w:rPr>
        <w:t>“</w:t>
      </w:r>
    </w:p>
    <w:p w:rsidR="003A638C" w:rsidRDefault="00E325CA">
      <w:pPr>
        <w:pStyle w:val="Zkladntext20"/>
        <w:framePr w:w="9158" w:h="955" w:hRule="exact" w:wrap="none" w:vAnchor="page" w:hAnchor="page" w:x="1187" w:y="8637"/>
        <w:shd w:val="clear" w:color="auto" w:fill="auto"/>
        <w:spacing w:after="0" w:line="220" w:lineRule="exact"/>
        <w:ind w:firstLine="0"/>
        <w:jc w:val="center"/>
      </w:pPr>
      <w:r>
        <w:t xml:space="preserve">dle </w:t>
      </w:r>
      <w:r>
        <w:rPr>
          <w:lang w:val="en-US" w:eastAsia="en-US" w:bidi="en-US"/>
        </w:rPr>
        <w:t xml:space="preserve">ust.§ 1746 </w:t>
      </w:r>
      <w:r>
        <w:t xml:space="preserve">odst. </w:t>
      </w:r>
      <w:r>
        <w:rPr>
          <w:lang w:val="en-US" w:eastAsia="en-US" w:bidi="en-US"/>
        </w:rPr>
        <w:t xml:space="preserve">2, </w:t>
      </w:r>
      <w:r>
        <w:t>zák. 89/2012 Sb. občanský zákoník</w:t>
      </w:r>
    </w:p>
    <w:p w:rsidR="003A638C" w:rsidRDefault="00E325CA">
      <w:pPr>
        <w:pStyle w:val="Nadpis30"/>
        <w:framePr w:w="9158" w:h="5015" w:hRule="exact" w:wrap="none" w:vAnchor="page" w:hAnchor="page" w:x="1187" w:y="9863"/>
        <w:shd w:val="clear" w:color="auto" w:fill="auto"/>
        <w:spacing w:before="0" w:line="529" w:lineRule="exact"/>
        <w:jc w:val="center"/>
      </w:pPr>
      <w:bookmarkStart w:id="2" w:name="bookmark2"/>
      <w:r>
        <w:t>Preambule</w:t>
      </w:r>
      <w:bookmarkEnd w:id="2"/>
    </w:p>
    <w:p w:rsidR="003A638C" w:rsidRDefault="00E325CA">
      <w:pPr>
        <w:pStyle w:val="Zkladntext40"/>
        <w:framePr w:w="9158" w:h="5015" w:hRule="exact" w:wrap="none" w:vAnchor="page" w:hAnchor="page" w:x="1187" w:y="9863"/>
        <w:shd w:val="clear" w:color="auto" w:fill="auto"/>
      </w:pPr>
      <w:r>
        <w:t>Touto smlouvou vyjadřují smluvní strany vzájemnou vůli spolupracovat při realizaci akce</w:t>
      </w:r>
    </w:p>
    <w:p w:rsidR="003A638C" w:rsidRDefault="00E325CA">
      <w:pPr>
        <w:pStyle w:val="Nadpis30"/>
        <w:framePr w:w="9158" w:h="5015" w:hRule="exact" w:wrap="none" w:vAnchor="page" w:hAnchor="page" w:x="1187" w:y="9863"/>
        <w:numPr>
          <w:ilvl w:val="0"/>
          <w:numId w:val="1"/>
        </w:numPr>
        <w:shd w:val="clear" w:color="auto" w:fill="auto"/>
        <w:tabs>
          <w:tab w:val="left" w:pos="4026"/>
        </w:tabs>
        <w:spacing w:before="0" w:line="529" w:lineRule="exact"/>
        <w:ind w:left="3680"/>
      </w:pPr>
      <w:bookmarkStart w:id="3" w:name="bookmark3"/>
      <w:r>
        <w:t>Úvodní ustanovení</w:t>
      </w:r>
      <w:bookmarkEnd w:id="3"/>
    </w:p>
    <w:p w:rsidR="003A638C" w:rsidRDefault="00E325CA">
      <w:pPr>
        <w:pStyle w:val="Zkladntext20"/>
        <w:framePr w:w="9158" w:h="5015" w:hRule="exact" w:wrap="none" w:vAnchor="page" w:hAnchor="page" w:x="1187" w:y="9863"/>
        <w:numPr>
          <w:ilvl w:val="0"/>
          <w:numId w:val="2"/>
        </w:numPr>
        <w:shd w:val="clear" w:color="auto" w:fill="auto"/>
        <w:tabs>
          <w:tab w:val="left" w:pos="366"/>
        </w:tabs>
        <w:spacing w:after="240" w:line="263" w:lineRule="exact"/>
        <w:ind w:firstLine="0"/>
        <w:jc w:val="both"/>
      </w:pPr>
      <w:r>
        <w:t>1 NG je státní příspěvková organizace, zřízená zákonem č. 148/1949 Sb., o Národní galerii v Praze, která v souladu se svým statutem pořádá vzdělávací a kulturní programy související s předmětem činnosti v rozsahu své působnosti a spolupracuje s právnickými</w:t>
      </w:r>
      <w:r>
        <w:t xml:space="preserve"> a fyzickými osobami v České republice i zahraničí. NG je příslušná hospodařit s majetkem státu ČR - </w:t>
      </w:r>
      <w:r>
        <w:rPr>
          <w:rStyle w:val="Zkladntext2Tun"/>
        </w:rPr>
        <w:t>Veletržním palácem, Dukelských hrdinů 47, Praha 7, LV č. 257, kat. území Holešovice, stavba č. p. 530, na par</w:t>
      </w:r>
      <w:r w:rsidR="00023F92">
        <w:rPr>
          <w:rStyle w:val="Zkladntext2Tun"/>
        </w:rPr>
        <w:t>c</w:t>
      </w:r>
      <w:r>
        <w:rPr>
          <w:rStyle w:val="Zkladntext2Tun"/>
        </w:rPr>
        <w:t xml:space="preserve">. č. 1666 </w:t>
      </w:r>
      <w:r>
        <w:t>a je tedy oprávněna uzavřít tuto sm</w:t>
      </w:r>
      <w:r>
        <w:t>louvu. Předmětné nebytové prostory v době touto smlouvou stanovené NG nepotřebuje k</w:t>
      </w:r>
      <w:r w:rsidR="00023F92">
        <w:t xml:space="preserve"> </w:t>
      </w:r>
      <w:r>
        <w:t>jinému účelu a plnění svých úkolů dle zákona ě. 219/2000 Sb., kdy uspořádáním akce níže uvedené bude dosaženo účelnějšího využití těchto prostor.</w:t>
      </w:r>
    </w:p>
    <w:p w:rsidR="003A638C" w:rsidRDefault="00E325CA">
      <w:pPr>
        <w:pStyle w:val="Zkladntext20"/>
        <w:framePr w:w="9158" w:h="5015" w:hRule="exact" w:wrap="none" w:vAnchor="page" w:hAnchor="page" w:x="1187" w:y="9863"/>
        <w:shd w:val="clear" w:color="auto" w:fill="auto"/>
        <w:spacing w:after="0" w:line="263" w:lineRule="exact"/>
        <w:ind w:firstLine="0"/>
        <w:jc w:val="both"/>
      </w:pPr>
      <w:r>
        <w:rPr>
          <w:rStyle w:val="Zkladntext2Tun"/>
        </w:rPr>
        <w:t xml:space="preserve">1. 2 PIAF </w:t>
      </w:r>
      <w:r>
        <w:t>je akciová společ</w:t>
      </w:r>
      <w:r>
        <w:t>nost s předmětem podnikání výroba, obchod a služby neuvedené v přílohách 1 až 3 živnostenského zákona.</w:t>
      </w:r>
    </w:p>
    <w:p w:rsidR="003A638C" w:rsidRDefault="00E325CA">
      <w:pPr>
        <w:pStyle w:val="ZhlavneboZpat0"/>
        <w:framePr w:wrap="none" w:vAnchor="page" w:hAnchor="page" w:x="10212" w:y="15743"/>
        <w:shd w:val="clear" w:color="auto" w:fill="auto"/>
        <w:spacing w:line="150" w:lineRule="exact"/>
      </w:pPr>
      <w:r>
        <w:t>1</w:t>
      </w:r>
    </w:p>
    <w:p w:rsidR="003A638C" w:rsidRDefault="003A638C">
      <w:pPr>
        <w:rPr>
          <w:sz w:val="2"/>
          <w:szCs w:val="2"/>
        </w:rPr>
        <w:sectPr w:rsidR="003A63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638C" w:rsidRDefault="00E325CA">
      <w:pPr>
        <w:pStyle w:val="Nadpis30"/>
        <w:framePr w:wrap="none" w:vAnchor="page" w:hAnchor="page" w:x="1198" w:y="1701"/>
        <w:numPr>
          <w:ilvl w:val="0"/>
          <w:numId w:val="2"/>
        </w:numPr>
        <w:shd w:val="clear" w:color="auto" w:fill="auto"/>
        <w:tabs>
          <w:tab w:val="left" w:pos="3771"/>
        </w:tabs>
        <w:spacing w:before="0" w:line="220" w:lineRule="exact"/>
        <w:ind w:left="3440"/>
      </w:pPr>
      <w:bookmarkStart w:id="4" w:name="bookmark4"/>
      <w:r>
        <w:lastRenderedPageBreak/>
        <w:t>Předmět a účel smlouvy</w:t>
      </w:r>
      <w:bookmarkEnd w:id="4"/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1"/>
          <w:numId w:val="2"/>
        </w:numPr>
        <w:shd w:val="clear" w:color="auto" w:fill="auto"/>
        <w:tabs>
          <w:tab w:val="left" w:pos="581"/>
        </w:tabs>
        <w:spacing w:after="240" w:line="263" w:lineRule="exact"/>
        <w:ind w:left="580"/>
        <w:jc w:val="both"/>
      </w:pPr>
      <w:r>
        <w:t>Předmětem smlouvy jsou vzájemná práva a povinnosti smluvních stran při pořádání programu specifikovaného</w:t>
      </w:r>
      <w:r>
        <w:t xml:space="preserve"> v odst. 2.2 této smlouvy, a to za podmínek níže specifikovaných.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1"/>
          <w:numId w:val="2"/>
        </w:numPr>
        <w:shd w:val="clear" w:color="auto" w:fill="auto"/>
        <w:tabs>
          <w:tab w:val="left" w:pos="581"/>
        </w:tabs>
        <w:spacing w:after="514" w:line="263" w:lineRule="exact"/>
        <w:ind w:left="580"/>
        <w:jc w:val="both"/>
      </w:pPr>
      <w:r>
        <w:t xml:space="preserve">Programem se rozumí realizace konference (dále jen „akce“) </w:t>
      </w:r>
      <w:r>
        <w:rPr>
          <w:rStyle w:val="Zkladntext2Tun"/>
        </w:rPr>
        <w:t xml:space="preserve">„Prague International Advertising Festival“ </w:t>
      </w:r>
      <w:r>
        <w:t xml:space="preserve">(dále jen akce), jejímž cílem je zvýšení kvalifikace odborníků v komunikaci a </w:t>
      </w:r>
      <w:r>
        <w:t>marketingu, podpora studia medií a komunikace. Akce se uskuteční ve dnech 22. a 25. 5. 2017 v prostoru: Studia Hrdinů ve Veletržním paláci (vstup E, foyer, schodiště do sálu E, vchod E 1), jak je vyznačeno ve schématu obsaženém v příloze č. 1., která tvoří</w:t>
      </w:r>
      <w:r>
        <w:t xml:space="preserve"> nedílnou součást této Smlouvy a za podmínek touto smlouvou dále uvedených.</w:t>
      </w:r>
    </w:p>
    <w:p w:rsidR="003A638C" w:rsidRDefault="00E325CA">
      <w:pPr>
        <w:pStyle w:val="Nadpis30"/>
        <w:framePr w:w="9137" w:h="12905" w:hRule="exact" w:wrap="none" w:vAnchor="page" w:hAnchor="page" w:x="1198" w:y="2192"/>
        <w:numPr>
          <w:ilvl w:val="0"/>
          <w:numId w:val="2"/>
        </w:numPr>
        <w:shd w:val="clear" w:color="auto" w:fill="auto"/>
        <w:tabs>
          <w:tab w:val="left" w:pos="3035"/>
        </w:tabs>
        <w:spacing w:before="0" w:after="246" w:line="220" w:lineRule="exact"/>
        <w:ind w:left="2700"/>
      </w:pPr>
      <w:bookmarkStart w:id="5" w:name="bookmark5"/>
      <w:r>
        <w:t>Práva a povinnosti smluvních stran</w:t>
      </w:r>
      <w:bookmarkEnd w:id="5"/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1"/>
          <w:numId w:val="2"/>
        </w:numPr>
        <w:shd w:val="clear" w:color="auto" w:fill="auto"/>
        <w:tabs>
          <w:tab w:val="left" w:pos="581"/>
        </w:tabs>
        <w:spacing w:after="215" w:line="220" w:lineRule="exact"/>
        <w:ind w:left="580"/>
        <w:jc w:val="both"/>
      </w:pPr>
      <w:r>
        <w:t>NG se touto smlouvou zavazuje: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3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>poskytnout nebytový prostor specifikovaný v čl. 2 této smlouvy na celou dobu trvání akce včetně příprav a likvidac</w:t>
      </w:r>
      <w:r>
        <w:t>e dle harmonogramu, který tvoří nedílnou součást této smlouvy jako příloha č. 2; NG předá PIAF předmětné prostory dne 22. 5. 2017 v 12.00 hodin; PIAF předá NG vyklizené a uklizené předmětné prostory dne 25. 5. 2017 v 12.00 hodin;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3"/>
        </w:numPr>
        <w:shd w:val="clear" w:color="auto" w:fill="auto"/>
        <w:tabs>
          <w:tab w:val="left" w:pos="581"/>
        </w:tabs>
        <w:spacing w:after="334" w:line="263" w:lineRule="exact"/>
        <w:ind w:left="580" w:hanging="400"/>
        <w:jc w:val="both"/>
      </w:pPr>
      <w:r>
        <w:t xml:space="preserve">poskytnout souhlas s </w:t>
      </w:r>
      <w:r>
        <w:t>umístěním reklamního poutače a stanu na prostranství před Veletržním paláce v souladu s vizualizací v příloze č.3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1"/>
          <w:numId w:val="2"/>
        </w:numPr>
        <w:shd w:val="clear" w:color="auto" w:fill="auto"/>
        <w:tabs>
          <w:tab w:val="left" w:pos="581"/>
        </w:tabs>
        <w:spacing w:after="215" w:line="220" w:lineRule="exact"/>
        <w:ind w:left="580"/>
        <w:jc w:val="both"/>
      </w:pPr>
      <w:r>
        <w:t>PIAF se touto smlouvou zavazuje: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>zajistit a vypořádat veškerá autorská práva a jiná práva, která jsou realizací akce dotčena;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>na základě faktu</w:t>
      </w:r>
      <w:r>
        <w:t>ry vystavené NG uhradit náklady spojené s organizací akce ve výši: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shd w:val="clear" w:color="auto" w:fill="auto"/>
        <w:spacing w:after="0" w:line="263" w:lineRule="exact"/>
        <w:ind w:left="580" w:firstLine="0"/>
      </w:pPr>
      <w:r>
        <w:t>66 000,- Kč bez DPH tj. s 21% DPH (které činí 13 860,- Kč). Celková cena včetně DPH 79860,- Kč (slovy sedmdesátdevět tisíc osmsetšedesát korun českých);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>uvádět Národní galerii jako partnera</w:t>
      </w:r>
      <w:r>
        <w:t xml:space="preserve"> akce, a dle povahy materiálu uvádět slovně „Národní galerie v Praze“ nebo logem NG mezi partnery akce ve veškeré propagaci;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 xml:space="preserve">dodržovat ve veškeré komunikaci správné uvedení lokace, kde se akce koná: </w:t>
      </w:r>
      <w:r>
        <w:rPr>
          <w:rStyle w:val="Zkladntext2Tun"/>
        </w:rPr>
        <w:t>„Studio Hrdinů, Národní galerie v Praze - Veletržní palác</w:t>
      </w:r>
      <w:r>
        <w:rPr>
          <w:rStyle w:val="Zkladntext2Tun"/>
        </w:rPr>
        <w:t xml:space="preserve">“ </w:t>
      </w:r>
      <w:r>
        <w:t xml:space="preserve">a je-li to možné, uvádět do slovního uvedení NG aktivní prolink na </w:t>
      </w:r>
      <w:hyperlink r:id="rId7" w:history="1">
        <w:r>
          <w:rPr>
            <w:rStyle w:val="Hypertextovodkaz"/>
            <w:lang w:val="en-US" w:eastAsia="en-US" w:bidi="en-US"/>
          </w:rPr>
          <w:t>www.ngprague.cz</w:t>
        </w:r>
      </w:hyperlink>
      <w:r>
        <w:rPr>
          <w:lang w:val="en-US" w:eastAsia="en-US" w:bidi="en-US"/>
        </w:rPr>
        <w:t>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>užívat poskytnuté prostory výhradně za účelem příprav a realizace samotné akce;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>dbát na to, aby při přípravách akce byl minimalizován</w:t>
      </w:r>
      <w:r>
        <w:t xml:space="preserve"> hluk omezující návštěvníky NG a zajistit, aby přípravy ani akce samotná neměly vliv na běžný chod NG;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0" w:line="263" w:lineRule="exact"/>
        <w:ind w:left="580" w:hanging="400"/>
        <w:jc w:val="both"/>
      </w:pPr>
      <w:r>
        <w:t>poskytnout NG mediální prostor pro propagaci aktivit Národní galerie v Praze (projekce spotů NG ve foyer);</w:t>
      </w:r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0"/>
          <w:numId w:val="4"/>
        </w:numPr>
        <w:shd w:val="clear" w:color="auto" w:fill="auto"/>
        <w:tabs>
          <w:tab w:val="left" w:pos="581"/>
        </w:tabs>
        <w:spacing w:after="514" w:line="263" w:lineRule="exact"/>
        <w:ind w:left="580" w:hanging="400"/>
        <w:jc w:val="both"/>
      </w:pPr>
      <w:r>
        <w:t xml:space="preserve">poskytnout pověřenému zástupci odboru </w:t>
      </w:r>
      <w:r>
        <w:t>tiskového a propagačního NG 8 akreditací na akci.</w:t>
      </w:r>
    </w:p>
    <w:p w:rsidR="003A638C" w:rsidRDefault="00E325CA">
      <w:pPr>
        <w:pStyle w:val="Nadpis30"/>
        <w:framePr w:w="9137" w:h="12905" w:hRule="exact" w:wrap="none" w:vAnchor="page" w:hAnchor="page" w:x="1198" w:y="2192"/>
        <w:numPr>
          <w:ilvl w:val="0"/>
          <w:numId w:val="2"/>
        </w:numPr>
        <w:shd w:val="clear" w:color="auto" w:fill="auto"/>
        <w:tabs>
          <w:tab w:val="left" w:pos="3127"/>
        </w:tabs>
        <w:spacing w:before="0" w:after="215" w:line="220" w:lineRule="exact"/>
        <w:ind w:left="2800"/>
      </w:pPr>
      <w:bookmarkStart w:id="6" w:name="bookmark6"/>
      <w:r>
        <w:t>Základní technické a provozní podmínky</w:t>
      </w:r>
      <w:bookmarkEnd w:id="6"/>
    </w:p>
    <w:p w:rsidR="003A638C" w:rsidRDefault="00E325CA">
      <w:pPr>
        <w:pStyle w:val="Zkladntext20"/>
        <w:framePr w:w="9137" w:h="12905" w:hRule="exact" w:wrap="none" w:vAnchor="page" w:hAnchor="page" w:x="1198" w:y="2192"/>
        <w:numPr>
          <w:ilvl w:val="1"/>
          <w:numId w:val="2"/>
        </w:numPr>
        <w:shd w:val="clear" w:color="auto" w:fill="auto"/>
        <w:tabs>
          <w:tab w:val="left" w:pos="581"/>
        </w:tabs>
        <w:spacing w:after="0" w:line="263" w:lineRule="exact"/>
        <w:ind w:left="580"/>
        <w:jc w:val="both"/>
      </w:pPr>
      <w:r>
        <w:t>Smluvní strany této smlouvy se zavazují k vzájemné součinnosti a k oboustrannému poskytování informací nezbytných pro úspěšné provedení akce.</w:t>
      </w:r>
    </w:p>
    <w:p w:rsidR="00023F92" w:rsidRDefault="00E325CA" w:rsidP="00023F92">
      <w:pPr>
        <w:pStyle w:val="Zkladntext20"/>
        <w:framePr w:w="9137" w:h="12905" w:hRule="exact" w:wrap="none" w:vAnchor="page" w:hAnchor="page" w:x="1198" w:y="2192"/>
        <w:numPr>
          <w:ilvl w:val="0"/>
          <w:numId w:val="7"/>
        </w:numPr>
        <w:shd w:val="clear" w:color="auto" w:fill="auto"/>
        <w:spacing w:after="0" w:line="263" w:lineRule="exact"/>
        <w:jc w:val="both"/>
      </w:pPr>
      <w:r>
        <w:t>kontaktní osoba za NG:</w:t>
      </w:r>
      <w:r>
        <w:t xml:space="preserve"> </w:t>
      </w:r>
      <w:r w:rsidR="00023F92">
        <w:t>XXXXXXXXXX</w:t>
      </w:r>
      <w:r>
        <w:t xml:space="preserve">, </w:t>
      </w:r>
      <w:r w:rsidR="00023F92">
        <w:t>XXXXXXXXXXXXX</w:t>
      </w:r>
      <w:r>
        <w:rPr>
          <w:rStyle w:val="Zkladntext22"/>
        </w:rPr>
        <w:t xml:space="preserve">, </w:t>
      </w:r>
      <w:r>
        <w:t xml:space="preserve">tel.: </w:t>
      </w:r>
      <w:r w:rsidR="00023F92">
        <w:t>XXXXXXXXX</w:t>
      </w:r>
      <w:r>
        <w:t xml:space="preserve"> </w:t>
      </w:r>
    </w:p>
    <w:p w:rsidR="003A638C" w:rsidRDefault="00E325CA" w:rsidP="00023F92">
      <w:pPr>
        <w:pStyle w:val="Zkladntext20"/>
        <w:framePr w:w="9137" w:h="12905" w:hRule="exact" w:wrap="none" w:vAnchor="page" w:hAnchor="page" w:x="1198" w:y="2192"/>
        <w:shd w:val="clear" w:color="auto" w:fill="auto"/>
        <w:spacing w:after="0" w:line="263" w:lineRule="exact"/>
        <w:ind w:left="540" w:firstLine="0"/>
        <w:jc w:val="both"/>
      </w:pPr>
      <w:r>
        <w:t xml:space="preserve">kontaktní osoba za PIAF: </w:t>
      </w:r>
      <w:r w:rsidR="00023F92">
        <w:t>XXXXXXXXXXX</w:t>
      </w:r>
      <w:r>
        <w:t xml:space="preserve">, </w:t>
      </w:r>
      <w:r w:rsidR="00023F92">
        <w:t xml:space="preserve">XXXXXXXXXXXXX </w:t>
      </w:r>
      <w:r>
        <w:t xml:space="preserve">tel.: </w:t>
      </w:r>
      <w:r w:rsidR="00023F92">
        <w:t>XXXXXXXXX</w:t>
      </w:r>
      <w:r>
        <w:t>.</w:t>
      </w:r>
    </w:p>
    <w:p w:rsidR="003A638C" w:rsidRDefault="00E325CA">
      <w:pPr>
        <w:pStyle w:val="ZhlavneboZpat0"/>
        <w:framePr w:wrap="none" w:vAnchor="page" w:hAnchor="page" w:x="10201" w:y="16175"/>
        <w:shd w:val="clear" w:color="auto" w:fill="auto"/>
        <w:spacing w:line="150" w:lineRule="exact"/>
      </w:pPr>
      <w:r>
        <w:t>2</w:t>
      </w:r>
    </w:p>
    <w:p w:rsidR="003A638C" w:rsidRDefault="003A638C">
      <w:pPr>
        <w:rPr>
          <w:sz w:val="2"/>
          <w:szCs w:val="2"/>
        </w:rPr>
        <w:sectPr w:rsidR="003A63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1"/>
          <w:numId w:val="2"/>
        </w:numPr>
        <w:shd w:val="clear" w:color="auto" w:fill="auto"/>
        <w:tabs>
          <w:tab w:val="left" w:pos="1185"/>
        </w:tabs>
        <w:spacing w:after="0" w:line="263" w:lineRule="exact"/>
        <w:ind w:left="1180" w:hanging="560"/>
        <w:jc w:val="both"/>
      </w:pPr>
      <w:r>
        <w:lastRenderedPageBreak/>
        <w:t>PIAF bere výslovně na vědomí a zavazuje se, že: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 xml:space="preserve">prostory určené pro konání akce se nacházejí v objektu, jenž je kulturní památkou; bude udržovat prostory v čistotě a pořádku, řádně používat služeb, souvisejících s užíváním </w:t>
      </w:r>
      <w:r>
        <w:t>těchto prostor; smluvní pokuta za každé zjištěné neplnění tohoto ustanovení činí 10.000,-Kč a je splatná na základě faktury vystavené NG;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 xml:space="preserve">byl seznámen a zavazuje se dodržovat provozní řád objektu (příloha č. 4 této smlouvy), především pak dodržování </w:t>
      </w:r>
      <w:r>
        <w:t>předpisů BOZP, dohodu „O společném zabezpečování některých úkolů na úseku požární ochrany“ (příloha č. 5 této smlouvy) a odpovídá za škody vzniklé porušením povinností vyplývajících z výše uvedených předpisů;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 xml:space="preserve">nesmí v nebytových prostorách (specifikovaných </w:t>
      </w:r>
      <w:r>
        <w:t>v článku 2. 2. provádět změny stavebních konstrukcí objektu;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ocelové konstrukce musí být od podlah izolovány, podhledy (mimo k</w:t>
      </w:r>
      <w:r w:rsidR="00023F92">
        <w:t xml:space="preserve"> </w:t>
      </w:r>
      <w:r>
        <w:t>tomu určené zavěšovací konstrukce) nesmí být zatěžovány upevňováním předmětů;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podlahy nesmí být mechanicky porušeny ani znečištěny</w:t>
      </w:r>
      <w:r>
        <w:t xml:space="preserve"> zejména kávou a červeným vínem;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v prostorách budovy platí přísný zákaz práce s otevřeným ohněm a zákaz kouření, porušení - ať už samotným PIAF, jeho spolupracovníky či návštěvníky akce - tohoto odstavce zakládá nárok NG požadovat po PIAF smluvní pokutu ve</w:t>
      </w:r>
      <w:r>
        <w:t xml:space="preserve"> výši 10.000,- Kč za každé takové porušení této povinnosti;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příjezdová komunikace je určena k naložení nebo vyložení nákladu, nikoliv k parkování vozidel; případný zábor chodníků si PIAF zajistí na vlastní náklady a odpovědnost;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pro návoz technických nálež</w:t>
      </w:r>
      <w:r>
        <w:t>itostí je určen vstup E dle harmonogramu, pro návštěvníky akce je určen vstup E;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funkčnost zabezpečovacích prvků (PZTS, EPS, CCTV) nesmí být zamezena ani omezena;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pro případ prodlení PIAF s předáním prostoru zpět Národní galerii v Praze v důsledku okolnost</w:t>
      </w:r>
      <w:r>
        <w:t>í výhradně na straně PIAF si smluvní strany sjednaly smluvní pokutu ve výši 1.000,- Kč za každou hodinu prodlení, kterou je PIAF povinen zaplatit NG na základě faktury vystavené NG, obsahující všechny zákonné údaje, doručené PIAF a ve lhůtě splatnosti 7 dn</w:t>
      </w:r>
      <w:r>
        <w:t>í.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PIAF je povinen bez zbytečného odkladu oznámit NG te</w:t>
      </w:r>
      <w:r w:rsidR="00023F92">
        <w:t>chnické závady (na tel. čísle: XXXXXXXX</w:t>
      </w:r>
      <w:r>
        <w:t>, vedoucí hospodářské správy NG), které brání řádnému užívání poskytnutých prostor a umožnit NG vstup do poskytnutých prostor za účelem kontroly a provedení opra</w:t>
      </w:r>
      <w:r>
        <w:t>v; jinak PIAF odpovídá za škody vzniklé nesplněním oznamovací povinnosti;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PIAF se zavazuje vyvarovat se v rámci akce jednání, které by poškodilo pověst NG zejména projevů nesnášenlivosti a nenávisti z důvodu pohlaví, rasy, barvy pleti, jazyka, víry a nábož</w:t>
      </w:r>
      <w:r>
        <w:t>enství, politického nebo jiného smýšlení, národního nebo sociálního původu, příslušnosti k národnostní nebo etnické menšině, majetku, rodu nebo jiného postavení.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0" w:line="263" w:lineRule="exact"/>
        <w:ind w:left="1180" w:hanging="420"/>
        <w:jc w:val="both"/>
      </w:pPr>
      <w:r>
        <w:t>PIAF prohlašuje, že má uzavřenou pojistnou smlouvu pro případ vzniku odpovědnosti za škodu z v</w:t>
      </w:r>
      <w:r>
        <w:t>ýkonu své činnosti, a tato pojistná smlouva bude přílohou č. 6 této smlouvy. Dále nájemce prohlašuje, že má uzavřenou pojistnou smlouvu k zajištění svého vneseného majetku, zejm. techniky. Za vnesený majetek nájemce nenese NG jakoukoliv odpovědnost.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0"/>
          <w:numId w:val="5"/>
        </w:numPr>
        <w:shd w:val="clear" w:color="auto" w:fill="auto"/>
        <w:tabs>
          <w:tab w:val="left" w:pos="1185"/>
        </w:tabs>
        <w:spacing w:after="514" w:line="263" w:lineRule="exact"/>
        <w:ind w:left="1180" w:hanging="420"/>
        <w:jc w:val="both"/>
      </w:pPr>
      <w:r>
        <w:t xml:space="preserve">PIAF </w:t>
      </w:r>
      <w:r>
        <w:t>se zavazuje uhradit náklady spojené s akcí, které vzniknout Studiu Hrdinů, z. s. se sídlem Havanská 131/14 Praha 7, které má dané prostory dlouhodobě v pronájmu.</w:t>
      </w:r>
    </w:p>
    <w:p w:rsidR="003A638C" w:rsidRDefault="00E325CA">
      <w:pPr>
        <w:pStyle w:val="Nadpis30"/>
        <w:framePr w:w="9738" w:h="14085" w:hRule="exact" w:wrap="none" w:vAnchor="page" w:hAnchor="page" w:x="897" w:y="1293"/>
        <w:numPr>
          <w:ilvl w:val="0"/>
          <w:numId w:val="2"/>
        </w:numPr>
        <w:shd w:val="clear" w:color="auto" w:fill="auto"/>
        <w:tabs>
          <w:tab w:val="left" w:pos="4255"/>
        </w:tabs>
        <w:spacing w:before="0" w:after="215" w:line="220" w:lineRule="exact"/>
        <w:ind w:left="3960"/>
      </w:pPr>
      <w:bookmarkStart w:id="7" w:name="bookmark8"/>
      <w:r>
        <w:t>Závěrečná ustanovení</w:t>
      </w:r>
      <w:bookmarkEnd w:id="7"/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1"/>
          <w:numId w:val="2"/>
        </w:numPr>
        <w:shd w:val="clear" w:color="auto" w:fill="auto"/>
        <w:tabs>
          <w:tab w:val="left" w:pos="1185"/>
        </w:tabs>
        <w:spacing w:after="240" w:line="263" w:lineRule="exact"/>
        <w:ind w:left="1180" w:hanging="560"/>
        <w:jc w:val="both"/>
      </w:pPr>
      <w:r>
        <w:t>Změny a doplňky této smlouvy jsou možné pouze na podkladě vzestupně číslo</w:t>
      </w:r>
      <w:r>
        <w:t>vaných písemných dodatků, podepsaných oprávněnými zástupci stran této smlouvy.</w:t>
      </w:r>
    </w:p>
    <w:p w:rsidR="003A638C" w:rsidRDefault="00E325CA">
      <w:pPr>
        <w:pStyle w:val="Zkladntext20"/>
        <w:framePr w:w="9738" w:h="14085" w:hRule="exact" w:wrap="none" w:vAnchor="page" w:hAnchor="page" w:x="897" w:y="1293"/>
        <w:numPr>
          <w:ilvl w:val="1"/>
          <w:numId w:val="2"/>
        </w:numPr>
        <w:shd w:val="clear" w:color="auto" w:fill="auto"/>
        <w:tabs>
          <w:tab w:val="left" w:pos="1185"/>
        </w:tabs>
        <w:spacing w:after="0" w:line="263" w:lineRule="exact"/>
        <w:ind w:left="1180" w:hanging="560"/>
        <w:jc w:val="both"/>
      </w:pPr>
      <w:r>
        <w:t>NG si vyhrazuje právo jednostranně odstoupit od smlouvy, případně projekt zkrátit, jestliže v době trvání akce dojde k uzavření celého objektu Veletržního paláce nebo odpadla-li</w:t>
      </w:r>
      <w:r>
        <w:t xml:space="preserve"> NG dočasná nepotřebnost prostor k plnění funkcí státu nebo jiných úkolů v rámci předmětu činnosti. NG je dále oprávněna od smlouvy odstoupit v případě, že přípravy účinkujících či PIAF evidentně směřují k realizaci jiné akce, než bylo touto smlouvou dohod</w:t>
      </w:r>
      <w:r>
        <w:t>nuto, nebo za</w:t>
      </w:r>
    </w:p>
    <w:p w:rsidR="003A638C" w:rsidRDefault="00E325CA">
      <w:pPr>
        <w:pStyle w:val="ZhlavneboZpat0"/>
        <w:framePr w:wrap="none" w:vAnchor="page" w:hAnchor="page" w:x="10484" w:y="15840"/>
        <w:shd w:val="clear" w:color="auto" w:fill="auto"/>
        <w:spacing w:line="150" w:lineRule="exact"/>
      </w:pPr>
      <w:r>
        <w:t>3</w:t>
      </w:r>
    </w:p>
    <w:p w:rsidR="003A638C" w:rsidRDefault="003A638C">
      <w:pPr>
        <w:rPr>
          <w:sz w:val="2"/>
          <w:szCs w:val="2"/>
        </w:rPr>
        <w:sectPr w:rsidR="003A63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A638C" w:rsidRDefault="00E325CA">
      <w:pPr>
        <w:pStyle w:val="Zkladntext20"/>
        <w:framePr w:w="9706" w:h="7209" w:hRule="exact" w:wrap="none" w:vAnchor="page" w:hAnchor="page" w:x="622" w:y="1224"/>
        <w:shd w:val="clear" w:color="auto" w:fill="auto"/>
        <w:tabs>
          <w:tab w:val="left" w:pos="1745"/>
        </w:tabs>
        <w:spacing w:after="180" w:line="266" w:lineRule="exact"/>
        <w:ind w:left="1180" w:firstLine="0"/>
        <w:jc w:val="both"/>
      </w:pPr>
      <w:r>
        <w:lastRenderedPageBreak/>
        <w:t>případu, že NG vzniká realizací či přípravou akce škoda nebo jí hrozí značná škoda, či by byla porušena pověst NG nebo pro hrubé porušení této smlouvy.</w:t>
      </w:r>
    </w:p>
    <w:p w:rsidR="003A638C" w:rsidRDefault="00E325CA">
      <w:pPr>
        <w:pStyle w:val="Zkladntext20"/>
        <w:framePr w:w="9706" w:h="7209" w:hRule="exact" w:wrap="none" w:vAnchor="page" w:hAnchor="page" w:x="622" w:y="1224"/>
        <w:numPr>
          <w:ilvl w:val="1"/>
          <w:numId w:val="2"/>
        </w:numPr>
        <w:shd w:val="clear" w:color="auto" w:fill="auto"/>
        <w:tabs>
          <w:tab w:val="left" w:pos="1178"/>
        </w:tabs>
        <w:spacing w:after="180" w:line="266" w:lineRule="exact"/>
        <w:ind w:left="1180" w:hanging="560"/>
        <w:jc w:val="both"/>
      </w:pPr>
      <w:r>
        <w:t xml:space="preserve">Právní vztahy této smlouvy se řídí příslušnými ustanoveními </w:t>
      </w:r>
      <w:r>
        <w:t>zákona č. 89/2012 Sb. občanského zákoníku.</w:t>
      </w:r>
    </w:p>
    <w:p w:rsidR="003A638C" w:rsidRDefault="00E325CA">
      <w:pPr>
        <w:pStyle w:val="Zkladntext20"/>
        <w:framePr w:w="9706" w:h="7209" w:hRule="exact" w:wrap="none" w:vAnchor="page" w:hAnchor="page" w:x="622" w:y="1224"/>
        <w:numPr>
          <w:ilvl w:val="1"/>
          <w:numId w:val="2"/>
        </w:numPr>
        <w:shd w:val="clear" w:color="auto" w:fill="auto"/>
        <w:tabs>
          <w:tab w:val="left" w:pos="1178"/>
        </w:tabs>
        <w:spacing w:after="180" w:line="266" w:lineRule="exact"/>
        <w:ind w:left="1180" w:hanging="560"/>
        <w:jc w:val="both"/>
      </w:pPr>
      <w:r>
        <w:t>Tato smlouva je vyhotovena ve dvou stejnopisech splatností originálu, v jazyce českém, každá smluvní strana obdrží po jednom vyhotovení.</w:t>
      </w:r>
    </w:p>
    <w:p w:rsidR="003A638C" w:rsidRDefault="00E325CA">
      <w:pPr>
        <w:pStyle w:val="Zkladntext20"/>
        <w:framePr w:w="9706" w:h="7209" w:hRule="exact" w:wrap="none" w:vAnchor="page" w:hAnchor="page" w:x="622" w:y="1224"/>
        <w:numPr>
          <w:ilvl w:val="1"/>
          <w:numId w:val="2"/>
        </w:numPr>
        <w:shd w:val="clear" w:color="auto" w:fill="auto"/>
        <w:tabs>
          <w:tab w:val="left" w:pos="1178"/>
        </w:tabs>
        <w:spacing w:after="177" w:line="266" w:lineRule="exact"/>
        <w:ind w:left="1180" w:hanging="560"/>
        <w:jc w:val="both"/>
      </w:pPr>
      <w:r>
        <w:t>Tato smlouva se uzavírá na dobu určitou, která začíná dnem podpisu této smlo</w:t>
      </w:r>
      <w:r>
        <w:t>uvy statutárními zástupci a končí dnem zpětného předání prostoru NG. Tím nejsou dotčena ustanovení této smlouvy, která ze své povahy mají přetrvat i po této době (zejména závazky k náhradě škody a úhradě smluvní pokuty).</w:t>
      </w:r>
    </w:p>
    <w:p w:rsidR="003A638C" w:rsidRDefault="00E325CA">
      <w:pPr>
        <w:pStyle w:val="Zkladntext20"/>
        <w:framePr w:w="9706" w:h="7209" w:hRule="exact" w:wrap="none" w:vAnchor="page" w:hAnchor="page" w:x="622" w:y="1224"/>
        <w:numPr>
          <w:ilvl w:val="1"/>
          <w:numId w:val="2"/>
        </w:numPr>
        <w:shd w:val="clear" w:color="auto" w:fill="auto"/>
        <w:tabs>
          <w:tab w:val="left" w:pos="1178"/>
        </w:tabs>
        <w:spacing w:after="183" w:line="270" w:lineRule="exact"/>
        <w:ind w:left="1180" w:hanging="560"/>
        <w:jc w:val="both"/>
      </w:pPr>
      <w:r>
        <w:t>Zaplacením smluvních pokut, sjednan</w:t>
      </w:r>
      <w:r>
        <w:t>ých v této smlouvě, není dotčeno právo NG na náhradu vzniklé škody.</w:t>
      </w:r>
    </w:p>
    <w:p w:rsidR="003A638C" w:rsidRDefault="00E325CA">
      <w:pPr>
        <w:pStyle w:val="Zkladntext20"/>
        <w:framePr w:w="9706" w:h="7209" w:hRule="exact" w:wrap="none" w:vAnchor="page" w:hAnchor="page" w:x="622" w:y="1224"/>
        <w:shd w:val="clear" w:color="auto" w:fill="auto"/>
        <w:spacing w:after="183" w:line="266" w:lineRule="exact"/>
        <w:ind w:left="1180" w:hanging="560"/>
        <w:jc w:val="both"/>
      </w:pPr>
      <w:r>
        <w:t xml:space="preserve">5.7. </w:t>
      </w:r>
      <w:r w:rsidR="00023F92">
        <w:t xml:space="preserve">   </w:t>
      </w:r>
      <w:r>
        <w:t>Účastníci této smlouvy prohlašují, že tato smlouva byla uzavřena dle jejich pravé a svobodné vůle a s jejím obsahem souhlasí, což stvrzují svými podpisy.</w:t>
      </w:r>
    </w:p>
    <w:p w:rsidR="003A638C" w:rsidRDefault="00E325CA">
      <w:pPr>
        <w:pStyle w:val="Zkladntext20"/>
        <w:framePr w:w="9706" w:h="7209" w:hRule="exact" w:wrap="none" w:vAnchor="page" w:hAnchor="page" w:x="622" w:y="1224"/>
        <w:shd w:val="clear" w:color="auto" w:fill="auto"/>
        <w:spacing w:after="0" w:line="263" w:lineRule="exact"/>
        <w:ind w:left="1180" w:hanging="560"/>
        <w:jc w:val="both"/>
      </w:pPr>
      <w:r>
        <w:t xml:space="preserve">7.6. </w:t>
      </w:r>
      <w:r w:rsidR="00023F92">
        <w:t xml:space="preserve">  </w:t>
      </w:r>
      <w:r>
        <w:t xml:space="preserve">Pro případ povinnosti </w:t>
      </w:r>
      <w:r>
        <w:t>zveřejnění této smlouvy dle zákona č. 340/2015 Sb., o registru smluv, smluvní strany sjednávají, že zveřejnění provede NG. Obě smluvní strany berou na vědomí, že nebudou zveřejněny pouze ty informace, které nelze poskytnout podle předpisů upravujících svob</w:t>
      </w:r>
      <w:r>
        <w:t>odný přístup k informacím. Považuje-li PIAF některé informace uvedené v této smlouvě za informace, které nemohou nebo nemají být zveřejněny v registru smluv dle zákona č. 340/2015 Sb., je povinen na to NG současně s uzavřením této smlouvy písemně upozornit</w:t>
      </w:r>
      <w:r>
        <w:t>.</w:t>
      </w:r>
    </w:p>
    <w:p w:rsidR="003A638C" w:rsidRDefault="003A638C">
      <w:pPr>
        <w:pStyle w:val="Nadpis20"/>
        <w:framePr w:w="9706" w:h="573" w:hRule="exact" w:wrap="none" w:vAnchor="page" w:hAnchor="page" w:x="622" w:y="9174"/>
        <w:shd w:val="clear" w:color="auto" w:fill="auto"/>
        <w:spacing w:before="0" w:after="0" w:line="260" w:lineRule="exact"/>
        <w:ind w:right="6206"/>
      </w:pPr>
      <w:bookmarkStart w:id="8" w:name="_GoBack"/>
      <w:bookmarkEnd w:id="8"/>
    </w:p>
    <w:p w:rsidR="003A638C" w:rsidRDefault="00023F92">
      <w:pPr>
        <w:pStyle w:val="Zkladntext20"/>
        <w:framePr w:w="9706" w:h="573" w:hRule="exact" w:wrap="none" w:vAnchor="page" w:hAnchor="page" w:x="622" w:y="9174"/>
        <w:shd w:val="clear" w:color="auto" w:fill="auto"/>
        <w:tabs>
          <w:tab w:val="left" w:leader="dot" w:pos="3500"/>
        </w:tabs>
        <w:spacing w:after="0" w:line="220" w:lineRule="exact"/>
        <w:ind w:left="1180" w:right="6206" w:hanging="560"/>
        <w:jc w:val="both"/>
      </w:pPr>
      <w:r>
        <w:t xml:space="preserve">V Praze dne  28. 3. 2017 </w:t>
      </w:r>
    </w:p>
    <w:p w:rsidR="003A638C" w:rsidRDefault="00E325CA">
      <w:pPr>
        <w:pStyle w:val="Zkladntext20"/>
        <w:framePr w:wrap="none" w:vAnchor="page" w:hAnchor="page" w:x="6169" w:y="9470"/>
        <w:shd w:val="clear" w:color="auto" w:fill="auto"/>
        <w:spacing w:after="0" w:line="220" w:lineRule="exact"/>
        <w:ind w:firstLine="0"/>
      </w:pPr>
      <w:r>
        <w:t>V Praze dne</w:t>
      </w:r>
      <w:r w:rsidR="00023F92">
        <w:t xml:space="preserve">  5. 4. 2017</w:t>
      </w:r>
    </w:p>
    <w:p w:rsidR="003A638C" w:rsidRDefault="003A638C">
      <w:pPr>
        <w:framePr w:wrap="none" w:vAnchor="page" w:hAnchor="page" w:x="7595" w:y="9100"/>
      </w:pPr>
    </w:p>
    <w:p w:rsidR="003A638C" w:rsidRDefault="00E325CA">
      <w:pPr>
        <w:pStyle w:val="Zkladntext50"/>
        <w:framePr w:wrap="none" w:vAnchor="page" w:hAnchor="page" w:x="2846" w:y="10914"/>
        <w:shd w:val="clear" w:color="auto" w:fill="auto"/>
        <w:spacing w:line="260" w:lineRule="exact"/>
      </w:pPr>
      <w:r>
        <w:rPr>
          <w:rStyle w:val="Zkladntext51"/>
          <w:i/>
          <w:iCs/>
        </w:rPr>
        <w:t>M</w:t>
      </w:r>
    </w:p>
    <w:p w:rsidR="003A638C" w:rsidRDefault="00E325CA">
      <w:pPr>
        <w:pStyle w:val="Zkladntext60"/>
        <w:framePr w:w="2434" w:h="811" w:hRule="exact" w:wrap="none" w:vAnchor="page" w:hAnchor="page" w:x="1183" w:y="10782"/>
        <w:shd w:val="clear" w:color="auto" w:fill="auto"/>
        <w:tabs>
          <w:tab w:val="left" w:leader="dot" w:pos="2392"/>
        </w:tabs>
        <w:spacing w:after="6" w:line="200" w:lineRule="exact"/>
        <w:ind w:left="1600" w:right="850"/>
      </w:pPr>
      <w:r>
        <w:tab/>
      </w:r>
    </w:p>
    <w:p w:rsidR="003A638C" w:rsidRDefault="00023F92" w:rsidP="00023F92">
      <w:pPr>
        <w:pStyle w:val="Zkladntext30"/>
        <w:framePr w:w="2434" w:h="811" w:hRule="exact" w:wrap="none" w:vAnchor="page" w:hAnchor="page" w:x="1183" w:y="10782"/>
        <w:shd w:val="clear" w:color="auto" w:fill="auto"/>
        <w:spacing w:before="0" w:line="220" w:lineRule="exact"/>
        <w:jc w:val="left"/>
        <w:rPr>
          <w:sz w:val="2"/>
          <w:szCs w:val="2"/>
        </w:rPr>
      </w:pPr>
      <w:r>
        <w:t>Národní galerie v Praze</w:t>
      </w:r>
    </w:p>
    <w:p w:rsidR="003A638C" w:rsidRDefault="003A638C" w:rsidP="00023F92">
      <w:pPr>
        <w:pStyle w:val="Titulekobrzku20"/>
        <w:framePr w:w="1800" w:h="698" w:hRule="exact" w:wrap="none" w:vAnchor="page" w:hAnchor="page" w:x="2731" w:y="11644"/>
        <w:shd w:val="clear" w:color="auto" w:fill="auto"/>
        <w:spacing w:after="33" w:line="160" w:lineRule="exact"/>
      </w:pPr>
    </w:p>
    <w:p w:rsidR="003A638C" w:rsidRDefault="003A638C">
      <w:pPr>
        <w:pStyle w:val="Zkladntext70"/>
        <w:framePr w:wrap="none" w:vAnchor="page" w:hAnchor="page" w:x="5467" w:y="11722"/>
        <w:shd w:val="clear" w:color="auto" w:fill="auto"/>
        <w:spacing w:line="280" w:lineRule="exact"/>
      </w:pPr>
    </w:p>
    <w:p w:rsidR="00023F92" w:rsidRDefault="00023F92">
      <w:pPr>
        <w:pStyle w:val="Nadpis30"/>
        <w:framePr w:wrap="none" w:vAnchor="page" w:hAnchor="page" w:x="6173" w:y="10510"/>
        <w:shd w:val="clear" w:color="auto" w:fill="auto"/>
        <w:spacing w:before="0" w:line="220" w:lineRule="exact"/>
        <w:jc w:val="left"/>
        <w:rPr>
          <w:lang w:val="fr-FR" w:eastAsia="fr-FR" w:bidi="fr-FR"/>
        </w:rPr>
      </w:pPr>
      <w:bookmarkStart w:id="9" w:name="bookmark10"/>
    </w:p>
    <w:p w:rsidR="00023F92" w:rsidRDefault="00023F92">
      <w:pPr>
        <w:pStyle w:val="Nadpis30"/>
        <w:framePr w:wrap="none" w:vAnchor="page" w:hAnchor="page" w:x="6173" w:y="10510"/>
        <w:shd w:val="clear" w:color="auto" w:fill="auto"/>
        <w:spacing w:before="0" w:line="220" w:lineRule="exact"/>
        <w:jc w:val="left"/>
        <w:rPr>
          <w:lang w:val="fr-FR" w:eastAsia="fr-FR" w:bidi="fr-FR"/>
        </w:rPr>
      </w:pPr>
    </w:p>
    <w:p w:rsidR="003A638C" w:rsidRDefault="00E325CA">
      <w:pPr>
        <w:pStyle w:val="Nadpis30"/>
        <w:framePr w:wrap="none" w:vAnchor="page" w:hAnchor="page" w:x="6173" w:y="10510"/>
        <w:shd w:val="clear" w:color="auto" w:fill="auto"/>
        <w:spacing w:before="0" w:line="220" w:lineRule="exact"/>
        <w:jc w:val="left"/>
      </w:pPr>
      <w:r>
        <w:rPr>
          <w:lang w:val="fr-FR" w:eastAsia="fr-FR" w:bidi="fr-FR"/>
        </w:rPr>
        <w:t>PIAF</w:t>
      </w:r>
      <w:bookmarkEnd w:id="9"/>
    </w:p>
    <w:p w:rsidR="003A638C" w:rsidRDefault="00E325CA">
      <w:pPr>
        <w:pStyle w:val="Nadpis30"/>
        <w:framePr w:w="9122" w:h="1898" w:hRule="exact" w:wrap="none" w:vAnchor="page" w:hAnchor="page" w:x="1205" w:y="12866"/>
        <w:shd w:val="clear" w:color="auto" w:fill="auto"/>
        <w:spacing w:before="0"/>
      </w:pPr>
      <w:bookmarkStart w:id="10" w:name="bookmark11"/>
      <w:r>
        <w:rPr>
          <w:rStyle w:val="Nadpis31"/>
          <w:b/>
          <w:bCs/>
        </w:rPr>
        <w:t>Přílohy:</w:t>
      </w:r>
      <w:bookmarkEnd w:id="10"/>
    </w:p>
    <w:p w:rsidR="003A638C" w:rsidRDefault="00E325CA">
      <w:pPr>
        <w:pStyle w:val="Zkladntext20"/>
        <w:framePr w:w="9122" w:h="1898" w:hRule="exact" w:wrap="none" w:vAnchor="page" w:hAnchor="page" w:x="1205" w:y="12866"/>
        <w:numPr>
          <w:ilvl w:val="0"/>
          <w:numId w:val="6"/>
        </w:numPr>
        <w:shd w:val="clear" w:color="auto" w:fill="auto"/>
        <w:tabs>
          <w:tab w:val="left" w:pos="424"/>
        </w:tabs>
        <w:spacing w:after="0" w:line="263" w:lineRule="exact"/>
        <w:ind w:firstLine="0"/>
        <w:jc w:val="both"/>
      </w:pPr>
      <w:r>
        <w:t>Nákres prostor</w:t>
      </w:r>
    </w:p>
    <w:p w:rsidR="003A638C" w:rsidRDefault="00E325CA">
      <w:pPr>
        <w:pStyle w:val="Zkladntext20"/>
        <w:framePr w:w="9122" w:h="1898" w:hRule="exact" w:wrap="none" w:vAnchor="page" w:hAnchor="page" w:x="1205" w:y="12866"/>
        <w:numPr>
          <w:ilvl w:val="0"/>
          <w:numId w:val="6"/>
        </w:numPr>
        <w:shd w:val="clear" w:color="auto" w:fill="auto"/>
        <w:tabs>
          <w:tab w:val="left" w:pos="424"/>
        </w:tabs>
        <w:spacing w:after="0" w:line="263" w:lineRule="exact"/>
        <w:ind w:firstLine="0"/>
        <w:jc w:val="both"/>
      </w:pPr>
      <w:r>
        <w:t>Harmonogram akce</w:t>
      </w:r>
    </w:p>
    <w:p w:rsidR="003A638C" w:rsidRDefault="00E325CA">
      <w:pPr>
        <w:pStyle w:val="Zkladntext20"/>
        <w:framePr w:w="9122" w:h="1898" w:hRule="exact" w:wrap="none" w:vAnchor="page" w:hAnchor="page" w:x="1205" w:y="12866"/>
        <w:numPr>
          <w:ilvl w:val="0"/>
          <w:numId w:val="6"/>
        </w:numPr>
        <w:shd w:val="clear" w:color="auto" w:fill="auto"/>
        <w:tabs>
          <w:tab w:val="left" w:pos="424"/>
        </w:tabs>
        <w:spacing w:after="0" w:line="263" w:lineRule="exact"/>
        <w:ind w:firstLine="0"/>
        <w:jc w:val="both"/>
      </w:pPr>
      <w:r>
        <w:t>Vizualizace a zákres umístění venkovních poutačů</w:t>
      </w:r>
    </w:p>
    <w:p w:rsidR="003A638C" w:rsidRDefault="00E325CA">
      <w:pPr>
        <w:pStyle w:val="Zkladntext20"/>
        <w:framePr w:w="9122" w:h="1898" w:hRule="exact" w:wrap="none" w:vAnchor="page" w:hAnchor="page" w:x="1205" w:y="12866"/>
        <w:numPr>
          <w:ilvl w:val="0"/>
          <w:numId w:val="6"/>
        </w:numPr>
        <w:shd w:val="clear" w:color="auto" w:fill="auto"/>
        <w:tabs>
          <w:tab w:val="left" w:pos="424"/>
        </w:tabs>
        <w:spacing w:after="0" w:line="263" w:lineRule="exact"/>
        <w:ind w:firstLine="0"/>
        <w:jc w:val="both"/>
      </w:pPr>
      <w:r>
        <w:t>Provozní řád objektu NG</w:t>
      </w:r>
    </w:p>
    <w:p w:rsidR="003A638C" w:rsidRDefault="00E325CA">
      <w:pPr>
        <w:pStyle w:val="Zkladntext20"/>
        <w:framePr w:w="9122" w:h="1898" w:hRule="exact" w:wrap="none" w:vAnchor="page" w:hAnchor="page" w:x="1205" w:y="12866"/>
        <w:numPr>
          <w:ilvl w:val="0"/>
          <w:numId w:val="6"/>
        </w:numPr>
        <w:shd w:val="clear" w:color="auto" w:fill="auto"/>
        <w:tabs>
          <w:tab w:val="left" w:pos="424"/>
        </w:tabs>
        <w:spacing w:after="0" w:line="263" w:lineRule="exact"/>
        <w:ind w:firstLine="0"/>
        <w:jc w:val="both"/>
      </w:pPr>
      <w:r>
        <w:t>Dohoda o společném zabezpečování některých úkolů na úseku požární ochrany</w:t>
      </w:r>
    </w:p>
    <w:p w:rsidR="003A638C" w:rsidRDefault="00E325CA">
      <w:pPr>
        <w:pStyle w:val="Zkladntext20"/>
        <w:framePr w:w="9122" w:h="1898" w:hRule="exact" w:wrap="none" w:vAnchor="page" w:hAnchor="page" w:x="1205" w:y="12866"/>
        <w:numPr>
          <w:ilvl w:val="0"/>
          <w:numId w:val="6"/>
        </w:numPr>
        <w:shd w:val="clear" w:color="auto" w:fill="auto"/>
        <w:tabs>
          <w:tab w:val="left" w:pos="424"/>
        </w:tabs>
        <w:spacing w:after="0" w:line="263" w:lineRule="exact"/>
        <w:ind w:firstLine="0"/>
        <w:jc w:val="both"/>
      </w:pPr>
      <w:r>
        <w:t xml:space="preserve">Smlouva pro případ vzniku odpovědnosti </w:t>
      </w:r>
      <w:r>
        <w:t>za škodu z výkonu své činnosti</w:t>
      </w:r>
    </w:p>
    <w:p w:rsidR="003A638C" w:rsidRDefault="00E325CA">
      <w:pPr>
        <w:pStyle w:val="ZhlavneboZpat0"/>
        <w:framePr w:wrap="none" w:vAnchor="page" w:hAnchor="page" w:x="10194" w:y="15747"/>
        <w:shd w:val="clear" w:color="auto" w:fill="auto"/>
        <w:spacing w:line="150" w:lineRule="exact"/>
      </w:pPr>
      <w:r>
        <w:t>4</w:t>
      </w:r>
    </w:p>
    <w:p w:rsidR="003A638C" w:rsidRDefault="003A638C">
      <w:pPr>
        <w:rPr>
          <w:sz w:val="2"/>
          <w:szCs w:val="2"/>
        </w:rPr>
      </w:pPr>
    </w:p>
    <w:sectPr w:rsidR="003A638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CA" w:rsidRDefault="00E325CA">
      <w:r>
        <w:separator/>
      </w:r>
    </w:p>
  </w:endnote>
  <w:endnote w:type="continuationSeparator" w:id="0">
    <w:p w:rsidR="00E325CA" w:rsidRDefault="00E3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CA" w:rsidRDefault="00E325CA"/>
  </w:footnote>
  <w:footnote w:type="continuationSeparator" w:id="0">
    <w:p w:rsidR="00E325CA" w:rsidRDefault="00E325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55"/>
    <w:multiLevelType w:val="multilevel"/>
    <w:tmpl w:val="DE82AC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91CBB"/>
    <w:multiLevelType w:val="multilevel"/>
    <w:tmpl w:val="EE3E58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E1F06"/>
    <w:multiLevelType w:val="multilevel"/>
    <w:tmpl w:val="A0A69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92C4C"/>
    <w:multiLevelType w:val="multilevel"/>
    <w:tmpl w:val="34AE7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907866"/>
    <w:multiLevelType w:val="multilevel"/>
    <w:tmpl w:val="4D80A5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0D745C"/>
    <w:multiLevelType w:val="multilevel"/>
    <w:tmpl w:val="8DE6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09279F"/>
    <w:multiLevelType w:val="hybridMultilevel"/>
    <w:tmpl w:val="99000500"/>
    <w:lvl w:ilvl="0" w:tplc="1D8E582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A638C"/>
    <w:rsid w:val="00023F92"/>
    <w:rsid w:val="003A638C"/>
    <w:rsid w:val="00E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DDA5"/>
  <w15:docId w15:val="{BC1EB6F0-2938-4854-A1F7-4A7D2471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4pt">
    <w:name w:val="Základní text (3) + 14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Zkladntext365ptNetun">
    <w:name w:val="Základní text (3) + 6;5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w w:val="66"/>
      <w:sz w:val="26"/>
      <w:szCs w:val="26"/>
      <w:u w:val="none"/>
    </w:rPr>
  </w:style>
  <w:style w:type="character" w:customStyle="1" w:styleId="Nadpis2TimesNewRoman45ptdkovn0ptMtko100">
    <w:name w:val="Nadpis #2 + Times New Roman;4;5 pt;Řádkování 0 pt;Měřítko 100%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Tahoma75pt">
    <w:name w:val="Titulek obrázku (2) + Tahoma;7;5 pt"/>
    <w:basedOn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3Georgia8pt">
    <w:name w:val="Titulek obrázku (3) + Georgia;8 pt"/>
    <w:basedOn w:val="Titulekobrzku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Tahoma75pt0">
    <w:name w:val="Titulek obrázku (2) + Tahoma;7;5 pt"/>
    <w:basedOn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1">
    <w:name w:val="Základní text (7)"/>
    <w:basedOn w:val="Zkladntext7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  <w:lang w:val="fr-FR" w:eastAsia="fr-FR" w:bidi="fr-FR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ind w:hanging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line="263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line="32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29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80" w:after="60" w:line="0" w:lineRule="atLeast"/>
      <w:jc w:val="right"/>
      <w:outlineLvl w:val="1"/>
    </w:pPr>
    <w:rPr>
      <w:rFonts w:ascii="Microsoft Sans Serif" w:eastAsia="Microsoft Sans Serif" w:hAnsi="Microsoft Sans Serif" w:cs="Microsoft Sans Serif"/>
      <w:spacing w:val="-10"/>
      <w:w w:val="66"/>
      <w:sz w:val="26"/>
      <w:szCs w:val="2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Georgia" w:eastAsia="Georgia" w:hAnsi="Georgia" w:cs="Georgia"/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before="60" w:after="6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David" w:eastAsia="David" w:hAnsi="David" w:cs="David"/>
      <w:sz w:val="28"/>
      <w:szCs w:val="28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98" w:lineRule="exact"/>
    </w:pPr>
    <w:rPr>
      <w:rFonts w:ascii="Tahoma" w:eastAsia="Tahoma" w:hAnsi="Tahoma" w:cs="Tahoma"/>
      <w:spacing w:val="-10"/>
      <w:sz w:val="20"/>
      <w:szCs w:val="20"/>
      <w:lang w:val="fr-FR" w:eastAsia="fr-FR" w:bidi="fr-FR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8" w:lineRule="exact"/>
    </w:pPr>
    <w:rPr>
      <w:rFonts w:ascii="Tahoma" w:eastAsia="Tahoma" w:hAnsi="Tahoma" w:cs="Tahoma"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1491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c224.pk.gr-20170412141140</dc:title>
  <dc:subject/>
  <dc:creator/>
  <cp:keywords/>
  <cp:lastModifiedBy>Zdenka Šímová</cp:lastModifiedBy>
  <cp:revision>2</cp:revision>
  <dcterms:created xsi:type="dcterms:W3CDTF">2017-04-12T12:37:00Z</dcterms:created>
  <dcterms:modified xsi:type="dcterms:W3CDTF">2017-04-12T12:48:00Z</dcterms:modified>
</cp:coreProperties>
</file>