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DF" w:rsidRDefault="00846D4B">
      <w:pPr>
        <w:pStyle w:val="Zkladntext20"/>
        <w:shd w:val="clear" w:color="auto" w:fill="auto"/>
        <w:spacing w:before="560" w:after="0"/>
        <w:ind w:left="6400"/>
      </w:pPr>
      <w:proofErr w:type="gramStart"/>
      <w:r>
        <w:t>Č.j.</w:t>
      </w:r>
      <w:proofErr w:type="gramEnd"/>
      <w:r>
        <w:t xml:space="preserve"> NG/218/2022</w:t>
      </w:r>
    </w:p>
    <w:p w:rsidR="00F466DF" w:rsidRDefault="00846D4B">
      <w:pPr>
        <w:pStyle w:val="Titulektabulky0"/>
        <w:shd w:val="clear" w:color="auto" w:fill="auto"/>
      </w:pPr>
      <w:r>
        <w:rPr>
          <w:b/>
          <w:bCs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840"/>
      </w:tblGrid>
      <w:tr w:rsidR="00F466DF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282" w:type="dxa"/>
            <w:shd w:val="clear" w:color="auto" w:fill="FFFFFF"/>
          </w:tcPr>
          <w:p w:rsidR="00F466DF" w:rsidRDefault="00846D4B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sídlo: IČ:</w:t>
            </w:r>
          </w:p>
          <w:p w:rsidR="00F466DF" w:rsidRDefault="00846D4B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3840" w:type="dxa"/>
            <w:shd w:val="clear" w:color="auto" w:fill="FFFFFF"/>
          </w:tcPr>
          <w:p w:rsidR="00F466DF" w:rsidRDefault="00846D4B">
            <w:pPr>
              <w:pStyle w:val="Jin0"/>
              <w:shd w:val="clear" w:color="auto" w:fill="auto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Staroměstské nám. 12, 110 15 Praha 1 00023281</w:t>
            </w:r>
          </w:p>
          <w:p w:rsidR="00F466DF" w:rsidRDefault="00846D4B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CZ00023281</w:t>
            </w:r>
          </w:p>
        </w:tc>
      </w:tr>
      <w:tr w:rsidR="00F466D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82" w:type="dxa"/>
            <w:shd w:val="clear" w:color="auto" w:fill="FFFFFF"/>
            <w:vAlign w:val="bottom"/>
          </w:tcPr>
          <w:p w:rsidR="00F466DF" w:rsidRDefault="00846D4B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zastoupena:</w:t>
            </w:r>
          </w:p>
        </w:tc>
        <w:tc>
          <w:tcPr>
            <w:tcW w:w="3840" w:type="dxa"/>
            <w:shd w:val="clear" w:color="auto" w:fill="FFFFFF"/>
            <w:vAlign w:val="bottom"/>
          </w:tcPr>
          <w:p w:rsidR="00F466DF" w:rsidRDefault="00846D4B">
            <w:pPr>
              <w:pStyle w:val="Jin0"/>
              <w:shd w:val="clear" w:color="auto" w:fill="auto"/>
              <w:spacing w:after="0" w:line="240" w:lineRule="auto"/>
            </w:pPr>
            <w:r>
              <w:t xml:space="preserve">Mgr. Evou </w:t>
            </w:r>
            <w:r>
              <w:rPr>
                <w:lang w:val="en-US" w:eastAsia="en-US" w:bidi="en-US"/>
              </w:rPr>
              <w:t xml:space="preserve">Giese, </w:t>
            </w:r>
            <w:proofErr w:type="gramStart"/>
            <w:r>
              <w:t>M.B.A.</w:t>
            </w:r>
            <w:proofErr w:type="gramEnd"/>
          </w:p>
        </w:tc>
      </w:tr>
    </w:tbl>
    <w:p w:rsidR="00F466DF" w:rsidRDefault="00846D4B">
      <w:pPr>
        <w:pStyle w:val="Titulektabulky0"/>
        <w:shd w:val="clear" w:color="auto" w:fill="auto"/>
        <w:tabs>
          <w:tab w:val="left" w:pos="2069"/>
        </w:tabs>
      </w:pPr>
      <w:r>
        <w:t>bankovní spojení:</w:t>
      </w:r>
      <w:r>
        <w:tab/>
        <w:t>Česká národní banka</w:t>
      </w:r>
    </w:p>
    <w:p w:rsidR="00F466DF" w:rsidRDefault="00846D4B">
      <w:pPr>
        <w:pStyle w:val="Titulektabulky0"/>
        <w:shd w:val="clear" w:color="auto" w:fill="auto"/>
        <w:tabs>
          <w:tab w:val="left" w:pos="2059"/>
        </w:tabs>
      </w:pPr>
      <w:r>
        <w:t>č. účtu:</w:t>
      </w:r>
      <w:r>
        <w:tab/>
        <w:t>050008-0008839011/0710</w:t>
      </w:r>
    </w:p>
    <w:p w:rsidR="00F466DF" w:rsidRDefault="00F466DF">
      <w:pPr>
        <w:spacing w:after="539" w:line="1" w:lineRule="exact"/>
      </w:pPr>
    </w:p>
    <w:p w:rsidR="00F466DF" w:rsidRDefault="00846D4B">
      <w:pPr>
        <w:pStyle w:val="Zkladntext20"/>
        <w:shd w:val="clear" w:color="auto" w:fill="auto"/>
        <w:spacing w:before="0" w:after="540"/>
        <w:ind w:left="0"/>
      </w:pPr>
      <w:r>
        <w:rPr>
          <w:b w:val="0"/>
          <w:bCs w:val="0"/>
        </w:rPr>
        <w:t xml:space="preserve">(dále jen </w:t>
      </w:r>
      <w:r>
        <w:t>„pronajímatel“)</w:t>
      </w:r>
    </w:p>
    <w:p w:rsidR="00F466DF" w:rsidRDefault="00846D4B">
      <w:pPr>
        <w:pStyle w:val="Nadpis10"/>
        <w:keepNext/>
        <w:keepLines/>
        <w:shd w:val="clear" w:color="auto" w:fill="auto"/>
        <w:spacing w:after="440" w:line="240" w:lineRule="auto"/>
        <w:jc w:val="left"/>
      </w:pPr>
      <w:bookmarkStart w:id="0" w:name="bookmark0"/>
      <w:bookmarkStart w:id="1" w:name="bookmark1"/>
      <w:proofErr w:type="spellStart"/>
      <w:r>
        <w:rPr>
          <w:lang w:val="en-US" w:eastAsia="en-US" w:bidi="en-US"/>
        </w:rPr>
        <w:t>Footshop</w:t>
      </w:r>
      <w:proofErr w:type="spellEnd"/>
      <w:r>
        <w:rPr>
          <w:lang w:val="en-US" w:eastAsia="en-US" w:bidi="en-US"/>
        </w:rPr>
        <w:t xml:space="preserve">, </w:t>
      </w:r>
      <w:r>
        <w:t>s.r.o.</w:t>
      </w:r>
      <w:bookmarkEnd w:id="0"/>
      <w:bookmarkEnd w:id="1"/>
    </w:p>
    <w:p w:rsidR="00F466DF" w:rsidRDefault="00846D4B">
      <w:pPr>
        <w:pStyle w:val="Zkladntext1"/>
        <w:shd w:val="clear" w:color="auto" w:fill="auto"/>
        <w:tabs>
          <w:tab w:val="left" w:pos="898"/>
        </w:tabs>
        <w:spacing w:after="180" w:line="240" w:lineRule="auto"/>
      </w:pPr>
      <w:r>
        <w:t>Sídlo:</w:t>
      </w:r>
      <w:r>
        <w:tab/>
        <w:t>Pobřežní 667/78, 186 00 Praha</w:t>
      </w:r>
    </w:p>
    <w:p w:rsidR="00F466DF" w:rsidRDefault="00846D4B">
      <w:pPr>
        <w:pStyle w:val="Zkladntext1"/>
        <w:shd w:val="clear" w:color="auto" w:fill="auto"/>
        <w:spacing w:after="180" w:line="240" w:lineRule="auto"/>
      </w:pPr>
      <w:r>
        <w:t>IČ: 24288128</w:t>
      </w:r>
    </w:p>
    <w:p w:rsidR="00F466DF" w:rsidRDefault="00846D4B">
      <w:pPr>
        <w:pStyle w:val="Zkladntext1"/>
        <w:shd w:val="clear" w:color="auto" w:fill="auto"/>
        <w:spacing w:after="180" w:line="240" w:lineRule="auto"/>
      </w:pPr>
      <w:r>
        <w:t>DIČ: CZ24288128</w:t>
      </w:r>
    </w:p>
    <w:p w:rsidR="00F466DF" w:rsidRDefault="00846D4B">
      <w:pPr>
        <w:pStyle w:val="Zkladntext1"/>
        <w:shd w:val="clear" w:color="auto" w:fill="auto"/>
        <w:spacing w:after="440" w:line="240" w:lineRule="auto"/>
      </w:pPr>
      <w:r>
        <w:t>Zastoupená:</w:t>
      </w:r>
    </w:p>
    <w:p w:rsidR="00F466DF" w:rsidRDefault="00846D4B">
      <w:pPr>
        <w:pStyle w:val="Zkladntext1"/>
        <w:shd w:val="clear" w:color="auto" w:fill="auto"/>
        <w:spacing w:after="1060" w:line="240" w:lineRule="auto"/>
      </w:pPr>
      <w:r>
        <w:t xml:space="preserve">(dále jen </w:t>
      </w:r>
      <w:r>
        <w:rPr>
          <w:b/>
          <w:bCs/>
        </w:rPr>
        <w:t>„Nájemce“)</w:t>
      </w:r>
    </w:p>
    <w:p w:rsidR="00F466DF" w:rsidRDefault="00846D4B">
      <w:pPr>
        <w:pStyle w:val="Zkladntext1"/>
        <w:shd w:val="clear" w:color="auto" w:fill="auto"/>
        <w:spacing w:after="680" w:line="240" w:lineRule="auto"/>
        <w:jc w:val="center"/>
      </w:pPr>
      <w:r>
        <w:rPr>
          <w:b/>
          <w:bCs/>
        </w:rPr>
        <w:t>uzavírají</w:t>
      </w:r>
    </w:p>
    <w:p w:rsidR="00F466DF" w:rsidRDefault="00846D4B">
      <w:pPr>
        <w:pStyle w:val="Zkladntext20"/>
        <w:shd w:val="clear" w:color="auto" w:fill="auto"/>
        <w:spacing w:before="0" w:after="0"/>
        <w:ind w:left="0"/>
        <w:jc w:val="center"/>
      </w:pPr>
      <w:r>
        <w:t>Nájemní smlouvu</w:t>
      </w:r>
    </w:p>
    <w:p w:rsidR="00F466DF" w:rsidRDefault="00846D4B">
      <w:pPr>
        <w:pStyle w:val="Zkladntext1"/>
        <w:shd w:val="clear" w:color="auto" w:fill="auto"/>
        <w:spacing w:after="180" w:line="240" w:lineRule="auto"/>
        <w:jc w:val="center"/>
      </w:pPr>
      <w:r>
        <w:t>ve smyslu ustanovení zákona č. 89/2012 Sb., ve znění pozdějších předpisů</w:t>
      </w:r>
    </w:p>
    <w:p w:rsidR="00F466DF" w:rsidRDefault="00846D4B">
      <w:pPr>
        <w:pStyle w:val="Zkladntext1"/>
        <w:shd w:val="clear" w:color="auto" w:fill="auto"/>
        <w:spacing w:after="180" w:line="240" w:lineRule="auto"/>
        <w:jc w:val="center"/>
      </w:pPr>
      <w:r>
        <w:rPr>
          <w:b/>
          <w:bCs/>
        </w:rPr>
        <w:t xml:space="preserve">(„občanský zákoník“ </w:t>
      </w:r>
      <w:r>
        <w:t xml:space="preserve">nebo </w:t>
      </w:r>
      <w:r>
        <w:rPr>
          <w:b/>
          <w:bCs/>
        </w:rPr>
        <w:t>„NOZ“)</w:t>
      </w:r>
    </w:p>
    <w:p w:rsidR="00F466DF" w:rsidRDefault="00846D4B">
      <w:pPr>
        <w:pStyle w:val="Zkladntext1"/>
        <w:shd w:val="clear" w:color="auto" w:fill="auto"/>
        <w:spacing w:after="620" w:line="240" w:lineRule="auto"/>
        <w:jc w:val="center"/>
      </w:pPr>
      <w:r>
        <w:t xml:space="preserve">(dále jen </w:t>
      </w:r>
      <w:r>
        <w:rPr>
          <w:b/>
          <w:bCs/>
        </w:rPr>
        <w:t>„smlouva“)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50"/>
        </w:tabs>
        <w:spacing w:after="260"/>
      </w:pPr>
      <w:bookmarkStart w:id="2" w:name="bookmark2"/>
      <w:bookmarkStart w:id="3" w:name="bookmark3"/>
      <w:r>
        <w:t>Úvodní ustanovení</w:t>
      </w:r>
      <w:bookmarkEnd w:id="2"/>
      <w:bookmarkEnd w:id="3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340" w:line="264" w:lineRule="auto"/>
        <w:ind w:left="500" w:hanging="500"/>
        <w:jc w:val="both"/>
      </w:pPr>
      <w:r>
        <w:t xml:space="preserve">Pronajímatel je státní příspěvkovou organizací zřízenou na základě zákona č. 148/1949 Sb. o Národní galerii v Praze, která mj. má podle z. </w:t>
      </w:r>
      <w:proofErr w:type="gramStart"/>
      <w:r>
        <w:t>č.</w:t>
      </w:r>
      <w:proofErr w:type="gramEnd"/>
      <w:r>
        <w:t xml:space="preserve"> 219/2000 Sb. o majetku České republiky a jejím vystupování v právních vztaz</w:t>
      </w:r>
      <w:r>
        <w:t xml:space="preserve">ích příslušnost hospodařit s majetkem státu ČR a to s nemovitostí: </w:t>
      </w:r>
      <w:r>
        <w:rPr>
          <w:b/>
          <w:bCs/>
        </w:rPr>
        <w:t xml:space="preserve">Veletržní palác, Dukelských hrdinů 47, Praha 7, LV č. 257, kat. území Holešovice, stavba </w:t>
      </w:r>
      <w:proofErr w:type="gramStart"/>
      <w:r>
        <w:rPr>
          <w:b/>
          <w:bCs/>
        </w:rPr>
        <w:t>č.p.</w:t>
      </w:r>
      <w:proofErr w:type="gramEnd"/>
      <w:r>
        <w:rPr>
          <w:b/>
          <w:bCs/>
        </w:rPr>
        <w:t xml:space="preserve"> 530, na pare. č. 1666 </w:t>
      </w:r>
      <w:r>
        <w:t xml:space="preserve">(dále jako </w:t>
      </w:r>
      <w:r>
        <w:rPr>
          <w:b/>
          <w:bCs/>
        </w:rPr>
        <w:t xml:space="preserve">„Veletržní palác“ </w:t>
      </w:r>
      <w:r>
        <w:t xml:space="preserve">nebo </w:t>
      </w:r>
      <w:r>
        <w:rPr>
          <w:b/>
          <w:bCs/>
        </w:rPr>
        <w:t xml:space="preserve">„VP“), </w:t>
      </w:r>
      <w:r>
        <w:t>a je tedy oprávněna uzavřít tuto</w:t>
      </w:r>
      <w:r>
        <w:t xml:space="preserve"> smlouvu. Pronajímatel rozhodl o tom, že pronajímané prostory dočasně nepotřebuje k plnění svých úkolů a předmětu činnosti po dobu nájmu stanoveného v této smlouvě a že bude pronájmem předmětných prostor dosaženo jejich účelnějšího využití.</w:t>
      </w:r>
    </w:p>
    <w:p w:rsidR="00BE07FA" w:rsidRDefault="00BE07FA" w:rsidP="00BE07FA">
      <w:pPr>
        <w:pStyle w:val="Zkladntext1"/>
        <w:shd w:val="clear" w:color="auto" w:fill="auto"/>
        <w:tabs>
          <w:tab w:val="left" w:pos="550"/>
        </w:tabs>
        <w:spacing w:after="340" w:line="264" w:lineRule="auto"/>
        <w:ind w:left="500"/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50"/>
        </w:tabs>
        <w:spacing w:after="340" w:line="264" w:lineRule="auto"/>
        <w:jc w:val="both"/>
      </w:pP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00" w:hanging="500"/>
      </w:pPr>
      <w:r>
        <w:t xml:space="preserve">Pronajímatel, </w:t>
      </w:r>
      <w:r>
        <w:t>prohlašuje, zeje oprávněn uzavřít tuto smlouvu a poskytnout Nájemci do užívání prostory v rozsahu níže sjednaném.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after="420" w:line="264" w:lineRule="auto"/>
        <w:jc w:val="both"/>
      </w:pPr>
      <w:r>
        <w:t xml:space="preserve">Nájemce je </w:t>
      </w:r>
      <w:proofErr w:type="spellStart"/>
      <w:r>
        <w:rPr>
          <w:lang w:val="en-US" w:eastAsia="en-US" w:bidi="en-US"/>
        </w:rPr>
        <w:t>Footshop</w:t>
      </w:r>
      <w:proofErr w:type="spellEnd"/>
      <w:r>
        <w:rPr>
          <w:lang w:val="en-US" w:eastAsia="en-US" w:bidi="en-US"/>
        </w:rPr>
        <w:t xml:space="preserve"> </w:t>
      </w:r>
      <w:r>
        <w:t>s.r.o.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0"/>
        </w:tabs>
      </w:pPr>
      <w:bookmarkStart w:id="4" w:name="bookmark4"/>
      <w:bookmarkStart w:id="5" w:name="bookmark5"/>
      <w:r>
        <w:t>Předmět a účel nájmu</w:t>
      </w:r>
      <w:bookmarkEnd w:id="4"/>
      <w:bookmarkEnd w:id="5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00" w:hanging="500"/>
        <w:jc w:val="both"/>
      </w:pPr>
      <w:r>
        <w:t>Pronajímatel přenechává Nájemci touto smlouvou do krátkodobého nájmu za níže uvedené nájemné a</w:t>
      </w:r>
      <w:r>
        <w:t xml:space="preserve"> na dobu určitou tyto prostory Veletržního paláce: Malá dvorana, foyer (dále též jen </w:t>
      </w:r>
      <w:r>
        <w:rPr>
          <w:b/>
          <w:bCs/>
        </w:rPr>
        <w:t>„Prostory“).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line="269" w:lineRule="auto"/>
        <w:ind w:left="500" w:hanging="500"/>
        <w:jc w:val="both"/>
      </w:pPr>
      <w:r>
        <w:t>Nájemce tyto Prostory za podmínek sjednaných v této smlouvě do nájmu přijímá, bude tyto pronajaté Prostory užívat výlučně za účelem pořádání společenské událo</w:t>
      </w:r>
      <w:r>
        <w:t xml:space="preserve">sti/diskuse (dále jen </w:t>
      </w:r>
      <w:r>
        <w:rPr>
          <w:b/>
          <w:bCs/>
        </w:rPr>
        <w:t>„akce“).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0"/>
        </w:tabs>
      </w:pPr>
      <w:bookmarkStart w:id="6" w:name="bookmark6"/>
      <w:bookmarkStart w:id="7" w:name="bookmark7"/>
      <w:r>
        <w:t>Doba nájmu</w:t>
      </w:r>
      <w:bookmarkEnd w:id="6"/>
      <w:bookmarkEnd w:id="7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ind w:left="500" w:hanging="500"/>
        <w:jc w:val="both"/>
      </w:pPr>
      <w:r>
        <w:t xml:space="preserve">Nájem se sjednává na dobu určitou a to ode dne </w:t>
      </w:r>
      <w:proofErr w:type="gramStart"/>
      <w:r>
        <w:t>21.2.2022</w:t>
      </w:r>
      <w:proofErr w:type="gramEnd"/>
      <w:r>
        <w:t xml:space="preserve"> od 15:00 hod do 21.2.2022 19:00 hodin. Pronajímatel předá Nájemci předmětné Prostory dne </w:t>
      </w:r>
      <w:proofErr w:type="gramStart"/>
      <w:r>
        <w:t>21.2.2022</w:t>
      </w:r>
      <w:proofErr w:type="gramEnd"/>
      <w:r>
        <w:t xml:space="preserve"> v 15:00 hodin. Nájemce předá Pronajímateli uklizené předmě</w:t>
      </w:r>
      <w:r>
        <w:t xml:space="preserve">tné Prostory nejdéle </w:t>
      </w:r>
      <w:proofErr w:type="gramStart"/>
      <w:r>
        <w:t>21.2.2022</w:t>
      </w:r>
      <w:proofErr w:type="gramEnd"/>
      <w:r>
        <w:t xml:space="preserve"> do 19:00 hod.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after="420" w:line="264" w:lineRule="auto"/>
        <w:jc w:val="both"/>
      </w:pPr>
      <w:r>
        <w:t>Časový harmonogram akce tvoří nedílnou součást této smlouvy jako příloha č. 1.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line="264" w:lineRule="auto"/>
        <w:ind w:left="500" w:hanging="500"/>
        <w:jc w:val="both"/>
      </w:pPr>
      <w:r>
        <w:t>Prostory budou předány zpět Pronajímateli v termínu dle odst. 3.1 nepoškozené a uklizené. Prostory se musí nacházet ve stavu, ve kte</w:t>
      </w:r>
      <w:r>
        <w:t>rém byly Nájemci předány. Předání předmětu nájmu Nájemci a jeho vrácení zpět Pronajímateli bude realizováno formou sepsání předávacího protokolu. Předávací protokol za Pronajímatele potvrzuje správce objektu nebo osoba pověřená. Nájemce je povinen upozorni</w:t>
      </w:r>
      <w:r>
        <w:t>t Pronajímatele na veškeré závady, resp. škody případně vzniklé v souvislosti s pronájmem resp. v souvislosti s pořádáním akce. Nesplněním této povinnosti vzniká Pronajímateli nárok na smluvní pokutu ve výši 10.000,- Kč. V předávacím protokolu budou popsán</w:t>
      </w:r>
      <w:r>
        <w:t xml:space="preserve">y případné závady, resp. škoda, která byla při předání oznámena ze strany Nájemce, případně zjištěna ze strany Pronajímatele. Tím není dotčen nárok Pronajímatele na náhradu škody zjištěné Pronajímatelem později z důvodu, že tato škoda nemohla být zjištěna </w:t>
      </w:r>
      <w:r>
        <w:t>při převzetí.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after="0"/>
        <w:ind w:left="500" w:hanging="500"/>
        <w:jc w:val="both"/>
      </w:pPr>
      <w:r>
        <w:t>Pro případ prodlení s předáním Prostor Nájemcem zpět Pronajímateli v důsledku okolností na straně Nájemce si smluvní strany sjednaly smluvní pokutu ve výši 1.500,- Kč</w:t>
      </w:r>
    </w:p>
    <w:p w:rsidR="00F466DF" w:rsidRDefault="00846D4B">
      <w:pPr>
        <w:pStyle w:val="Zkladntext1"/>
        <w:shd w:val="clear" w:color="auto" w:fill="auto"/>
        <w:spacing w:after="0" w:line="288" w:lineRule="auto"/>
        <w:ind w:left="500" w:firstLine="20"/>
        <w:jc w:val="both"/>
      </w:pPr>
      <w:r>
        <w:t>za každou hodinu prodlení, kterou je Nájemce povinen zaplatit Pronajímateli</w:t>
      </w:r>
      <w:r>
        <w:t xml:space="preserve"> na základě faktury vystavené Pronajímatelem, obsahující všechny zákonné údaje, doručené Nájemci a ve lhůtě splatnosti 7 dní.</w:t>
      </w:r>
    </w:p>
    <w:p w:rsidR="00BE07FA" w:rsidRDefault="00BE07FA">
      <w:pPr>
        <w:pStyle w:val="Zkladntext1"/>
        <w:shd w:val="clear" w:color="auto" w:fill="auto"/>
        <w:spacing w:after="0" w:line="288" w:lineRule="auto"/>
        <w:ind w:left="500" w:firstLine="20"/>
        <w:jc w:val="both"/>
      </w:pP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30"/>
        </w:tabs>
        <w:spacing w:after="260" w:line="288" w:lineRule="auto"/>
      </w:pPr>
      <w:bookmarkStart w:id="8" w:name="bookmark8"/>
      <w:bookmarkStart w:id="9" w:name="bookmark9"/>
      <w:r>
        <w:t>Nájemné, platební podmínky</w:t>
      </w:r>
      <w:bookmarkEnd w:id="8"/>
      <w:bookmarkEnd w:id="9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30"/>
        </w:tabs>
        <w:spacing w:line="262" w:lineRule="auto"/>
        <w:ind w:left="500" w:hanging="500"/>
        <w:jc w:val="both"/>
      </w:pPr>
      <w:r>
        <w:t xml:space="preserve">Nájemné za poskytnutí Prostor dle článku 2 této smlouvy na dobu dle článku 3 této smlouvy je stanoveno </w:t>
      </w:r>
      <w:r>
        <w:t xml:space="preserve">dohodou stran a činí 60.000,- bez DPH, tj. s 21% DPH (částka ve výši 12.600,- Kč) částka nájemného v celkové výši činí 72.600,- Kč, kdy se jedná nejméně o výši nájemného, která je v daném místě a čase obvyklá. Cena za zajištění základních služeb spojených </w:t>
      </w:r>
      <w:r>
        <w:t>s nájmem ze strany Pronajímatele (tj. elektřina, voda, topení, ostraha, úklid prostor před akcí) činí částku 3.153,- Kč bez DPH, tj. s 21% DPH (částka ve výši 662,- Kč) celkem částku za zajištění základních služeb ve výši 3.815,- Kč. Celková cena za nájemn</w:t>
      </w:r>
      <w:r>
        <w:t xml:space="preserve">é a služby včetně DPH činí </w:t>
      </w:r>
      <w:r>
        <w:rPr>
          <w:b/>
          <w:bCs/>
        </w:rPr>
        <w:t xml:space="preserve">celkem 76.415,- Kč </w:t>
      </w:r>
      <w:r>
        <w:t xml:space="preserve">(slovy </w:t>
      </w:r>
      <w:proofErr w:type="spellStart"/>
      <w:r>
        <w:t>sedmdesátšestčtyřistapatnáct</w:t>
      </w:r>
      <w:proofErr w:type="spellEnd"/>
      <w:r>
        <w:t xml:space="preserve"> korun českých).</w:t>
      </w:r>
    </w:p>
    <w:p w:rsidR="00BE07FA" w:rsidRDefault="00BE07FA" w:rsidP="00BE07FA">
      <w:pPr>
        <w:pStyle w:val="Zkladntext1"/>
        <w:shd w:val="clear" w:color="auto" w:fill="auto"/>
        <w:tabs>
          <w:tab w:val="left" w:pos="530"/>
        </w:tabs>
        <w:spacing w:line="262" w:lineRule="auto"/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30"/>
        </w:tabs>
        <w:spacing w:line="262" w:lineRule="auto"/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30"/>
        </w:tabs>
        <w:spacing w:line="262" w:lineRule="auto"/>
        <w:jc w:val="both"/>
      </w:pP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ind w:left="520" w:hanging="520"/>
        <w:jc w:val="both"/>
      </w:pPr>
      <w:r>
        <w:t xml:space="preserve">Nájemce je povinen si po celou dobu trvání nájmu zajistit technický dozor, produkční asistenci, které podléhají schválení NGP, nájemce si Samostatně sjednává </w:t>
      </w:r>
      <w:r>
        <w:t xml:space="preserve">službu šatnáře, nájemce na vlastní náklady zajistí úklid u služby schválené NGP. Dále si samostatně nájemce sjednává obsluhu jeřábu v objektu, je </w:t>
      </w:r>
      <w:proofErr w:type="spellStart"/>
      <w:r>
        <w:t>li</w:t>
      </w:r>
      <w:proofErr w:type="spellEnd"/>
      <w:r>
        <w:t xml:space="preserve"> to s ohledem na povahu akce nezbytné/v jiném případě nájemce oproti prohlášení o převzetí zodpovědnosti tut</w:t>
      </w:r>
      <w:r>
        <w:t>o službu samostatně zajistí a to na vlastní náklady. Jako podmínka sjednané ceny je zajištění dezinfekce a úklidu prostor na náklady klienta.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ind w:left="520" w:hanging="520"/>
        <w:jc w:val="both"/>
      </w:pPr>
      <w:r>
        <w:t>Cenu za nájemné a služby ve výši dle čl. 4.1 této smlouvy zaplatí Nájemce převodem na účet Pronajímatele uvedený v</w:t>
      </w:r>
      <w:r>
        <w:t xml:space="preserve"> záhlaví této smlouvy dle faktury vystavené Pronajímatelem se splatností </w:t>
      </w:r>
      <w:proofErr w:type="gramStart"/>
      <w:r>
        <w:t>21.2.2022</w:t>
      </w:r>
      <w:proofErr w:type="gramEnd"/>
      <w:r>
        <w:t>. Zaplacením ceny nájemného a služeb se rozumí připsání celé částky ceny nájemného a služeb na účet Pronajímatele nebo složením ceny nájemného a služeb v hotovosti do pokladn</w:t>
      </w:r>
      <w:r>
        <w:t xml:space="preserve">y NGP nejpozději do dne </w:t>
      </w:r>
      <w:proofErr w:type="gramStart"/>
      <w:r>
        <w:t>21.2.2022</w:t>
      </w:r>
      <w:proofErr w:type="gramEnd"/>
      <w:r>
        <w:t xml:space="preserve"> do 19 hodin.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auto"/>
        <w:ind w:left="520" w:hanging="520"/>
        <w:jc w:val="both"/>
      </w:pPr>
      <w:r>
        <w:t>V případě, že nedojde k zaplacení celé částky nájemného a služeb výše uvedeným způsobem, sjednaly si smluvní strany smluvní pokutu ve výši 10 000,- Kč, kterou je Nájemce povinen zaplatit Pronajímateli na zákla</w:t>
      </w:r>
      <w:r>
        <w:t xml:space="preserve">dě faktury vystavené Pronajímatelem ve lhůtě a splatnosti tam uvedené. V případě, že nedojde k zaplacení celé částky nájemného do začátku konání akce, tato smlouva se od počátku ruší a Pronajímatel již není povinen Prostory Nájemci přenechat ke smluvenému </w:t>
      </w:r>
      <w:r>
        <w:t>užívání, nedohodnou-li se smluvní strany jinak.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2"/>
        </w:tabs>
        <w:spacing w:after="260"/>
      </w:pPr>
      <w:bookmarkStart w:id="10" w:name="bookmark10"/>
      <w:bookmarkStart w:id="11" w:name="bookmark11"/>
      <w:r>
        <w:t>Vzájemné vztahy</w:t>
      </w:r>
      <w:bookmarkEnd w:id="10"/>
      <w:bookmarkEnd w:id="11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9" w:lineRule="auto"/>
        <w:ind w:left="520" w:hanging="520"/>
        <w:jc w:val="both"/>
      </w:pPr>
      <w:r>
        <w:t>Pronajímatel předá pronajatý Prostor Nájemci ve stavu způsobilém ke smluvenému užívání a umožní mu užívání společných prostor (komunikace) v rozsahu nezbytném pro uspořádání a konání akce.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71" w:lineRule="auto"/>
        <w:ind w:left="520" w:hanging="520"/>
        <w:jc w:val="both"/>
      </w:pPr>
      <w:r>
        <w:t>Nájemce je povinen respektovat určené komunikace v areálu Veletržního paláce. Pro přístup do objektu VP.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after="420" w:line="264" w:lineRule="auto"/>
        <w:ind w:left="520" w:hanging="520"/>
        <w:jc w:val="both"/>
      </w:pPr>
      <w:r>
        <w:t>Za provedení celé akce, včetně organizace příchodu a odchodu určenými komunikacemi je odpovědný Nájemce. Nájemce se zavazuje zajistit a vypořádat autor</w:t>
      </w:r>
      <w:r>
        <w:t>ská práva v souvislosti s konáním uvedené akce. Za porušení autorských práv, práv výkonných umělců nebo jiných práv duševního vlastnictví při realizaci Akce nebo v souvislosti s ní odpovídá výhradně a v plném rozsahu Nájemce a zavazuje se vypořádat veškeré</w:t>
      </w:r>
      <w:r>
        <w:t xml:space="preserve"> nároky třetích stran uplatněné z důvodu porušení práv duševního vlastnictví, jakož i nahradit škodu Pronajímateli tím vzniklou.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ind w:left="520" w:hanging="520"/>
        <w:jc w:val="both"/>
      </w:pPr>
      <w:r>
        <w:t>Nájemce uhradí veškeré škody, prokazatelně vzniklé na předmětu nájmu jednáním Nájemce a osob, které se s jeho vědomím zdržují v</w:t>
      </w:r>
      <w:r>
        <w:t xml:space="preserve"> pronajatých Prostorách a společných prostorách.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auto"/>
        <w:ind w:left="520" w:hanging="520"/>
        <w:jc w:val="both"/>
      </w:pPr>
      <w:r>
        <w:t>Nájemce prohlašuje, že má uzavřenou pojistnou smlouvu pro případ vzniku odpovědnosti za škodu z výkonu své činnosti, s limitem pojistného plnění nejméně 5,000.000,- Kč, kterou Pronajímateli před uzavřením té</w:t>
      </w:r>
      <w:r>
        <w:t>to smlouvy doložil a prohlašuje, že pojištění bude udržovat v platnosti po celou dobu trvání spolupráce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auto"/>
        <w:ind w:left="520" w:hanging="520"/>
        <w:jc w:val="both"/>
      </w:pPr>
      <w:r>
        <w:t xml:space="preserve">Nájemce je povinen bez zbytečného odkladu oznámit Pronajímateli technické závady, které brání řádnému užívání Prostor a umožnit mu vstup do pronajatých </w:t>
      </w:r>
      <w:r>
        <w:t>Prostor za účelem kontroly a provedení oprav. Jinak Nájemce odpovídá za škody vzniklé nesplněním oznamovací povinnosti.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auto"/>
        <w:jc w:val="both"/>
      </w:pPr>
      <w:r>
        <w:t>Nájemce je povinen respektovat kapacitu Prostor, která je 100 osob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2"/>
        </w:tabs>
        <w:spacing w:line="264" w:lineRule="auto"/>
        <w:jc w:val="both"/>
      </w:pPr>
      <w:r>
        <w:t>Nájemce není oprávněn dát pronajaté Prostory do podnájmu.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ind w:left="500" w:hanging="500"/>
        <w:jc w:val="both"/>
      </w:pPr>
      <w:r>
        <w:t xml:space="preserve">Nájemce se </w:t>
      </w:r>
      <w:r>
        <w:t>zavazuje vyvarovat se v rámci akce jakéhokoliv násilí a jednání, které by poškodilo pověst Pronajímatele, zejména projevů nesnášenlivosti a nenávisti z důvodu pohlaví, rasy, barvy pleti, jazyka, víry a náboženství, politického nebo jiného smýšlení, národní</w:t>
      </w:r>
      <w:r>
        <w:t>ho nebo sociálního původu, příslušnosti k národnostní nebo etnické menšině, majetku, rodu nebo jiného postavení nebo jednání, které by mohlo narušit fyzický, psychický nebo mravní vývoj dětí a mladistvých nebo které by jakkoliv snižovalo lidskou důstojnost</w:t>
      </w:r>
      <w:r>
        <w:t>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58"/>
        </w:tabs>
        <w:ind w:left="500" w:hanging="500"/>
        <w:jc w:val="both"/>
      </w:pPr>
      <w:r>
        <w:lastRenderedPageBreak/>
        <w:t xml:space="preserve">Nájemce není oprávněn ke vstupu do ostatních prostor budovy bez písemného projednání s Pronajímatelem, zastoupeným pro tyto záležitosti </w:t>
      </w:r>
      <w:r w:rsidR="00BE07FA">
        <w:t>XXXXXXXXXXXXXXXXXXX</w:t>
      </w:r>
      <w:r>
        <w:t xml:space="preserve"> (email: </w:t>
      </w:r>
      <w:proofErr w:type="gramStart"/>
      <w:r w:rsidR="00BE07FA">
        <w:rPr>
          <w:u w:val="single"/>
          <w:lang w:val="en-US" w:eastAsia="en-US" w:bidi="en-US"/>
        </w:rPr>
        <w:t>XXXXXXXXXXXXXXXXX</w:t>
      </w:r>
      <w:r>
        <w:rPr>
          <w:u w:val="single"/>
          <w:lang w:val="en-US" w:eastAsia="en-US" w:bidi="en-US"/>
        </w:rPr>
        <w:t xml:space="preserve"> </w:t>
      </w:r>
      <w:r>
        <w:rPr>
          <w:u w:val="single"/>
        </w:rPr>
        <w:t>,</w:t>
      </w:r>
      <w:proofErr w:type="gramEnd"/>
      <w:r>
        <w:t xml:space="preserve"> tel.: </w:t>
      </w:r>
      <w:r>
        <w:t>+</w:t>
      </w:r>
      <w:r w:rsidR="00BE07FA">
        <w:t>XXXXXXXXXXXX</w:t>
      </w:r>
      <w:r>
        <w:t>). Pronajímatel nebude zvát své hosty na akci Nájemce a veřejněji propagovat.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62"/>
        </w:tabs>
        <w:ind w:left="500" w:hanging="500"/>
        <w:jc w:val="both"/>
      </w:pPr>
      <w:r>
        <w:t xml:space="preserve">V případě podstatného porušení této smlouvy ze strany Nájemce, tj. porušení ustanovení čl. </w:t>
      </w:r>
      <w:proofErr w:type="gramStart"/>
      <w:r>
        <w:t>5.3</w:t>
      </w:r>
      <w:proofErr w:type="gramEnd"/>
      <w:r>
        <w:t>., 5.7., 5.8. a 5.9. této smlouvy, které může mít za následek odstou</w:t>
      </w:r>
      <w:r>
        <w:t>pení od smlouvy, je sjednána smluvní pokuta ve výši 15.000,- Kč za každý jednotlivý případ porušení této smlouvy. To platí pouze tehdy, není-li sjednána touto smlouvou smluvní pokuta za daný konkrétní případ porušení této smlouvy v jiné výši. Smluvní pokut</w:t>
      </w:r>
      <w:r>
        <w:t>a je splatná na základě faktury zaslané Nájemci ze strany Pronajímatele.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62"/>
        </w:tabs>
        <w:spacing w:line="264" w:lineRule="auto"/>
        <w:ind w:left="500" w:hanging="500"/>
        <w:jc w:val="both"/>
      </w:pPr>
      <w:r>
        <w:t>V případě ostatních případů porušení této smlouvy (nepodstatného porušení) smlouvy ze strany Nájemce je sjednána smluvní pokuta ve výši 1.000,- Kč, za každý jednotlivý případ porušení</w:t>
      </w:r>
      <w:r>
        <w:t xml:space="preserve"> této smlouvy. To platí pouze tehdy, není-li sjednána touto smlouvou smluvní pokuta za daný konkrétní případ porušení této smlouvy v jiné výši. Smluvní pokuta je splatná na základě faktury zaslané Nájemci ze strany Pronajímatele.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271" w:lineRule="auto"/>
        <w:jc w:val="both"/>
      </w:pPr>
      <w:r>
        <w:t>Kontaktními osobami Pronaj</w:t>
      </w:r>
      <w:r>
        <w:t>ímatele projednání ve věci této smlouvy jsou:</w:t>
      </w:r>
    </w:p>
    <w:p w:rsidR="00F466DF" w:rsidRDefault="00846D4B">
      <w:pPr>
        <w:pStyle w:val="Zkladntext1"/>
        <w:shd w:val="clear" w:color="auto" w:fill="auto"/>
        <w:spacing w:after="0" w:line="271" w:lineRule="auto"/>
        <w:ind w:left="1100"/>
        <w:jc w:val="both"/>
      </w:pPr>
      <w:r>
        <w:t xml:space="preserve">Ve věcech užívání prostor </w:t>
      </w:r>
      <w:r w:rsidR="00BE07FA">
        <w:t>XXXXXXXXXXXXXXX</w:t>
      </w:r>
      <w:r>
        <w:t xml:space="preserve">, e-mail: </w:t>
      </w:r>
      <w:hyperlink r:id="rId7" w:history="1">
        <w:r w:rsidR="00BE07FA">
          <w:rPr>
            <w:u w:val="single"/>
            <w:lang w:val="en-US" w:eastAsia="en-US" w:bidi="en-US"/>
          </w:rPr>
          <w:t>XXXXXXXXXXXXXXXXX</w:t>
        </w:r>
      </w:hyperlink>
      <w:r>
        <w:rPr>
          <w:lang w:val="en-US" w:eastAsia="en-US" w:bidi="en-US"/>
        </w:rPr>
        <w:t xml:space="preserve"> </w:t>
      </w:r>
      <w:r>
        <w:t>_</w:t>
      </w:r>
      <w:proofErr w:type="gramStart"/>
      <w:r>
        <w:t>tel.:</w:t>
      </w:r>
      <w:proofErr w:type="gramEnd"/>
      <w:r>
        <w:t xml:space="preserve"> +</w:t>
      </w:r>
      <w:r w:rsidR="00BE07FA">
        <w:t>XXXXXXXXXXXX</w:t>
      </w:r>
      <w:r>
        <w:t>.</w:t>
      </w:r>
    </w:p>
    <w:p w:rsidR="00F466DF" w:rsidRDefault="00846D4B">
      <w:pPr>
        <w:pStyle w:val="Zkladntext1"/>
        <w:shd w:val="clear" w:color="auto" w:fill="auto"/>
        <w:spacing w:after="420" w:line="271" w:lineRule="auto"/>
        <w:ind w:left="1100"/>
        <w:jc w:val="both"/>
      </w:pPr>
      <w:r>
        <w:t xml:space="preserve">Ve věcech technické podpory správce objektu </w:t>
      </w:r>
      <w:r w:rsidR="00BE07FA">
        <w:t>XXXXXXXXX</w:t>
      </w:r>
      <w:r>
        <w:t xml:space="preserve">, e-mail: </w:t>
      </w:r>
      <w:hyperlink r:id="rId8" w:history="1">
        <w:r w:rsidR="00BE07FA">
          <w:rPr>
            <w:lang w:val="en-US" w:eastAsia="en-US" w:bidi="en-US"/>
          </w:rPr>
          <w:t>XXXXXXXXXXXXXXX</w:t>
        </w:r>
      </w:hyperlink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62"/>
        </w:tabs>
        <w:spacing w:after="420"/>
      </w:pPr>
      <w:r>
        <w:t xml:space="preserve">Kontaktními osobami Nájemce projednání ve věci této smlouvy jsou: </w:t>
      </w:r>
      <w:r w:rsidR="00BE07FA">
        <w:t>XXXXXXXXXXX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1"/>
        </w:tabs>
        <w:spacing w:line="266" w:lineRule="auto"/>
      </w:pPr>
      <w:bookmarkStart w:id="12" w:name="bookmark12"/>
      <w:bookmarkStart w:id="13" w:name="bookmark13"/>
      <w:r>
        <w:t>Základní technické a provozní podmínky</w:t>
      </w:r>
      <w:bookmarkEnd w:id="12"/>
      <w:bookmarkEnd w:id="13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after="420"/>
        <w:ind w:left="500" w:hanging="500"/>
        <w:jc w:val="both"/>
      </w:pPr>
      <w:r>
        <w:t>Nájemce š</w:t>
      </w:r>
      <w:r>
        <w:t xml:space="preserve">ije vědom skutečnosti, že předmět nájmu se nachází v objektu (Veletržním paláci), jenž je nemovitou národní kulturní památkou. Nájemce se zavazuje udržovat pronajaté Prostory a společné prostory v čistotě a pořádku a řádně používat služeb, souvisejících s </w:t>
      </w:r>
      <w:r>
        <w:t>užíváním těchto Prostor.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line="264" w:lineRule="auto"/>
        <w:ind w:left="500" w:hanging="500"/>
        <w:jc w:val="both"/>
      </w:pPr>
      <w:r>
        <w:t>Nájemce bere na vědomí, že v celém areálu VP platí přísný zákaz kouření a práce s otevřeným ohněm. Pokud dojde k porušení těchto zákazů v souvislosti s konáním akce Nájemce, smluvní strany sjednaly smluvní pokutu ve výši 10.000,- K</w:t>
      </w:r>
      <w:r>
        <w:t>č za každé porušení tohoto ustanovení, kterou je Nájemce povinen zaplatit Pronajímateli na základě faktury vystavené Pronajímatelem a ve lhůtě splatnosti tam uvedené.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line="262" w:lineRule="auto"/>
        <w:ind w:left="500" w:hanging="500"/>
        <w:jc w:val="both"/>
      </w:pPr>
      <w:r>
        <w:t xml:space="preserve">Nájemce nesmí v pronajatých prostorách provádět úpravy stavebních konstrukcí objektu. </w:t>
      </w:r>
      <w:r>
        <w:t>Nájemce nesmí zamezit ani omezit funkčnost zabezpečovacích prvků (PZTS, EPS, CCTV).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1"/>
        </w:tabs>
        <w:spacing w:line="264" w:lineRule="auto"/>
        <w:ind w:left="500" w:hanging="500"/>
        <w:jc w:val="both"/>
      </w:pPr>
      <w:r>
        <w:t>Nájemce bere na vědomí, že podlahy předmětu pronájmu nejsou odolné proti mechanickým poškozením, znečištěním tuky, oleji, barevnými tekutinami (káva, červené víno atp.), ná</w:t>
      </w:r>
      <w:r>
        <w:t>těrovými prostředky, lepící vrstvou samolepících pásek (jako podklad musí být použity malířské papírové pásky).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520" w:hanging="520"/>
        <w:jc w:val="both"/>
      </w:pPr>
      <w:r>
        <w:t xml:space="preserve">Nájemce se zavazuje veškeré těžké a ostré předměty/zařízení podložit (např. </w:t>
      </w:r>
      <w:proofErr w:type="spellStart"/>
      <w:r>
        <w:t>Mirelonem</w:t>
      </w:r>
      <w:proofErr w:type="spellEnd"/>
      <w:r>
        <w:t xml:space="preserve">). Stěny předmětu pronájmu nesmí žádným způsobem poškodit </w:t>
      </w:r>
      <w:r>
        <w:t>ani využívat pro kotvení či umisťování instalačních prvků souvisejících s přípravou akce. Vzhledové odlišnosti po opravě škod jsou posuzovány jako vada. Smluvní pokuta za každé porušení tohoto ustanovení činí 20 000,- Kč. Tímto ustanovením není dotčeno prá</w:t>
      </w:r>
      <w:r>
        <w:t>vo Pronajímatele na náhradu škody vzniklé porušením tohoto ustanovení.</w:t>
      </w:r>
    </w:p>
    <w:p w:rsidR="00BE07FA" w:rsidRDefault="00BE07FA" w:rsidP="00BE07FA">
      <w:pPr>
        <w:pStyle w:val="Zkladntext1"/>
        <w:shd w:val="clear" w:color="auto" w:fill="auto"/>
        <w:tabs>
          <w:tab w:val="left" w:pos="519"/>
        </w:tabs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19"/>
        </w:tabs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19"/>
        </w:tabs>
        <w:jc w:val="both"/>
      </w:pPr>
    </w:p>
    <w:p w:rsidR="00BE07FA" w:rsidRDefault="00BE07FA" w:rsidP="00BE07FA">
      <w:pPr>
        <w:pStyle w:val="Zkladntext1"/>
        <w:shd w:val="clear" w:color="auto" w:fill="auto"/>
        <w:tabs>
          <w:tab w:val="left" w:pos="519"/>
        </w:tabs>
        <w:jc w:val="both"/>
      </w:pP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69" w:lineRule="auto"/>
        <w:ind w:left="520" w:hanging="520"/>
        <w:jc w:val="both"/>
      </w:pPr>
      <w:r>
        <w:lastRenderedPageBreak/>
        <w:t>Nájemce se zavazuje udržovat vzdálenost přístrojů, vydávajících teplo (reflektory, teplomety apod.) v dostatečné vzdálenosti od všech stavebních prvků objektu a mobiliáře, aby nedocháze</w:t>
      </w:r>
      <w:r>
        <w:t>lo k jejich náhlému zahřátí.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after="420"/>
        <w:ind w:left="520" w:hanging="520"/>
        <w:jc w:val="both"/>
      </w:pPr>
      <w:r>
        <w:t>Nájemce odpovídá za veškerou škodu a jinou újmu, kterou způsobí za dobu trvání nájmu resp. za veškerou škodu a jinou újmu, kterou způsobí od okamžiku předání předmětu nájmu Pronajímatelem Nájemci do okamžiku předání předmětu ná</w:t>
      </w:r>
      <w:r>
        <w:t>jmu Nájemcem zpět Pronajímateli a v přímé souvislosti s plněním dle této smlouvy na majetku České republiky či na majetku třetích osob, jakož i na zdraví a životě osob, a to sám nebo prostřednictvím svých zaměstnanců nebo (spolu) pracovníků či hostů.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  <w:spacing w:after="540" w:line="266" w:lineRule="auto"/>
      </w:pPr>
      <w:bookmarkStart w:id="14" w:name="bookmark14"/>
      <w:bookmarkStart w:id="15" w:name="bookmark15"/>
      <w:r>
        <w:t>Skonč</w:t>
      </w:r>
      <w:r>
        <w:t>ení nájmu</w:t>
      </w:r>
      <w:bookmarkEnd w:id="14"/>
      <w:bookmarkEnd w:id="15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</w:pPr>
      <w:r>
        <w:t>Nájem končí uplynutím doby, na kterou byl sjednán.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ind w:left="520" w:hanging="520"/>
        <w:jc w:val="both"/>
      </w:pPr>
      <w:r>
        <w:t>Pronajímatel může odstoupit od smlouvy, jestliže Nájemce užívá předmět nájmu nad rámec sjednaného účelu nebo trpí-li užívání předmětu nájmu takovým způsobem, že Pronajímateli vzniká škoda, čije z</w:t>
      </w:r>
      <w:r>
        <w:t>asahováno do jeho pověsti nebo mu hrozí značná škoda či jiná újma. Odstoupení je účinné okamžikem doručení Nájemci.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</w:pPr>
      <w:r>
        <w:t>Odstoupením se smlouva ruší od počátku.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71" w:lineRule="auto"/>
        <w:ind w:left="520" w:hanging="520"/>
        <w:jc w:val="both"/>
      </w:pPr>
      <w:r>
        <w:t>Pronajímatel může tuto smlouvu kdykoliv vypovědět s okamžitou účinností, odpadla-li by dočasná nepot</w:t>
      </w:r>
      <w:r>
        <w:t>řebnost předmětu nájmu.</w:t>
      </w:r>
    </w:p>
    <w:p w:rsidR="00F466DF" w:rsidRDefault="00846D4B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  <w:spacing w:after="540" w:line="266" w:lineRule="auto"/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76" w:lineRule="auto"/>
        <w:ind w:left="520" w:hanging="520"/>
        <w:jc w:val="both"/>
      </w:pPr>
      <w:r>
        <w:t>Jakékoliv změny nebo doplňky k této smlouvě jsou možné pouze formou vzestupně číslovaných písemných dodatků.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69" w:lineRule="auto"/>
        <w:ind w:left="520" w:hanging="520"/>
        <w:jc w:val="both"/>
      </w:pPr>
      <w:r>
        <w:t xml:space="preserve">Vznikem nároku na kteroukoli ze smluvních pokut ani zaplacením kterékoli ze smluvních pokut, </w:t>
      </w:r>
      <w:r>
        <w:t>sjednaných v této smlouvě, není dotčeno právo Pronajímatele na náhradu škody vzniklé porušením povinnosti, za kterou byla smluvní pokuta sjednána.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</w:pPr>
      <w:r>
        <w:t>Ostatní vztahy mezi smluvními stranami se řídí příslušnými ustanoveními občanského zákoníku.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519"/>
        </w:tabs>
        <w:spacing w:line="262" w:lineRule="auto"/>
        <w:ind w:left="520" w:hanging="520"/>
        <w:jc w:val="both"/>
      </w:pPr>
      <w:r>
        <w:t>Pro případ povin</w:t>
      </w:r>
      <w:r>
        <w:t>nosti uveřejnění této smlouvy dle zákona č. 340/2015 Sb., o zvláštních podmínkách účinnosti některých smluv, uveřejňování těchto smluv a o registru smluv (zákon o registru smluv), smluvní strany sjednávají, že uveřejnění provede Pronajímatel. Obě smluvní s</w:t>
      </w:r>
      <w:r>
        <w:t>trany berou na vědomí, že nebudou uveřejněny pouze ty informace, které nelze poskytnout podle předpisů upravujících svobodný přístup k informacím. Považuje-li Nájemce některé informace uvedené v této smlouvě za informace, které nemají být uveřejněny v regi</w:t>
      </w:r>
      <w:r>
        <w:t>stru smluv dle zákona o registru smluv, je povinen na to Pronajímatele současně s uzavřením této smlouvy písemně</w:t>
      </w:r>
      <w:r>
        <w:br w:type="page"/>
      </w:r>
      <w:r>
        <w:lastRenderedPageBreak/>
        <w:t>upozornit. Pokud se na tuto smlouvu vztahuje povinnost uveřejnění prostřednictvím registru smluv, nabývá tato smlouva účinnosti dnem uveřejnění</w:t>
      </w:r>
      <w:r>
        <w:t>, ledaže se smluvní strany touto smlouvou dohodly na pozdějším datu účinnosti. Nájemce výslovně souhlasí s tím, že Pronajímatel v případě pochybností o tom, zdaje dána povinnost uveřejnění této smlouvy v registru smluv, tuto smlouvu v zájmu transparentnost</w:t>
      </w:r>
      <w:r>
        <w:t>i a právní jistoty uveřejní.</w:t>
      </w:r>
    </w:p>
    <w:p w:rsidR="00F466DF" w:rsidRDefault="00846D4B">
      <w:pPr>
        <w:pStyle w:val="Zkladntext1"/>
        <w:numPr>
          <w:ilvl w:val="1"/>
          <w:numId w:val="1"/>
        </w:numPr>
        <w:shd w:val="clear" w:color="auto" w:fill="auto"/>
        <w:tabs>
          <w:tab w:val="left" w:pos="499"/>
        </w:tabs>
        <w:spacing w:after="2140" w:line="271" w:lineRule="auto"/>
        <w:ind w:left="500" w:hanging="500"/>
      </w:pPr>
      <w:r>
        <w:t>Tato smlouva je sepsána ve 2 vyhotoveních, z nichž každá smluvní strana obdrží po jednom vyhotovení.</w:t>
      </w:r>
    </w:p>
    <w:p w:rsidR="00F466DF" w:rsidRDefault="00846D4B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11430</wp:posOffset>
                </wp:positionV>
                <wp:extent cx="2051050" cy="26873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2687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66DF" w:rsidRDefault="00846D4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  <w:p w:rsidR="00BE07FA" w:rsidRDefault="00BE07FA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Pronajímatel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9.45pt;margin-top:.9pt;width:161.5pt;height:211.6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" filled="f" stroked="f">
                <v:textbox inset="0,0,0,0">
                  <w:txbxContent>
                    <w:p w:rsidR="00F466DF" w:rsidRDefault="00846D4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  <w:p w:rsidR="00BE07FA" w:rsidRDefault="00BE07FA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Pronajímatel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Praze </w:t>
      </w:r>
      <w:proofErr w:type="gramStart"/>
      <w:r>
        <w:t xml:space="preserve">dne </w:t>
      </w:r>
      <w:r>
        <w:tab/>
      </w:r>
      <w:r>
        <w:tab/>
      </w:r>
      <w:r>
        <w:tab/>
      </w:r>
      <w:r>
        <w:tab/>
        <w:t>.....</w:t>
      </w:r>
      <w:proofErr w:type="gramEnd"/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  <w:bookmarkStart w:id="18" w:name="_GoBack"/>
      <w:bookmarkEnd w:id="18"/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</w:pPr>
    </w:p>
    <w:p w:rsidR="00BE07FA" w:rsidRDefault="00BE07FA" w:rsidP="00BE07FA">
      <w:pPr>
        <w:pStyle w:val="Zkladntext1"/>
        <w:shd w:val="clear" w:color="auto" w:fill="auto"/>
        <w:tabs>
          <w:tab w:val="left" w:leader="dot" w:pos="4927"/>
          <w:tab w:val="left" w:pos="5294"/>
          <w:tab w:val="left" w:leader="dot" w:pos="5422"/>
          <w:tab w:val="left" w:leader="dot" w:pos="5805"/>
        </w:tabs>
        <w:spacing w:after="0" w:line="240" w:lineRule="auto"/>
        <w:ind w:left="3640" w:firstLine="608"/>
        <w:sectPr w:rsidR="00BE07FA">
          <w:footerReference w:type="default" r:id="rId9"/>
          <w:pgSz w:w="11900" w:h="16840"/>
          <w:pgMar w:top="1376" w:right="1350" w:bottom="1243" w:left="1373" w:header="948" w:footer="3" w:gutter="0"/>
          <w:pgNumType w:start="1"/>
          <w:cols w:space="720"/>
          <w:noEndnote/>
          <w:docGrid w:linePitch="360"/>
        </w:sectPr>
      </w:pPr>
      <w:r>
        <w:t>Nájemce</w:t>
      </w: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line="240" w:lineRule="exact"/>
        <w:rPr>
          <w:sz w:val="19"/>
          <w:szCs w:val="19"/>
        </w:rPr>
      </w:pPr>
    </w:p>
    <w:p w:rsidR="00F466DF" w:rsidRDefault="00F466DF">
      <w:pPr>
        <w:spacing w:before="79" w:after="79" w:line="240" w:lineRule="exact"/>
        <w:rPr>
          <w:sz w:val="19"/>
          <w:szCs w:val="19"/>
        </w:rPr>
      </w:pPr>
    </w:p>
    <w:p w:rsidR="00F466DF" w:rsidRDefault="00F466DF">
      <w:pPr>
        <w:spacing w:line="1" w:lineRule="exact"/>
        <w:sectPr w:rsidR="00F466DF">
          <w:type w:val="continuous"/>
          <w:pgSz w:w="11900" w:h="16840"/>
          <w:pgMar w:top="1395" w:right="0" w:bottom="839" w:left="0" w:header="0" w:footer="3" w:gutter="0"/>
          <w:cols w:space="720"/>
          <w:noEndnote/>
          <w:docGrid w:linePitch="360"/>
        </w:sectPr>
      </w:pPr>
    </w:p>
    <w:p w:rsidR="00F466DF" w:rsidRDefault="00F466DF">
      <w:pPr>
        <w:spacing w:line="360" w:lineRule="exact"/>
      </w:pPr>
    </w:p>
    <w:p w:rsidR="00F466DF" w:rsidRDefault="00F466DF">
      <w:pPr>
        <w:spacing w:line="360" w:lineRule="exact"/>
      </w:pPr>
    </w:p>
    <w:p w:rsidR="00F466DF" w:rsidRDefault="00F466DF">
      <w:pPr>
        <w:spacing w:line="360" w:lineRule="exact"/>
      </w:pPr>
    </w:p>
    <w:p w:rsidR="00F466DF" w:rsidRDefault="00F466DF">
      <w:pPr>
        <w:spacing w:after="657" w:line="1" w:lineRule="exact"/>
      </w:pPr>
    </w:p>
    <w:p w:rsidR="00F466DF" w:rsidRDefault="00F466DF">
      <w:pPr>
        <w:spacing w:line="1" w:lineRule="exact"/>
      </w:pPr>
    </w:p>
    <w:sectPr w:rsidR="00F466DF">
      <w:type w:val="continuous"/>
      <w:pgSz w:w="11900" w:h="16840"/>
      <w:pgMar w:top="1395" w:right="1303" w:bottom="839" w:left="1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4B" w:rsidRDefault="00846D4B">
      <w:r>
        <w:separator/>
      </w:r>
    </w:p>
  </w:endnote>
  <w:endnote w:type="continuationSeparator" w:id="0">
    <w:p w:rsidR="00846D4B" w:rsidRDefault="0084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DF" w:rsidRDefault="00846D4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3753485</wp:posOffset>
              </wp:positionH>
              <wp:positionV relativeFrom="page">
                <wp:posOffset>10102850</wp:posOffset>
              </wp:positionV>
              <wp:extent cx="3683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66DF" w:rsidRDefault="00846D4B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E07FA" w:rsidRPr="00BE07FA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55pt;margin-top:795.5pt;width:2.9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" filled="f" stroked="f">
              <v:textbox style="mso-fit-shape-to-text:t" inset="0,0,0,0">
                <w:txbxContent>
                  <w:p w:rsidR="00F466DF" w:rsidRDefault="00846D4B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E07FA" w:rsidRPr="00BE07FA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4B" w:rsidRDefault="00846D4B"/>
  </w:footnote>
  <w:footnote w:type="continuationSeparator" w:id="0">
    <w:p w:rsidR="00846D4B" w:rsidRDefault="00846D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728A"/>
    <w:multiLevelType w:val="multilevel"/>
    <w:tmpl w:val="CAFA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DF"/>
    <w:rsid w:val="00846D4B"/>
    <w:rsid w:val="00BE07FA"/>
    <w:rsid w:val="00F4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53D9"/>
  <w15:docId w15:val="{7AF0F94B-8A6F-4BC0-BD51-62859A19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80" w:after="270"/>
      <w:ind w:left="3200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cesal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za.stanclova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2043</Words>
  <Characters>12060</Characters>
  <Application>Microsoft Office Word</Application>
  <DocSecurity>0</DocSecurity>
  <Lines>100</Lines>
  <Paragraphs>28</Paragraphs>
  <ScaleCrop>false</ScaleCrop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Skopirka1.P22022412470</dc:title>
  <dc:subject/>
  <dc:creator/>
  <cp:keywords/>
  <cp:lastModifiedBy>Zdenka Šímová</cp:lastModifiedBy>
  <cp:revision>2</cp:revision>
  <dcterms:created xsi:type="dcterms:W3CDTF">2022-02-24T13:19:00Z</dcterms:created>
  <dcterms:modified xsi:type="dcterms:W3CDTF">2022-02-24T13:25:00Z</dcterms:modified>
</cp:coreProperties>
</file>