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SPD-22/012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6335F2">
        <w:t>em</w:t>
      </w:r>
      <w:r w:rsidRPr="007B6B27">
        <w:t xml:space="preserve"> Med</w:t>
      </w:r>
      <w:r w:rsidR="006335F2">
        <w:t>kem</w:t>
      </w:r>
      <w:r w:rsidRPr="007B6B27">
        <w:t>, obchodní</w:t>
      </w:r>
      <w:r w:rsidR="006335F2">
        <w:t>m</w:t>
      </w:r>
      <w:r w:rsidRPr="007B6B27">
        <w:t xml:space="preserve"> náměst</w:t>
      </w:r>
      <w:r w:rsidR="006335F2">
        <w:t>kem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PKF - Prague Philharmonia, o.p.s.</w:t>
      </w:r>
      <w:r w:rsidR="007B6B27" w:rsidRPr="007B6B27">
        <w:rPr>
          <w:b/>
        </w:rPr>
        <w:t xml:space="preserve">, </w:t>
      </w:r>
      <w:r>
        <w:rPr>
          <w:b/>
        </w:rPr>
        <w:t>Burešova  1661/2, 182 00 Praha 8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810614004/2700</w:t>
      </w:r>
    </w:p>
    <w:p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6335F2">
        <w:t>ou</w:t>
      </w:r>
      <w:r w:rsidR="00FF4087">
        <w:t xml:space="preserve"> Kalistov</w:t>
      </w:r>
      <w:r w:rsidR="006335F2">
        <w:t>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SPD-22/012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Bělohlávkův salonek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Bělohlávkův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- Talichův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Entrée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Roll-up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abonentní 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204 700,00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lastRenderedPageBreak/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35F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1479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2022-02-24T12:57:00Z</dcterms:created>
  <dcterms:modified xsi:type="dcterms:W3CDTF">2022-02-24T12:57:00Z</dcterms:modified>
</cp:coreProperties>
</file>