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2FC78D" w14:textId="77777777" w:rsidR="00E53F1F" w:rsidRDefault="00E53F1F" w:rsidP="00E53F1F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8"/>
          <w:szCs w:val="28"/>
          <w:u w:val="single"/>
        </w:rPr>
      </w:pPr>
      <w:r w:rsidRPr="003210E8">
        <w:rPr>
          <w:b/>
          <w:color w:val="000000"/>
          <w:sz w:val="28"/>
          <w:szCs w:val="28"/>
          <w:u w:val="single"/>
        </w:rPr>
        <w:t>Smlouva o prodeji práv k užití programových produktů IS HIPPO č</w:t>
      </w:r>
      <w:r>
        <w:rPr>
          <w:b/>
          <w:color w:val="000000"/>
          <w:sz w:val="28"/>
          <w:szCs w:val="28"/>
          <w:u w:val="single"/>
        </w:rPr>
        <w:t>.: 2</w:t>
      </w:r>
      <w:r w:rsidR="00FD26F1">
        <w:rPr>
          <w:b/>
          <w:color w:val="000000"/>
          <w:sz w:val="28"/>
          <w:szCs w:val="28"/>
          <w:u w:val="single"/>
        </w:rPr>
        <w:t>1</w:t>
      </w:r>
      <w:r>
        <w:rPr>
          <w:b/>
          <w:color w:val="000000"/>
          <w:sz w:val="28"/>
          <w:szCs w:val="28"/>
          <w:u w:val="single"/>
        </w:rPr>
        <w:t>NA00</w:t>
      </w:r>
      <w:r w:rsidR="00D9096B">
        <w:rPr>
          <w:b/>
          <w:color w:val="000000"/>
          <w:sz w:val="28"/>
          <w:szCs w:val="28"/>
          <w:u w:val="single"/>
        </w:rPr>
        <w:t>86</w:t>
      </w:r>
      <w:r>
        <w:rPr>
          <w:b/>
          <w:color w:val="000000"/>
          <w:sz w:val="28"/>
          <w:szCs w:val="28"/>
          <w:u w:val="single"/>
        </w:rPr>
        <w:t>/</w:t>
      </w:r>
      <w:r w:rsidR="00FD26F1">
        <w:rPr>
          <w:b/>
          <w:color w:val="000000"/>
          <w:sz w:val="28"/>
          <w:szCs w:val="28"/>
          <w:u w:val="single"/>
        </w:rPr>
        <w:t>PNB</w:t>
      </w:r>
    </w:p>
    <w:p w14:paraId="0E073FEC" w14:textId="77777777" w:rsidR="0036629E" w:rsidRPr="003210E8" w:rsidRDefault="0036629E" w:rsidP="00E53F1F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8"/>
          <w:szCs w:val="28"/>
          <w:u w:val="single"/>
        </w:rPr>
      </w:pPr>
    </w:p>
    <w:p w14:paraId="472BF017" w14:textId="50ED7FE6" w:rsidR="003F5106" w:rsidRDefault="00E53F1F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color w:val="000000"/>
          <w:sz w:val="22"/>
          <w:szCs w:val="22"/>
        </w:rPr>
      </w:pPr>
      <w:r w:rsidRPr="00D22BCC">
        <w:rPr>
          <w:color w:val="000000"/>
          <w:sz w:val="22"/>
          <w:szCs w:val="22"/>
        </w:rPr>
        <w:t>uzavřená níže uvedeného dne, měsíce a roku dle ust. §</w:t>
      </w:r>
      <w:r>
        <w:rPr>
          <w:color w:val="000000"/>
          <w:sz w:val="22"/>
          <w:szCs w:val="22"/>
        </w:rPr>
        <w:t xml:space="preserve"> </w:t>
      </w:r>
      <w:r w:rsidR="0036629E">
        <w:rPr>
          <w:color w:val="000000"/>
          <w:sz w:val="22"/>
          <w:szCs w:val="22"/>
        </w:rPr>
        <w:t>1746 odst. 2 zákona a dále dle ust. § 2358</w:t>
      </w:r>
      <w:r w:rsidR="0036629E">
        <w:rPr>
          <w:color w:val="000000"/>
          <w:sz w:val="22"/>
          <w:szCs w:val="22"/>
        </w:rPr>
        <w:br/>
        <w:t xml:space="preserve">a násl. </w:t>
      </w:r>
      <w:r w:rsidRPr="00D22BCC">
        <w:rPr>
          <w:color w:val="000000"/>
          <w:sz w:val="22"/>
          <w:szCs w:val="22"/>
        </w:rPr>
        <w:t>č. 89/2012 Sb., občanský zákoník, ve znění pozdějších předpisů“) mezi:</w:t>
      </w:r>
    </w:p>
    <w:p w14:paraId="7BA67466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b/>
          <w:bCs/>
          <w:color w:val="000000"/>
          <w:sz w:val="22"/>
          <w:szCs w:val="22"/>
        </w:rPr>
      </w:pPr>
    </w:p>
    <w:p w14:paraId="3BCC6949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HIPPO, spol. s r.o.</w:t>
      </w:r>
    </w:p>
    <w:p w14:paraId="2BEFF5A7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společnost je zapsaná do OR vedeného KS v Brně oddíl C, vložka 632</w:t>
      </w:r>
    </w:p>
    <w:p w14:paraId="2FAFE33B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adresa: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Žabovřeská 72/12, 603 00 Brno</w:t>
      </w:r>
    </w:p>
    <w:p w14:paraId="09AD26ED" w14:textId="77777777" w:rsidR="00FD26F1" w:rsidRDefault="0036629E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zastoupena</w:t>
      </w:r>
      <w:r w:rsidR="00FD26F1">
        <w:rPr>
          <w:color w:val="000000"/>
          <w:sz w:val="22"/>
          <w:szCs w:val="22"/>
        </w:rPr>
        <w:t>:</w:t>
      </w:r>
      <w:r w:rsidR="00FD26F1">
        <w:rPr>
          <w:color w:val="000000"/>
          <w:sz w:val="22"/>
          <w:szCs w:val="22"/>
        </w:rPr>
        <w:tab/>
      </w:r>
      <w:r w:rsidR="00FD26F1">
        <w:rPr>
          <w:color w:val="000000"/>
          <w:sz w:val="22"/>
          <w:szCs w:val="22"/>
        </w:rPr>
        <w:tab/>
        <w:t>Ing. Petrem Hájkem, jednatelem</w:t>
      </w:r>
    </w:p>
    <w:p w14:paraId="52BB196E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tel.: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543210134</w:t>
      </w:r>
    </w:p>
    <w:p w14:paraId="6ECB67CD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IČO: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15528561</w:t>
      </w:r>
    </w:p>
    <w:p w14:paraId="0C5A1152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DIČ: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CZ15528561</w:t>
      </w:r>
    </w:p>
    <w:p w14:paraId="7657355A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bankovní spojení: </w:t>
      </w:r>
      <w:r>
        <w:rPr>
          <w:color w:val="000000"/>
          <w:sz w:val="22"/>
          <w:szCs w:val="22"/>
        </w:rPr>
        <w:tab/>
        <w:t>Raiffeisenbank a.s.</w:t>
      </w:r>
    </w:p>
    <w:p w14:paraId="0AA6B13D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číslo účtu: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4800000605/5500</w:t>
      </w:r>
    </w:p>
    <w:p w14:paraId="37EA283C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ko</w:t>
      </w:r>
      <w:r w:rsidR="00C76CDB">
        <w:rPr>
          <w:color w:val="000000"/>
          <w:sz w:val="22"/>
          <w:szCs w:val="22"/>
        </w:rPr>
        <w:t>ntaktní osoba:</w:t>
      </w:r>
      <w:r w:rsidR="00C76CDB">
        <w:rPr>
          <w:color w:val="000000"/>
          <w:sz w:val="22"/>
          <w:szCs w:val="22"/>
        </w:rPr>
        <w:tab/>
        <w:t>Ing. Petr Hájek,</w:t>
      </w:r>
    </w:p>
    <w:p w14:paraId="2D164CAE" w14:textId="77777777" w:rsidR="00C76CDB" w:rsidRDefault="00C76CDB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</w:p>
    <w:p w14:paraId="4B88829B" w14:textId="77777777" w:rsidR="00C76CDB" w:rsidRDefault="00C76CDB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(dále jen zhotovitel)</w:t>
      </w:r>
    </w:p>
    <w:p w14:paraId="4F075484" w14:textId="77777777" w:rsidR="00C76CDB" w:rsidRDefault="00C76CDB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</w:p>
    <w:p w14:paraId="67422E7B" w14:textId="77777777" w:rsidR="0036629E" w:rsidRDefault="0036629E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14:paraId="70FE1F6A" w14:textId="77777777" w:rsidR="00C76CDB" w:rsidRDefault="00C76CDB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</w:p>
    <w:p w14:paraId="60081393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Psychiatrická nemocnice Bohnice</w:t>
      </w:r>
    </w:p>
    <w:p w14:paraId="30E3E829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adresa: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Ústavní 91, 181 02 Praha-Bohnice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</w:t>
      </w:r>
    </w:p>
    <w:p w14:paraId="324E4D1B" w14:textId="77777777" w:rsidR="00FD26F1" w:rsidRDefault="0036629E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zastoupena</w:t>
      </w:r>
      <w:r w:rsidR="00FD26F1">
        <w:rPr>
          <w:color w:val="000000"/>
          <w:sz w:val="22"/>
          <w:szCs w:val="22"/>
        </w:rPr>
        <w:t xml:space="preserve">: </w:t>
      </w:r>
      <w:r w:rsidR="00FD26F1">
        <w:rPr>
          <w:color w:val="000000"/>
          <w:sz w:val="22"/>
          <w:szCs w:val="22"/>
        </w:rPr>
        <w:tab/>
      </w:r>
      <w:r w:rsidR="00FD26F1">
        <w:rPr>
          <w:color w:val="000000"/>
          <w:sz w:val="22"/>
          <w:szCs w:val="22"/>
        </w:rPr>
        <w:tab/>
        <w:t>MUDr. Martinem Holým, MBA, ředitelem</w:t>
      </w:r>
    </w:p>
    <w:p w14:paraId="00F0C0FB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IČO: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00064220</w:t>
      </w:r>
    </w:p>
    <w:p w14:paraId="2F280B31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DIČ: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CZ00064220</w:t>
      </w:r>
    </w:p>
    <w:p w14:paraId="2E421E82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sz w:val="22"/>
          <w:szCs w:val="22"/>
        </w:rPr>
        <w:t>registrace: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zřizovací listina č. j.: 8870-II/2013, vydaná MZ ČR</w:t>
      </w:r>
    </w:p>
    <w:p w14:paraId="3999400D" w14:textId="77777777" w:rsidR="0036629E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kontaktní </w:t>
      </w:r>
      <w:r w:rsidR="0036629E">
        <w:rPr>
          <w:color w:val="000000"/>
          <w:sz w:val="22"/>
          <w:szCs w:val="22"/>
        </w:rPr>
        <w:t>osoba:</w:t>
      </w:r>
      <w:r w:rsidR="0036629E">
        <w:rPr>
          <w:color w:val="000000"/>
          <w:sz w:val="22"/>
          <w:szCs w:val="22"/>
        </w:rPr>
        <w:tab/>
        <w:t>Ing. Josef Lukeš. Ph.D.,</w:t>
      </w:r>
    </w:p>
    <w:p w14:paraId="473AF43F" w14:textId="77777777" w:rsidR="00C76CDB" w:rsidRDefault="00C76CDB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</w:p>
    <w:p w14:paraId="3BB8FBFD" w14:textId="77777777" w:rsidR="00FD26F1" w:rsidRDefault="0036629E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FD26F1">
        <w:rPr>
          <w:color w:val="000000"/>
          <w:sz w:val="22"/>
          <w:szCs w:val="22"/>
        </w:rPr>
        <w:t>(dále jen objednatel)</w:t>
      </w:r>
    </w:p>
    <w:p w14:paraId="42A7F05A" w14:textId="77777777" w:rsidR="0036629E" w:rsidRDefault="0036629E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</w:p>
    <w:p w14:paraId="3FBC8590" w14:textId="77777777" w:rsidR="00FD26F1" w:rsidRPr="0036629E" w:rsidRDefault="00FD26F1" w:rsidP="0036629E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a objednatel společně též jako „smluvní strany“ a/nebo jednotlivě jako „smluvní strana“</w:t>
      </w:r>
      <w:r w:rsidR="0036629E">
        <w:rPr>
          <w:color w:val="000000"/>
          <w:sz w:val="22"/>
          <w:szCs w:val="22"/>
        </w:rPr>
        <w:t xml:space="preserve"> </w:t>
      </w:r>
      <w:r w:rsidRPr="003210E8">
        <w:rPr>
          <w:color w:val="000000"/>
          <w:sz w:val="22"/>
          <w:szCs w:val="22"/>
        </w:rPr>
        <w:t>uzavřely Smlouvu</w:t>
      </w:r>
      <w:r w:rsidRPr="003210E8">
        <w:rPr>
          <w:b/>
          <w:color w:val="000000"/>
          <w:sz w:val="22"/>
          <w:szCs w:val="22"/>
        </w:rPr>
        <w:t xml:space="preserve"> </w:t>
      </w:r>
      <w:r w:rsidRPr="00FD26F1">
        <w:rPr>
          <w:color w:val="000000"/>
          <w:sz w:val="22"/>
          <w:szCs w:val="22"/>
        </w:rPr>
        <w:t>o prodeji práv k užití programových produktů IS HIPPO (dále jen Smlouva)</w:t>
      </w:r>
      <w:r w:rsidR="0036629E"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v následujícím znění:</w:t>
      </w:r>
    </w:p>
    <w:p w14:paraId="3E5CA91F" w14:textId="77777777" w:rsidR="00FD26F1" w:rsidRDefault="00FD26F1" w:rsidP="00FD26F1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sz w:val="22"/>
          <w:szCs w:val="22"/>
        </w:rPr>
      </w:pPr>
    </w:p>
    <w:p w14:paraId="03D0F2DE" w14:textId="77777777" w:rsidR="00FD26F1" w:rsidRDefault="00FD26F1" w:rsidP="00FD26F1">
      <w:pPr>
        <w:widowControl/>
        <w:suppressAutoHyphens w:val="0"/>
        <w:rPr>
          <w:sz w:val="22"/>
          <w:szCs w:val="22"/>
        </w:rPr>
        <w:sectPr w:rsidR="00FD26F1">
          <w:pgSz w:w="11906" w:h="16838"/>
          <w:pgMar w:top="1418" w:right="1440" w:bottom="1418" w:left="1440" w:header="708" w:footer="357" w:gutter="0"/>
          <w:pgNumType w:start="1"/>
          <w:cols w:space="708"/>
        </w:sectPr>
      </w:pPr>
    </w:p>
    <w:p w14:paraId="0201D1A5" w14:textId="77777777" w:rsidR="0067630B" w:rsidRDefault="0067630B" w:rsidP="0067630B">
      <w:pPr>
        <w:pageBreakBefore/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I.</w:t>
      </w:r>
    </w:p>
    <w:p w14:paraId="1AD453C0" w14:textId="77777777" w:rsidR="0067630B" w:rsidRDefault="0067630B" w:rsidP="0067630B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Předmět</w:t>
      </w:r>
    </w:p>
    <w:p w14:paraId="5E9DB80E" w14:textId="77777777" w:rsidR="0067630B" w:rsidRDefault="0067630B" w:rsidP="0067630B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Předmětem Smlouvy je poskytnutí práv k užití programového produktu Žurnál DB pro aplikaci IS HIPPO</w:t>
      </w:r>
      <w:r>
        <w:rPr>
          <w:sz w:val="22"/>
          <w:szCs w:val="22"/>
        </w:rPr>
        <w:t>.</w:t>
      </w:r>
      <w:r w:rsidRPr="0067630B">
        <w:rPr>
          <w:sz w:val="22"/>
          <w:szCs w:val="22"/>
        </w:rPr>
        <w:t xml:space="preserve"> </w:t>
      </w:r>
      <w:r>
        <w:rPr>
          <w:sz w:val="22"/>
          <w:szCs w:val="22"/>
        </w:rPr>
        <w:t>Program má charakter autorského díla a jako takový je chráněn autorským zákonem a příslušnými právními ustanoveními a předpisy.</w:t>
      </w:r>
    </w:p>
    <w:p w14:paraId="63AAD09E" w14:textId="77777777" w:rsidR="0067630B" w:rsidRDefault="0067630B" w:rsidP="0067630B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2" w:line="1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Zhotovitel bude po dobu platnosti Smlouvy zabezpečovat</w:t>
      </w:r>
      <w:r w:rsidR="00711BE0">
        <w:rPr>
          <w:color w:val="000000"/>
          <w:sz w:val="22"/>
          <w:szCs w:val="22"/>
        </w:rPr>
        <w:t>:</w:t>
      </w:r>
    </w:p>
    <w:p w14:paraId="2B122DF1" w14:textId="77777777" w:rsidR="00C250FA" w:rsidRDefault="00C250FA" w:rsidP="001B5067">
      <w:pPr>
        <w:pStyle w:val="Odstavecseseznamem"/>
        <w:numPr>
          <w:ilvl w:val="0"/>
          <w:numId w:val="1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2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Pravidelnou údržbu a servis dodaných programových produktů</w:t>
      </w:r>
      <w:r w:rsidR="00711BE0">
        <w:rPr>
          <w:color w:val="000000"/>
          <w:sz w:val="22"/>
          <w:szCs w:val="22"/>
        </w:rPr>
        <w:t>;</w:t>
      </w:r>
    </w:p>
    <w:p w14:paraId="737949A5" w14:textId="42507A8A" w:rsidR="0067630B" w:rsidRDefault="0067630B" w:rsidP="001B5067">
      <w:pPr>
        <w:pStyle w:val="Odstavecseseznamem"/>
        <w:numPr>
          <w:ilvl w:val="0"/>
          <w:numId w:val="1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2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Školení</w:t>
      </w:r>
      <w:r w:rsidR="001B5067">
        <w:rPr>
          <w:color w:val="000000"/>
          <w:sz w:val="22"/>
          <w:szCs w:val="22"/>
        </w:rPr>
        <w:t xml:space="preserve"> vybraných pracovníků objednatele v</w:t>
      </w:r>
      <w:r w:rsidR="00A75035">
        <w:rPr>
          <w:color w:val="000000"/>
          <w:sz w:val="22"/>
          <w:szCs w:val="22"/>
        </w:rPr>
        <w:t xml:space="preserve"> celkovém </w:t>
      </w:r>
      <w:r w:rsidR="001B5067">
        <w:rPr>
          <w:color w:val="000000"/>
          <w:sz w:val="22"/>
          <w:szCs w:val="22"/>
        </w:rPr>
        <w:t>rozsahu maximálně 8 hodin</w:t>
      </w:r>
      <w:r w:rsidR="00711BE0">
        <w:rPr>
          <w:color w:val="000000"/>
          <w:sz w:val="22"/>
          <w:szCs w:val="22"/>
        </w:rPr>
        <w:t>;</w:t>
      </w:r>
    </w:p>
    <w:p w14:paraId="0F0B29A5" w14:textId="2479CDC3" w:rsidR="001B5067" w:rsidRDefault="00C250FA" w:rsidP="001B5067">
      <w:pPr>
        <w:pStyle w:val="Odstavecseseznamem"/>
        <w:numPr>
          <w:ilvl w:val="0"/>
          <w:numId w:val="1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2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Konzultace, úpravy programu </w:t>
      </w:r>
      <w:r w:rsidR="001B5067">
        <w:rPr>
          <w:color w:val="000000"/>
          <w:sz w:val="22"/>
          <w:szCs w:val="22"/>
        </w:rPr>
        <w:t>a spolupráci při realizaci výstupů v rozsahu 120 hod</w:t>
      </w:r>
      <w:r>
        <w:rPr>
          <w:color w:val="000000"/>
          <w:sz w:val="22"/>
          <w:szCs w:val="22"/>
        </w:rPr>
        <w:t xml:space="preserve">in </w:t>
      </w:r>
      <w:r w:rsidR="002C3DD3"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</w:rPr>
        <w:t>tj. 15 člověkodnů</w:t>
      </w:r>
      <w:r w:rsidR="002C3DD3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za </w:t>
      </w:r>
      <w:r w:rsidR="001B5067">
        <w:rPr>
          <w:color w:val="000000"/>
          <w:sz w:val="22"/>
          <w:szCs w:val="22"/>
        </w:rPr>
        <w:t>rok</w:t>
      </w:r>
      <w:r w:rsidR="00711BE0">
        <w:rPr>
          <w:color w:val="000000"/>
          <w:sz w:val="22"/>
          <w:szCs w:val="22"/>
        </w:rPr>
        <w:t>;</w:t>
      </w:r>
    </w:p>
    <w:p w14:paraId="3A49453B" w14:textId="77777777" w:rsidR="001B5067" w:rsidRDefault="001B5067" w:rsidP="001B5067">
      <w:pPr>
        <w:pStyle w:val="Odstavecseseznamem"/>
        <w:numPr>
          <w:ilvl w:val="0"/>
          <w:numId w:val="1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2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Úpravy a doplnění programu Žurnál DB v případě změny verze databázového stroje</w:t>
      </w:r>
      <w:r w:rsidR="00711BE0">
        <w:rPr>
          <w:color w:val="000000"/>
          <w:sz w:val="22"/>
          <w:szCs w:val="22"/>
        </w:rPr>
        <w:t>.</w:t>
      </w:r>
    </w:p>
    <w:p w14:paraId="7FAB7520" w14:textId="2F41E7A2" w:rsidR="001C2417" w:rsidRPr="009F7F6E" w:rsidRDefault="001C2417" w:rsidP="009F7F6E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>
        <w:rPr>
          <w:sz w:val="22"/>
          <w:szCs w:val="22"/>
        </w:rPr>
        <w:t xml:space="preserve">Při plnění povinností vyplývajících z této Smlouvy, se každá ze smluvních stran může nahodile dostat do styku s osobními údaji zpracovávanými druhou smluvní stranou, aniž by je sama jakkoli zpracovávala či měla povinnost je zpracovávat. </w:t>
      </w:r>
      <w:r w:rsidRPr="006E0510">
        <w:rPr>
          <w:sz w:val="22"/>
          <w:szCs w:val="22"/>
        </w:rPr>
        <w:t>V souladu se zákonnými předpisy jsou smluvní strany povinny o těchto osobních údajích zachovávat mlčenlivost.</w:t>
      </w:r>
    </w:p>
    <w:p w14:paraId="6FB94C00" w14:textId="77777777" w:rsidR="00715CF7" w:rsidRDefault="00715CF7" w:rsidP="00715CF7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II.</w:t>
      </w:r>
    </w:p>
    <w:p w14:paraId="32A5941C" w14:textId="77777777" w:rsidR="00715CF7" w:rsidRDefault="00715CF7" w:rsidP="00715CF7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Cena</w:t>
      </w:r>
    </w:p>
    <w:p w14:paraId="152FD69C" w14:textId="49BF1094" w:rsidR="00715CF7" w:rsidRPr="00AC1854" w:rsidRDefault="00715CF7" w:rsidP="00715CF7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 xml:space="preserve">1. </w:t>
      </w:r>
      <w:r w:rsidRPr="00AC1854">
        <w:rPr>
          <w:sz w:val="22"/>
          <w:szCs w:val="22"/>
        </w:rPr>
        <w:t xml:space="preserve">Cena </w:t>
      </w:r>
      <w:r w:rsidR="001B5067">
        <w:rPr>
          <w:sz w:val="22"/>
          <w:szCs w:val="22"/>
        </w:rPr>
        <w:t xml:space="preserve">za plnění </w:t>
      </w:r>
      <w:r w:rsidRPr="00AC1854">
        <w:rPr>
          <w:sz w:val="22"/>
          <w:szCs w:val="22"/>
        </w:rPr>
        <w:t xml:space="preserve">předmětu </w:t>
      </w:r>
      <w:r w:rsidR="001C2417">
        <w:rPr>
          <w:sz w:val="22"/>
          <w:szCs w:val="22"/>
        </w:rPr>
        <w:t>S</w:t>
      </w:r>
      <w:r w:rsidRPr="00AC1854">
        <w:rPr>
          <w:sz w:val="22"/>
          <w:szCs w:val="22"/>
        </w:rPr>
        <w:t>mlouvy je stanovena dohodou smluvních stran</w:t>
      </w:r>
      <w:r>
        <w:rPr>
          <w:sz w:val="22"/>
          <w:szCs w:val="22"/>
        </w:rPr>
        <w:t xml:space="preserve"> ve formě měsíčního poplatku </w:t>
      </w:r>
      <w:r w:rsidRPr="00AC1854">
        <w:rPr>
          <w:sz w:val="22"/>
          <w:szCs w:val="22"/>
        </w:rPr>
        <w:t>a činí</w:t>
      </w:r>
      <w:r>
        <w:rPr>
          <w:sz w:val="22"/>
          <w:szCs w:val="22"/>
        </w:rPr>
        <w:t xml:space="preserve"> </w:t>
      </w:r>
      <w:r w:rsidR="00D9096B">
        <w:rPr>
          <w:sz w:val="22"/>
          <w:szCs w:val="22"/>
        </w:rPr>
        <w:t>22.800</w:t>
      </w:r>
      <w:r>
        <w:rPr>
          <w:sz w:val="22"/>
          <w:szCs w:val="22"/>
        </w:rPr>
        <w:t xml:space="preserve">, - Kč </w:t>
      </w:r>
      <w:r w:rsidR="00C07A7A">
        <w:rPr>
          <w:sz w:val="22"/>
          <w:szCs w:val="22"/>
        </w:rPr>
        <w:t>(</w:t>
      </w:r>
      <w:r w:rsidRPr="00D6365E">
        <w:rPr>
          <w:i/>
          <w:sz w:val="22"/>
          <w:szCs w:val="22"/>
        </w:rPr>
        <w:t xml:space="preserve">slovy </w:t>
      </w:r>
      <w:r w:rsidR="00D9096B" w:rsidRPr="00D6365E">
        <w:rPr>
          <w:i/>
          <w:sz w:val="22"/>
          <w:szCs w:val="22"/>
        </w:rPr>
        <w:t xml:space="preserve">dvacet dva tisíc osm set </w:t>
      </w:r>
      <w:r w:rsidRPr="00D6365E">
        <w:rPr>
          <w:i/>
          <w:sz w:val="22"/>
          <w:szCs w:val="22"/>
        </w:rPr>
        <w:t>korun</w:t>
      </w:r>
      <w:r w:rsidR="00C07A7A">
        <w:rPr>
          <w:sz w:val="22"/>
          <w:szCs w:val="22"/>
        </w:rPr>
        <w:t>)</w:t>
      </w:r>
      <w:r w:rsidRPr="006E0510">
        <w:rPr>
          <w:sz w:val="22"/>
          <w:szCs w:val="22"/>
        </w:rPr>
        <w:t xml:space="preserve">.  Tato cena </w:t>
      </w:r>
      <w:r w:rsidR="00C07A7A" w:rsidRPr="006E0510">
        <w:rPr>
          <w:sz w:val="22"/>
          <w:szCs w:val="22"/>
        </w:rPr>
        <w:t>ne</w:t>
      </w:r>
      <w:r w:rsidR="00C07A7A">
        <w:rPr>
          <w:sz w:val="22"/>
          <w:szCs w:val="22"/>
        </w:rPr>
        <w:t>zahrnuje</w:t>
      </w:r>
      <w:r w:rsidR="00C07A7A" w:rsidRPr="00AC1854">
        <w:rPr>
          <w:sz w:val="22"/>
          <w:szCs w:val="22"/>
        </w:rPr>
        <w:t xml:space="preserve"> </w:t>
      </w:r>
      <w:r w:rsidRPr="00AC1854">
        <w:rPr>
          <w:sz w:val="22"/>
          <w:szCs w:val="22"/>
        </w:rPr>
        <w:t>DPH, a bude o ni při fakturaci zvýšena dle platných předpisů.</w:t>
      </w:r>
    </w:p>
    <w:p w14:paraId="6748C961" w14:textId="77777777" w:rsidR="00715CF7" w:rsidRPr="00AC1854" w:rsidRDefault="00715CF7" w:rsidP="00715CF7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 w:rsidRPr="00AC1854">
        <w:rPr>
          <w:color w:val="000000"/>
          <w:sz w:val="22"/>
          <w:szCs w:val="22"/>
        </w:rPr>
        <w:t>2. Objednatel se zavazuje zaplatit smluvenou kupní cenu řádně a v plné výši</w:t>
      </w:r>
      <w:r w:rsidR="00C07A7A">
        <w:rPr>
          <w:color w:val="000000"/>
          <w:sz w:val="22"/>
          <w:szCs w:val="22"/>
        </w:rPr>
        <w:t>,</w:t>
      </w:r>
      <w:r w:rsidRPr="00AC1854">
        <w:rPr>
          <w:color w:val="000000"/>
          <w:sz w:val="22"/>
          <w:szCs w:val="22"/>
        </w:rPr>
        <w:t xml:space="preserve"> a to v termínu uvedené</w:t>
      </w:r>
      <w:r w:rsidRPr="006E0510">
        <w:rPr>
          <w:sz w:val="22"/>
          <w:szCs w:val="22"/>
        </w:rPr>
        <w:t>m</w:t>
      </w:r>
      <w:r w:rsidRPr="00AC1854">
        <w:rPr>
          <w:color w:val="000000"/>
          <w:sz w:val="22"/>
          <w:szCs w:val="22"/>
        </w:rPr>
        <w:t xml:space="preserve"> jako datum splatnosti na příslušném daňovém dokladu vystaveném zhotovitelem.</w:t>
      </w:r>
    </w:p>
    <w:p w14:paraId="53533580" w14:textId="19CB81DE" w:rsidR="00715CF7" w:rsidRPr="009F7F6E" w:rsidRDefault="00715CF7" w:rsidP="009F7F6E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</w:t>
      </w:r>
      <w:r w:rsidRPr="00AC1854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Zhotovitel vystaví řádný daňový doklad na dodávku předmětu </w:t>
      </w:r>
      <w:r w:rsidR="001C2417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vždy k příslušnému platebnímu období se splatností 30 dnů od data jeho vystavení. Platebním období se pro účely </w:t>
      </w:r>
      <w:r w:rsidR="001C2417">
        <w:rPr>
          <w:color w:val="000000"/>
          <w:sz w:val="22"/>
          <w:szCs w:val="22"/>
        </w:rPr>
        <w:t>Smlouvy</w:t>
      </w:r>
      <w:r>
        <w:rPr>
          <w:color w:val="000000"/>
          <w:sz w:val="22"/>
          <w:szCs w:val="22"/>
        </w:rPr>
        <w:t xml:space="preserve"> rozumí kalendářní měsíc</w:t>
      </w:r>
      <w:r w:rsidRPr="00AC1854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Smluvní strany se mohou dohodnout na kumulativní úhradě za více platebních období</w:t>
      </w:r>
      <w:r w:rsidRPr="00AC1854">
        <w:rPr>
          <w:color w:val="000000"/>
          <w:sz w:val="22"/>
          <w:szCs w:val="22"/>
        </w:rPr>
        <w:t>.</w:t>
      </w:r>
    </w:p>
    <w:p w14:paraId="3A385E9F" w14:textId="77777777" w:rsidR="00715CF7" w:rsidRDefault="00715CF7" w:rsidP="00715CF7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III.</w:t>
      </w:r>
    </w:p>
    <w:p w14:paraId="1F92BB8D" w14:textId="77777777" w:rsidR="00715CF7" w:rsidRDefault="00715CF7" w:rsidP="00715CF7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bCs/>
          <w:color w:val="000000"/>
          <w:sz w:val="22"/>
          <w:szCs w:val="22"/>
          <w:u w:val="single"/>
        </w:rPr>
      </w:pPr>
      <w:r>
        <w:rPr>
          <w:b/>
          <w:bCs/>
          <w:color w:val="000000"/>
          <w:sz w:val="22"/>
          <w:szCs w:val="22"/>
          <w:u w:val="single"/>
        </w:rPr>
        <w:t>Doba a způsob dodání zboží</w:t>
      </w:r>
    </w:p>
    <w:p w14:paraId="5B31D621" w14:textId="41EBD6B5" w:rsidR="00715CF7" w:rsidRDefault="00715CF7" w:rsidP="00715CF7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Zhotovitel se zavazuje dodat a nainstalovat programové produkty, jejichž užití je předmětem </w:t>
      </w:r>
      <w:r w:rsidR="001C2417">
        <w:rPr>
          <w:color w:val="000000"/>
          <w:sz w:val="22"/>
          <w:szCs w:val="22"/>
        </w:rPr>
        <w:t>S</w:t>
      </w:r>
      <w:r>
        <w:rPr>
          <w:color w:val="000000"/>
          <w:sz w:val="22"/>
          <w:szCs w:val="22"/>
        </w:rPr>
        <w:t xml:space="preserve">mlouvy nejpozději do 7 dnů od nabytí účinnosti </w:t>
      </w:r>
      <w:r w:rsidR="00C07A7A">
        <w:rPr>
          <w:color w:val="000000"/>
          <w:sz w:val="22"/>
          <w:szCs w:val="22"/>
        </w:rPr>
        <w:t>Smlouvy</w:t>
      </w:r>
      <w:r>
        <w:rPr>
          <w:color w:val="000000"/>
          <w:sz w:val="22"/>
          <w:szCs w:val="22"/>
        </w:rPr>
        <w:t xml:space="preserve">. </w:t>
      </w:r>
      <w:r w:rsidRPr="006571BD">
        <w:rPr>
          <w:sz w:val="22"/>
          <w:szCs w:val="22"/>
        </w:rPr>
        <w:t xml:space="preserve">Dodávkou se rozumí jejich instalace na serveru objednatele </w:t>
      </w:r>
      <w:r>
        <w:rPr>
          <w:color w:val="000000"/>
          <w:sz w:val="22"/>
          <w:szCs w:val="22"/>
        </w:rPr>
        <w:t>v sídle objednatele. Smluvní strany se dohodly na instalaci dálkovým přístupem. O této skuteč</w:t>
      </w:r>
      <w:r w:rsidR="0067630B">
        <w:rPr>
          <w:color w:val="000000"/>
          <w:sz w:val="22"/>
          <w:szCs w:val="22"/>
        </w:rPr>
        <w:t>nosti bude vyhotoven předávací protokol.</w:t>
      </w:r>
    </w:p>
    <w:p w14:paraId="26991C86" w14:textId="691D0812" w:rsidR="00715CF7" w:rsidRPr="009F7F6E" w:rsidRDefault="00715CF7" w:rsidP="009F7F6E">
      <w:pPr>
        <w:pStyle w:val="Zkladntext"/>
        <w:ind w:right="-45"/>
        <w:rPr>
          <w:sz w:val="22"/>
          <w:szCs w:val="22"/>
        </w:rPr>
      </w:pPr>
      <w:r>
        <w:rPr>
          <w:sz w:val="22"/>
          <w:szCs w:val="22"/>
        </w:rPr>
        <w:t xml:space="preserve">2. Dnem dodávky zhotovitel poskytuje objednateli práva k užití počítačového software, jež je předmětem </w:t>
      </w:r>
      <w:r w:rsidR="00A75035">
        <w:rPr>
          <w:sz w:val="22"/>
          <w:szCs w:val="22"/>
        </w:rPr>
        <w:t>S</w:t>
      </w:r>
      <w:r>
        <w:rPr>
          <w:sz w:val="22"/>
          <w:szCs w:val="22"/>
        </w:rPr>
        <w:t>mlouvy.</w:t>
      </w:r>
    </w:p>
    <w:p w14:paraId="5AE7F7FA" w14:textId="77777777" w:rsidR="00C250FA" w:rsidRDefault="00C250FA" w:rsidP="00C250FA">
      <w:pPr>
        <w:pStyle w:val="Zkladntext"/>
        <w:ind w:right="-45"/>
        <w:jc w:val="center"/>
        <w:rPr>
          <w:sz w:val="22"/>
          <w:szCs w:val="22"/>
        </w:rPr>
      </w:pPr>
      <w:r>
        <w:rPr>
          <w:sz w:val="22"/>
          <w:szCs w:val="22"/>
        </w:rPr>
        <w:t>IV.</w:t>
      </w:r>
    </w:p>
    <w:p w14:paraId="10210D9C" w14:textId="77777777" w:rsidR="00C250FA" w:rsidRPr="00925D58" w:rsidRDefault="00C250FA" w:rsidP="00C250FA">
      <w:pPr>
        <w:pStyle w:val="Nadpis1"/>
        <w:numPr>
          <w:ilvl w:val="0"/>
          <w:numId w:val="0"/>
        </w:num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after="0"/>
        <w:ind w:left="432"/>
        <w:jc w:val="center"/>
        <w:rPr>
          <w:sz w:val="22"/>
          <w:szCs w:val="22"/>
          <w:u w:val="single"/>
        </w:rPr>
      </w:pPr>
      <w:r w:rsidRPr="00925D58">
        <w:rPr>
          <w:sz w:val="22"/>
          <w:szCs w:val="22"/>
          <w:u w:val="single"/>
        </w:rPr>
        <w:t>Práva a povinnosti smluvních stran</w:t>
      </w:r>
    </w:p>
    <w:p w14:paraId="5F13E0B4" w14:textId="0F98A889" w:rsidR="00C250FA" w:rsidRPr="00AC1854" w:rsidRDefault="00C250FA" w:rsidP="00C250FA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sz w:val="22"/>
          <w:szCs w:val="22"/>
        </w:rPr>
      </w:pPr>
      <w:r w:rsidRPr="00AC1854">
        <w:rPr>
          <w:color w:val="000000"/>
          <w:sz w:val="22"/>
          <w:szCs w:val="22"/>
        </w:rPr>
        <w:t xml:space="preserve">1. </w:t>
      </w:r>
      <w:r w:rsidRPr="00AC1854">
        <w:rPr>
          <w:sz w:val="22"/>
          <w:szCs w:val="22"/>
        </w:rPr>
        <w:t>Zhotovitel bude dle povahy prováděných prací poskytovat plnění vyplývající z</w:t>
      </w:r>
      <w:r w:rsidR="00A75035">
        <w:rPr>
          <w:sz w:val="22"/>
          <w:szCs w:val="22"/>
        </w:rPr>
        <w:t>e</w:t>
      </w:r>
      <w:r w:rsidRPr="00AC1854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AC1854">
        <w:rPr>
          <w:sz w:val="22"/>
          <w:szCs w:val="22"/>
        </w:rPr>
        <w:t xml:space="preserve">mlouvy formou vzdálené správy nebo osobně v sídle objednatele. V případě prací v sídle objednatele bude zhotovitel účtovat objednateli náklady na výjezd technika. Smluvní strany se dohodly na ceně ve formě paušálního poplatku za jeden výjezd technika ve výši </w:t>
      </w:r>
      <w:r>
        <w:rPr>
          <w:sz w:val="22"/>
          <w:szCs w:val="22"/>
        </w:rPr>
        <w:t>2</w:t>
      </w:r>
      <w:r w:rsidRPr="00AC1854">
        <w:rPr>
          <w:sz w:val="22"/>
          <w:szCs w:val="22"/>
        </w:rPr>
        <w:t>.000,- Kč bez DPH</w:t>
      </w:r>
      <w:r w:rsidR="00C07A7A">
        <w:rPr>
          <w:sz w:val="22"/>
          <w:szCs w:val="22"/>
        </w:rPr>
        <w:t>.</w:t>
      </w:r>
    </w:p>
    <w:p w14:paraId="18A03ABA" w14:textId="77777777" w:rsidR="00C250FA" w:rsidRPr="00AC1854" w:rsidRDefault="00C250FA" w:rsidP="00C250FA">
      <w:pPr>
        <w:pStyle w:val="Standard"/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360" w:lineRule="auto"/>
        <w:jc w:val="both"/>
        <w:rPr>
          <w:color w:val="000000"/>
          <w:sz w:val="22"/>
          <w:szCs w:val="22"/>
        </w:rPr>
      </w:pPr>
      <w:r w:rsidRPr="00AC1854">
        <w:rPr>
          <w:sz w:val="22"/>
          <w:szCs w:val="22"/>
        </w:rPr>
        <w:t>2. Služ</w:t>
      </w:r>
      <w:r w:rsidRPr="00AC1854">
        <w:rPr>
          <w:color w:val="000000"/>
          <w:sz w:val="22"/>
          <w:szCs w:val="22"/>
        </w:rPr>
        <w:t>by vzdálené správy poskytuje zhotovitel v pracovní dny od 8.00 hod do 16.00 hod.</w:t>
      </w:r>
    </w:p>
    <w:p w14:paraId="55F9A32C" w14:textId="77777777" w:rsidR="00C250FA" w:rsidRDefault="00C250FA" w:rsidP="00C250FA">
      <w:pPr>
        <w:pStyle w:val="Zkladntext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3</w:t>
      </w:r>
      <w:r w:rsidRPr="00AC1854">
        <w:rPr>
          <w:sz w:val="22"/>
          <w:szCs w:val="22"/>
        </w:rPr>
        <w:t xml:space="preserve">. Objednatel je povinen poskytnout součinnost pro řádné vykonání prací zhotovitelem při plnění předmětu </w:t>
      </w:r>
      <w:r w:rsidR="00A75035">
        <w:rPr>
          <w:sz w:val="22"/>
          <w:szCs w:val="22"/>
        </w:rPr>
        <w:t>S</w:t>
      </w:r>
      <w:r w:rsidRPr="00AC1854">
        <w:rPr>
          <w:sz w:val="22"/>
          <w:szCs w:val="22"/>
        </w:rPr>
        <w:t>mlouvy.</w:t>
      </w:r>
    </w:p>
    <w:p w14:paraId="64F5B243" w14:textId="77777777" w:rsidR="00C250FA" w:rsidRDefault="00C250FA" w:rsidP="00C250FA">
      <w:pPr>
        <w:pStyle w:val="Zkladntext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4</w:t>
      </w:r>
      <w:r w:rsidRPr="00AC1854">
        <w:rPr>
          <w:sz w:val="22"/>
          <w:szCs w:val="22"/>
        </w:rPr>
        <w:t>. Objednatel zabezpečí otevření vzdáleného přístupu k technickým a softwarovým prostředkům objednatele, na kterých je aplikační software provozován.</w:t>
      </w:r>
    </w:p>
    <w:p w14:paraId="40C4A808" w14:textId="77777777" w:rsidR="0047584E" w:rsidRDefault="0047584E" w:rsidP="00C250FA">
      <w:pPr>
        <w:pStyle w:val="Zkladntext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5. Objednatel </w:t>
      </w:r>
      <w:r w:rsidR="00D9096B">
        <w:rPr>
          <w:sz w:val="22"/>
          <w:szCs w:val="22"/>
        </w:rPr>
        <w:t>informuje zhotovitele o všech osobách, které budou s dodaným programovým produktem pracovat. Tato informace bude součástí předávacího protokolu.</w:t>
      </w:r>
    </w:p>
    <w:p w14:paraId="536EFFC4" w14:textId="77777777" w:rsidR="00C250FA" w:rsidRPr="00AC1854" w:rsidRDefault="006A0E2D" w:rsidP="00C250FA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6</w:t>
      </w:r>
      <w:r w:rsidR="00C250FA" w:rsidRPr="00AC1854">
        <w:rPr>
          <w:color w:val="000000"/>
          <w:sz w:val="22"/>
          <w:szCs w:val="22"/>
        </w:rPr>
        <w:t>. Zhotovitel se zavazuje provést</w:t>
      </w:r>
      <w:r w:rsidR="00FF448E">
        <w:rPr>
          <w:color w:val="000000"/>
          <w:sz w:val="22"/>
          <w:szCs w:val="22"/>
        </w:rPr>
        <w:t xml:space="preserve"> výjimečně</w:t>
      </w:r>
      <w:r w:rsidR="00C250FA" w:rsidRPr="00AC1854">
        <w:rPr>
          <w:color w:val="000000"/>
          <w:sz w:val="22"/>
          <w:szCs w:val="22"/>
        </w:rPr>
        <w:t xml:space="preserve"> i </w:t>
      </w:r>
      <w:r w:rsidR="00FF448E">
        <w:rPr>
          <w:color w:val="000000"/>
          <w:sz w:val="22"/>
          <w:szCs w:val="22"/>
        </w:rPr>
        <w:t xml:space="preserve">servisní </w:t>
      </w:r>
      <w:r w:rsidR="00C250FA" w:rsidRPr="00AC1854">
        <w:rPr>
          <w:color w:val="000000"/>
          <w:sz w:val="22"/>
          <w:szCs w:val="22"/>
        </w:rPr>
        <w:t xml:space="preserve">práce, které nejsou předmětem </w:t>
      </w:r>
      <w:r w:rsidR="002C3DD3">
        <w:rPr>
          <w:color w:val="000000"/>
          <w:sz w:val="22"/>
          <w:szCs w:val="22"/>
        </w:rPr>
        <w:t>S</w:t>
      </w:r>
      <w:r w:rsidR="00C250FA" w:rsidRPr="00AC1854">
        <w:rPr>
          <w:color w:val="000000"/>
          <w:sz w:val="22"/>
          <w:szCs w:val="22"/>
        </w:rPr>
        <w:t xml:space="preserve">mlouvy, a to na základě objednávky objednatele. Cena těchto prací bude stanovena dle jejich rozsahu, který je vyjádřen počtem hodin a stanovenou hodinovou sazbou, která pro účely této smlouvy činí </w:t>
      </w:r>
      <w:r w:rsidR="00C250FA">
        <w:rPr>
          <w:color w:val="000000"/>
          <w:sz w:val="22"/>
          <w:szCs w:val="22"/>
        </w:rPr>
        <w:t>600</w:t>
      </w:r>
      <w:r w:rsidR="00C250FA" w:rsidRPr="00AC1854">
        <w:rPr>
          <w:color w:val="000000"/>
          <w:sz w:val="22"/>
          <w:szCs w:val="22"/>
        </w:rPr>
        <w:t>,- Kč/hod.</w:t>
      </w:r>
      <w:r w:rsidR="00FF448E">
        <w:rPr>
          <w:color w:val="000000"/>
          <w:sz w:val="22"/>
          <w:szCs w:val="22"/>
        </w:rPr>
        <w:t xml:space="preserve"> Celková hodnota těchto výjimečných servisních prací nesmí překročit v celkovém součtu za dobu trvání smlouvy 50 000,- Kč bez DPH.</w:t>
      </w:r>
    </w:p>
    <w:p w14:paraId="6456D945" w14:textId="77777777" w:rsidR="00C250FA" w:rsidRPr="002C3DD3" w:rsidRDefault="00C250FA" w:rsidP="007342AD">
      <w:pPr>
        <w:widowControl/>
        <w:suppressAutoHyphens w:val="0"/>
        <w:jc w:val="center"/>
        <w:rPr>
          <w:color w:val="000000"/>
          <w:sz w:val="16"/>
          <w:szCs w:val="16"/>
        </w:rPr>
      </w:pPr>
    </w:p>
    <w:p w14:paraId="72DA0873" w14:textId="77777777" w:rsidR="007342AD" w:rsidRPr="00CE77B1" w:rsidRDefault="007342AD" w:rsidP="007342AD">
      <w:pPr>
        <w:widowControl/>
        <w:suppressAutoHyphens w:val="0"/>
        <w:jc w:val="center"/>
        <w:rPr>
          <w:color w:val="000000"/>
          <w:sz w:val="24"/>
          <w:szCs w:val="24"/>
        </w:rPr>
      </w:pPr>
      <w:r w:rsidRPr="00CE77B1">
        <w:rPr>
          <w:color w:val="000000"/>
          <w:sz w:val="24"/>
          <w:szCs w:val="24"/>
        </w:rPr>
        <w:t>V.</w:t>
      </w:r>
    </w:p>
    <w:p w14:paraId="3183228F" w14:textId="77777777" w:rsidR="007342AD" w:rsidRPr="00CE77B1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4"/>
          <w:szCs w:val="24"/>
          <w:u w:val="single"/>
        </w:rPr>
      </w:pPr>
      <w:r w:rsidRPr="00CE77B1">
        <w:rPr>
          <w:b/>
          <w:color w:val="000000"/>
          <w:sz w:val="24"/>
          <w:szCs w:val="24"/>
          <w:u w:val="single"/>
        </w:rPr>
        <w:t>Ostatní ujednání</w:t>
      </w:r>
    </w:p>
    <w:p w14:paraId="0ED18851" w14:textId="77777777" w:rsidR="007342AD" w:rsidRPr="00C50F24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 w:rsidRPr="00C50F24">
        <w:rPr>
          <w:color w:val="000000"/>
          <w:sz w:val="22"/>
          <w:szCs w:val="22"/>
        </w:rPr>
        <w:t>1. Věci a vztahy touto smlouvou výslovně neupravené se řídí občanským zákoníkem a souvisejícími právními předpisy.</w:t>
      </w:r>
    </w:p>
    <w:p w14:paraId="17674007" w14:textId="77777777" w:rsidR="007342AD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2.</w:t>
      </w:r>
      <w:r>
        <w:rPr>
          <w:sz w:val="22"/>
          <w:szCs w:val="22"/>
        </w:rPr>
        <w:t xml:space="preserve"> Smluvní strany se zavazují zachovávat mlčenlivost o všech skutečnostech týkajících se jejich provozu, osobních údajích, bezpečnostních opatřeních a důvěrných informacích, se kterými se seznámí v rámci plnění závazků vyplývajících z</w:t>
      </w:r>
      <w:r w:rsidR="00A53A24">
        <w:rPr>
          <w:sz w:val="22"/>
          <w:szCs w:val="22"/>
        </w:rPr>
        <w:t xml:space="preserve">e  Smlouvy </w:t>
      </w:r>
      <w:r>
        <w:rPr>
          <w:sz w:val="22"/>
          <w:szCs w:val="22"/>
        </w:rPr>
        <w:t xml:space="preserve">nebo získaných od druhé strany, budou je chránit a nepředají je třetí straně. V této souvislosti se smluvní strany zavazují zavázat k utajování informací veškeré osoby, které s nimi budou na plnění předmětu </w:t>
      </w:r>
      <w:r w:rsidR="00A53A24">
        <w:rPr>
          <w:sz w:val="22"/>
          <w:szCs w:val="22"/>
        </w:rPr>
        <w:t>S</w:t>
      </w:r>
      <w:r>
        <w:rPr>
          <w:sz w:val="22"/>
          <w:szCs w:val="22"/>
        </w:rPr>
        <w:t>mlouvy spolupracovat, nebo které budou pověřeny plněním jednotlivých úkonů.</w:t>
      </w:r>
    </w:p>
    <w:p w14:paraId="6F1013A6" w14:textId="77777777" w:rsidR="007342AD" w:rsidRPr="00EA0B75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sz w:val="22"/>
          <w:szCs w:val="22"/>
        </w:rPr>
      </w:pPr>
      <w:r>
        <w:rPr>
          <w:sz w:val="22"/>
          <w:szCs w:val="22"/>
        </w:rPr>
        <w:t>3. V případě, kdy některá ze smluvních stran zjistí porušení zabezpečení utajovaných informací a skutečností oznámí takové porušení druhé smluvní straně. V případě zjištění porušení zabezpečení osobních údajů jsou smluvní strany povinny tak učinit neprodleně poté co takové porušení zjistí, ledaže je nepravděpodobné, že porušení bude mít za následek riziko pro práva a svobody fyzických osob.</w:t>
      </w:r>
      <w:r w:rsidRPr="00EA0B75">
        <w:rPr>
          <w:sz w:val="22"/>
          <w:szCs w:val="22"/>
        </w:rPr>
        <w:t xml:space="preserve"> Za porušení shora uvedené povinnosti mlčenlivosti se nepovažuje právní jednání smluvní strany uložené zákonem (např.</w:t>
      </w:r>
      <w:r>
        <w:rPr>
          <w:sz w:val="22"/>
          <w:szCs w:val="22"/>
        </w:rPr>
        <w:t xml:space="preserve"> zák. č. 340/2015 Sb.</w:t>
      </w:r>
      <w:r w:rsidRPr="00EA0B75">
        <w:rPr>
          <w:sz w:val="22"/>
          <w:szCs w:val="22"/>
        </w:rPr>
        <w:t xml:space="preserve">). </w:t>
      </w:r>
    </w:p>
    <w:p w14:paraId="56CEAF9B" w14:textId="77777777" w:rsidR="007342AD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Smlouva je uzavřena na dobu určitou v délce trvání 18 měsíců.</w:t>
      </w:r>
    </w:p>
    <w:p w14:paraId="5233A127" w14:textId="77777777" w:rsidR="00C76CDB" w:rsidRDefault="00C76CDB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Smlouva může být vypovězena každou ze smluvních stran s 2 měsíční výpovědní dobou. Výpovědní doba se počítá od prvního dne měsíce, který následuje po dojití výpovědi druhé smluvní straně.</w:t>
      </w:r>
    </w:p>
    <w:p w14:paraId="21BA38D3" w14:textId="3166C732" w:rsidR="007342AD" w:rsidRPr="00C50F24" w:rsidRDefault="00C76CDB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="007342AD" w:rsidRPr="00C50F24">
        <w:rPr>
          <w:color w:val="000000"/>
          <w:sz w:val="22"/>
          <w:szCs w:val="22"/>
        </w:rPr>
        <w:t>.</w:t>
      </w:r>
      <w:r w:rsidR="007342AD">
        <w:rPr>
          <w:color w:val="000000"/>
          <w:sz w:val="22"/>
          <w:szCs w:val="22"/>
        </w:rPr>
        <w:t xml:space="preserve"> </w:t>
      </w:r>
      <w:r w:rsidR="00A53A24">
        <w:rPr>
          <w:color w:val="000000"/>
          <w:sz w:val="22"/>
          <w:szCs w:val="22"/>
        </w:rPr>
        <w:t xml:space="preserve">Smlouva </w:t>
      </w:r>
      <w:r w:rsidR="00A53A24" w:rsidRPr="00C50F24">
        <w:rPr>
          <w:color w:val="000000"/>
          <w:sz w:val="22"/>
          <w:szCs w:val="22"/>
        </w:rPr>
        <w:t>může</w:t>
      </w:r>
      <w:r w:rsidR="007342AD" w:rsidRPr="00C50F24">
        <w:rPr>
          <w:color w:val="000000"/>
          <w:sz w:val="22"/>
          <w:szCs w:val="22"/>
        </w:rPr>
        <w:t xml:space="preserve"> být změněna jen písemným dodatkem odsouhlaseným oběma smluvními stranami.</w:t>
      </w:r>
    </w:p>
    <w:p w14:paraId="0022C076" w14:textId="4EF498D0" w:rsidR="007342AD" w:rsidRPr="00C50F24" w:rsidRDefault="00C76CDB" w:rsidP="007342AD">
      <w:pPr>
        <w:pStyle w:val="Zkladntext31"/>
        <w:rPr>
          <w:sz w:val="22"/>
          <w:szCs w:val="22"/>
        </w:rPr>
      </w:pPr>
      <w:r>
        <w:rPr>
          <w:sz w:val="22"/>
          <w:szCs w:val="22"/>
        </w:rPr>
        <w:t>7</w:t>
      </w:r>
      <w:r w:rsidR="007342AD" w:rsidRPr="00C50F24">
        <w:rPr>
          <w:sz w:val="22"/>
          <w:szCs w:val="22"/>
        </w:rPr>
        <w:t xml:space="preserve">. Pokud bude jakékoliv ustanovení </w:t>
      </w:r>
      <w:r w:rsidR="007342AD">
        <w:rPr>
          <w:sz w:val="22"/>
          <w:szCs w:val="22"/>
        </w:rPr>
        <w:t>Smlouvy</w:t>
      </w:r>
      <w:r w:rsidR="007342AD" w:rsidRPr="00C50F24">
        <w:rPr>
          <w:sz w:val="22"/>
          <w:szCs w:val="22"/>
        </w:rPr>
        <w:t xml:space="preserve"> shledáno jako neplatné, nezákonné nebo n</w:t>
      </w:r>
      <w:bookmarkStart w:id="0" w:name="_GoBack"/>
      <w:bookmarkEnd w:id="0"/>
      <w:r w:rsidR="007342AD" w:rsidRPr="00C50F24">
        <w:rPr>
          <w:sz w:val="22"/>
          <w:szCs w:val="22"/>
        </w:rPr>
        <w:t>evynutitelné, platnost a vynutitelnost zbývajících ustanovení nebude tímto dotčena.</w:t>
      </w:r>
    </w:p>
    <w:p w14:paraId="503E1F1F" w14:textId="77777777" w:rsidR="007342AD" w:rsidRPr="002C3DD3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16"/>
          <w:szCs w:val="16"/>
        </w:rPr>
      </w:pPr>
    </w:p>
    <w:p w14:paraId="7A3CC133" w14:textId="77777777" w:rsidR="007342AD" w:rsidRPr="00D33672" w:rsidRDefault="007342AD" w:rsidP="007342AD">
      <w:pPr>
        <w:pStyle w:val="Bezmezer"/>
        <w:widowControl w:val="0"/>
        <w:jc w:val="center"/>
        <w:rPr>
          <w:rFonts w:ascii="Times New Roman" w:hAnsi="Times New Roman"/>
          <w:sz w:val="22"/>
          <w:szCs w:val="22"/>
        </w:rPr>
      </w:pPr>
      <w:r w:rsidRPr="007A5850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I</w:t>
      </w:r>
      <w:r w:rsidRPr="007A5850">
        <w:rPr>
          <w:rFonts w:ascii="Times New Roman" w:hAnsi="Times New Roman"/>
          <w:sz w:val="22"/>
          <w:szCs w:val="22"/>
        </w:rPr>
        <w:t>.</w:t>
      </w:r>
    </w:p>
    <w:p w14:paraId="07CCC10F" w14:textId="77777777" w:rsidR="007342AD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Závěrečná ustanovení</w:t>
      </w:r>
    </w:p>
    <w:p w14:paraId="551715EB" w14:textId="77777777" w:rsidR="007342AD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1. S</w:t>
      </w:r>
      <w:r w:rsidRPr="00854FDA">
        <w:rPr>
          <w:sz w:val="22"/>
          <w:szCs w:val="22"/>
        </w:rPr>
        <w:t xml:space="preserve">mluvní závazek mlčenlivosti zůstává v platnosti i po uplynutí doby platnosti </w:t>
      </w:r>
      <w:r>
        <w:rPr>
          <w:sz w:val="22"/>
          <w:szCs w:val="22"/>
        </w:rPr>
        <w:t>této</w:t>
      </w:r>
      <w:r w:rsidRPr="00854FDA">
        <w:rPr>
          <w:sz w:val="22"/>
          <w:szCs w:val="22"/>
        </w:rPr>
        <w:t xml:space="preserve"> smlouvy.</w:t>
      </w:r>
    </w:p>
    <w:p w14:paraId="71B0BE6C" w14:textId="77777777" w:rsidR="007342AD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</w:t>
      </w:r>
      <w:r w:rsidR="002C3DD3">
        <w:rPr>
          <w:color w:val="000000"/>
          <w:sz w:val="22"/>
          <w:szCs w:val="22"/>
        </w:rPr>
        <w:t>Smlouva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je platná po podpisu druhou smluvní stranou a nabývá účinnosti uveřejněním v registru smluv ve smyslu ustanovení § 2 odst. 1, písm. c) a § 5 odst. 2 zákona č. 340/2015 Sb. o registru smluv v platném znění. Povinnost k uveřejnění smlouvy v registru smluv přebírá objednatel. Zhotovitel bere na vědomí zveřejnění této smlouvy či jejího obsahu v rámci plnění zákonných povinností objednatele.</w:t>
      </w:r>
    </w:p>
    <w:p w14:paraId="24861E36" w14:textId="7D970486" w:rsidR="007342AD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 w:line="100" w:lineRule="atLeas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r w:rsidR="00FF448E">
        <w:rPr>
          <w:sz w:val="22"/>
          <w:szCs w:val="22"/>
        </w:rPr>
        <w:t>Smlouva j</w:t>
      </w:r>
      <w:r w:rsidRPr="00EA0B75">
        <w:rPr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 vyhotovena ve dvou stejnopisech, z nichž každá ze smluvních stran obdrží po jednom z</w:t>
      </w:r>
      <w:r w:rsidR="00FF448E">
        <w:rPr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nich</w:t>
      </w:r>
      <w:r w:rsidR="00FF448E">
        <w:rPr>
          <w:color w:val="000000"/>
          <w:sz w:val="22"/>
          <w:szCs w:val="22"/>
        </w:rPr>
        <w:t>.</w:t>
      </w:r>
    </w:p>
    <w:p w14:paraId="4841C386" w14:textId="77777777" w:rsidR="007342AD" w:rsidRDefault="007342AD" w:rsidP="007342AD">
      <w:pPr>
        <w:tabs>
          <w:tab w:val="left" w:pos="720"/>
          <w:tab w:val="left" w:pos="1080"/>
          <w:tab w:val="left" w:pos="1440"/>
          <w:tab w:val="left" w:pos="2880"/>
          <w:tab w:val="left" w:pos="4320"/>
          <w:tab w:val="left" w:pos="5760"/>
        </w:tabs>
        <w:spacing w:before="14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Na důkaz své pravé vůle strany </w:t>
      </w:r>
      <w:r w:rsidR="002C3DD3">
        <w:rPr>
          <w:color w:val="000000"/>
          <w:sz w:val="22"/>
          <w:szCs w:val="22"/>
        </w:rPr>
        <w:t>Smlouvu</w:t>
      </w:r>
      <w:r>
        <w:rPr>
          <w:color w:val="000000"/>
          <w:sz w:val="22"/>
          <w:szCs w:val="22"/>
        </w:rPr>
        <w:t xml:space="preserve"> podepisují.</w:t>
      </w:r>
    </w:p>
    <w:p w14:paraId="1DF6D794" w14:textId="77777777" w:rsidR="007342AD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4"/>
          <w:szCs w:val="24"/>
        </w:rPr>
      </w:pPr>
    </w:p>
    <w:p w14:paraId="0E5FFE5B" w14:textId="77777777" w:rsidR="009F7F6E" w:rsidRPr="00CE77B1" w:rsidRDefault="009F7F6E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4"/>
          <w:szCs w:val="24"/>
        </w:rPr>
      </w:pPr>
    </w:p>
    <w:p w14:paraId="21B911D3" w14:textId="77777777" w:rsidR="007342AD" w:rsidRPr="00CE77B1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4"/>
          <w:szCs w:val="24"/>
        </w:rPr>
      </w:pPr>
      <w:r w:rsidRPr="00CE77B1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 xml:space="preserve">                   </w:t>
      </w:r>
      <w:r w:rsidR="00C76CDB">
        <w:rPr>
          <w:color w:val="000000"/>
          <w:sz w:val="24"/>
          <w:szCs w:val="24"/>
        </w:rPr>
        <w:tab/>
      </w:r>
      <w:r w:rsidR="00C76CDB">
        <w:rPr>
          <w:color w:val="000000"/>
          <w:sz w:val="24"/>
          <w:szCs w:val="24"/>
        </w:rPr>
        <w:tab/>
      </w:r>
      <w:r w:rsidRPr="00CE77B1">
        <w:rPr>
          <w:color w:val="000000"/>
          <w:sz w:val="24"/>
          <w:szCs w:val="24"/>
        </w:rPr>
        <w:t>dne:</w:t>
      </w:r>
      <w:r w:rsidRPr="00CE77B1">
        <w:rPr>
          <w:color w:val="000000"/>
          <w:sz w:val="24"/>
          <w:szCs w:val="24"/>
        </w:rPr>
        <w:tab/>
      </w:r>
      <w:r w:rsidRPr="00CE77B1">
        <w:rPr>
          <w:color w:val="000000"/>
          <w:sz w:val="24"/>
          <w:szCs w:val="24"/>
        </w:rPr>
        <w:tab/>
      </w:r>
      <w:r w:rsidRPr="00CE77B1">
        <w:rPr>
          <w:color w:val="000000"/>
          <w:sz w:val="24"/>
          <w:szCs w:val="24"/>
        </w:rPr>
        <w:tab/>
      </w:r>
    </w:p>
    <w:p w14:paraId="53ED82F3" w14:textId="77777777" w:rsidR="007342AD" w:rsidRDefault="007342AD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4"/>
          <w:szCs w:val="24"/>
        </w:rPr>
      </w:pPr>
      <w:r w:rsidRPr="00CE77B1">
        <w:rPr>
          <w:color w:val="000000"/>
          <w:sz w:val="24"/>
          <w:szCs w:val="24"/>
        </w:rPr>
        <w:t>Zhotovitel:</w:t>
      </w:r>
      <w:r w:rsidRPr="00CE77B1">
        <w:rPr>
          <w:color w:val="000000"/>
          <w:sz w:val="24"/>
          <w:szCs w:val="24"/>
        </w:rPr>
        <w:tab/>
      </w:r>
      <w:r w:rsidRPr="00CE77B1">
        <w:rPr>
          <w:color w:val="000000"/>
          <w:sz w:val="24"/>
          <w:szCs w:val="24"/>
        </w:rPr>
        <w:tab/>
      </w:r>
      <w:r w:rsidRPr="00CE77B1">
        <w:rPr>
          <w:color w:val="000000"/>
          <w:sz w:val="24"/>
          <w:szCs w:val="24"/>
        </w:rPr>
        <w:tab/>
      </w:r>
      <w:r w:rsidR="00C76CDB">
        <w:rPr>
          <w:color w:val="000000"/>
          <w:sz w:val="24"/>
          <w:szCs w:val="24"/>
        </w:rPr>
        <w:tab/>
      </w:r>
      <w:r w:rsidRPr="00CE77B1">
        <w:rPr>
          <w:color w:val="000000"/>
          <w:sz w:val="24"/>
          <w:szCs w:val="24"/>
        </w:rPr>
        <w:t>Objednatel:</w:t>
      </w:r>
    </w:p>
    <w:p w14:paraId="59C58010" w14:textId="77777777" w:rsidR="002C3DD3" w:rsidRPr="00CE77B1" w:rsidRDefault="002C3DD3" w:rsidP="007342AD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4"/>
          <w:szCs w:val="24"/>
        </w:rPr>
      </w:pPr>
    </w:p>
    <w:p w14:paraId="08CED336" w14:textId="77777777" w:rsidR="00FD26F1" w:rsidRPr="00FD26F1" w:rsidRDefault="007342AD" w:rsidP="002C3DD3">
      <w:pPr>
        <w:tabs>
          <w:tab w:val="left" w:pos="720"/>
          <w:tab w:val="left" w:pos="1440"/>
          <w:tab w:val="left" w:pos="2880"/>
          <w:tab w:val="left" w:pos="4320"/>
          <w:tab w:val="left" w:pos="5760"/>
        </w:tabs>
        <w:spacing w:before="141"/>
        <w:rPr>
          <w:color w:val="000000"/>
          <w:sz w:val="22"/>
          <w:szCs w:val="22"/>
        </w:rPr>
      </w:pPr>
      <w:r w:rsidRPr="00CE77B1">
        <w:rPr>
          <w:color w:val="000000"/>
          <w:sz w:val="24"/>
          <w:szCs w:val="24"/>
        </w:rPr>
        <w:tab/>
        <w:t>--------------------------</w:t>
      </w:r>
      <w:r w:rsidRPr="00CE77B1">
        <w:rPr>
          <w:color w:val="000000"/>
          <w:sz w:val="24"/>
          <w:szCs w:val="24"/>
        </w:rPr>
        <w:tab/>
      </w:r>
      <w:r w:rsidRPr="00CE77B1">
        <w:rPr>
          <w:color w:val="000000"/>
          <w:sz w:val="24"/>
          <w:szCs w:val="24"/>
        </w:rPr>
        <w:tab/>
      </w:r>
      <w:r w:rsidRPr="00CE77B1">
        <w:rPr>
          <w:color w:val="000000"/>
          <w:sz w:val="24"/>
          <w:szCs w:val="24"/>
        </w:rPr>
        <w:tab/>
        <w:t>--------------------------</w:t>
      </w:r>
      <w:r w:rsidRPr="00CE77B1">
        <w:rPr>
          <w:sz w:val="24"/>
          <w:szCs w:val="24"/>
        </w:rPr>
        <w:t xml:space="preserve"> </w:t>
      </w:r>
    </w:p>
    <w:sectPr w:rsidR="00FD26F1" w:rsidRPr="00FD26F1" w:rsidSect="007342AD">
      <w:pgSz w:w="11906" w:h="16838"/>
      <w:pgMar w:top="1134" w:right="1021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1"/>
      <w:lvlText w:val="%1"/>
      <w:lvlJc w:val="left"/>
      <w:pPr>
        <w:tabs>
          <w:tab w:val="num" w:pos="720"/>
        </w:tabs>
        <w:ind w:left="0" w:firstLine="0"/>
      </w:pPr>
    </w:lvl>
    <w:lvl w:ilvl="1">
      <w:start w:val="1"/>
      <w:numFmt w:val="upperRoman"/>
      <w:pStyle w:val="Nadpis2"/>
      <w:lvlText w:val="%1.%2"/>
      <w:lvlJc w:val="left"/>
      <w:pPr>
        <w:tabs>
          <w:tab w:val="num" w:pos="720"/>
        </w:tabs>
        <w:ind w:left="576" w:hanging="576"/>
      </w:pPr>
    </w:lvl>
    <w:lvl w:ilvl="2">
      <w:start w:val="1"/>
      <w:numFmt w:val="upperRoman"/>
      <w:pStyle w:val="Nadpis3"/>
      <w:lvlText w:val="%1.%2.%3"/>
      <w:lvlJc w:val="left"/>
      <w:pPr>
        <w:tabs>
          <w:tab w:val="num" w:pos="1080"/>
        </w:tabs>
        <w:ind w:left="720" w:hanging="720"/>
      </w:pPr>
    </w:lvl>
    <w:lvl w:ilvl="3">
      <w:start w:val="1"/>
      <w:numFmt w:val="upperRoman"/>
      <w:pStyle w:val="Nadpis4"/>
      <w:lvlText w:val="%1.%2.%3.%4"/>
      <w:lvlJc w:val="left"/>
      <w:pPr>
        <w:tabs>
          <w:tab w:val="num" w:pos="144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2C7B34"/>
    <w:multiLevelType w:val="hybridMultilevel"/>
    <w:tmpl w:val="ADA887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1F"/>
    <w:rsid w:val="001B5067"/>
    <w:rsid w:val="001C2417"/>
    <w:rsid w:val="00293CBF"/>
    <w:rsid w:val="002C3DD3"/>
    <w:rsid w:val="0036629E"/>
    <w:rsid w:val="003E1FF3"/>
    <w:rsid w:val="003F5106"/>
    <w:rsid w:val="0047584E"/>
    <w:rsid w:val="0067630B"/>
    <w:rsid w:val="006A0E2D"/>
    <w:rsid w:val="00711BE0"/>
    <w:rsid w:val="00715CF7"/>
    <w:rsid w:val="007342AD"/>
    <w:rsid w:val="009F7F6E"/>
    <w:rsid w:val="00A53A24"/>
    <w:rsid w:val="00A75035"/>
    <w:rsid w:val="00C07A7A"/>
    <w:rsid w:val="00C250FA"/>
    <w:rsid w:val="00C76CDB"/>
    <w:rsid w:val="00C969E5"/>
    <w:rsid w:val="00D6365E"/>
    <w:rsid w:val="00D9096B"/>
    <w:rsid w:val="00E53F1F"/>
    <w:rsid w:val="00FD26F1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F72D"/>
  <w15:docId w15:val="{4AB86855-93CE-42EE-9178-236DC8AF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3F1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C250FA"/>
    <w:pPr>
      <w:keepNext/>
      <w:numPr>
        <w:numId w:val="2"/>
      </w:numPr>
      <w:spacing w:before="240" w:after="60"/>
      <w:jc w:val="both"/>
      <w:outlineLvl w:val="0"/>
    </w:pPr>
    <w:rPr>
      <w:b/>
      <w:kern w:val="1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C250FA"/>
    <w:pPr>
      <w:keepNext/>
      <w:numPr>
        <w:ilvl w:val="1"/>
        <w:numId w:val="2"/>
      </w:numPr>
      <w:spacing w:before="120" w:after="60"/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qFormat/>
    <w:rsid w:val="00C250FA"/>
    <w:pPr>
      <w:keepNext/>
      <w:numPr>
        <w:ilvl w:val="2"/>
        <w:numId w:val="2"/>
      </w:numPr>
      <w:spacing w:before="120" w:after="60"/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rsid w:val="00C250FA"/>
    <w:pPr>
      <w:keepNext/>
      <w:numPr>
        <w:ilvl w:val="3"/>
        <w:numId w:val="2"/>
      </w:numPr>
      <w:spacing w:before="120" w:after="60"/>
      <w:jc w:val="both"/>
      <w:outlineLvl w:val="3"/>
    </w:pPr>
    <w:rPr>
      <w:b/>
      <w:sz w:val="28"/>
    </w:rPr>
  </w:style>
  <w:style w:type="paragraph" w:styleId="Nadpis5">
    <w:name w:val="heading 5"/>
    <w:basedOn w:val="Normln"/>
    <w:next w:val="Normln"/>
    <w:link w:val="Nadpis5Char"/>
    <w:qFormat/>
    <w:rsid w:val="00C250FA"/>
    <w:pPr>
      <w:numPr>
        <w:ilvl w:val="4"/>
        <w:numId w:val="2"/>
      </w:numPr>
      <w:spacing w:before="240" w:after="60"/>
      <w:jc w:val="both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C250FA"/>
    <w:pPr>
      <w:numPr>
        <w:ilvl w:val="5"/>
        <w:numId w:val="2"/>
      </w:numPr>
      <w:spacing w:before="240" w:after="60"/>
      <w:jc w:val="both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C250FA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C250FA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C250FA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7342AD"/>
    <w:pPr>
      <w:tabs>
        <w:tab w:val="left" w:pos="720"/>
        <w:tab w:val="left" w:pos="1440"/>
        <w:tab w:val="left" w:pos="2880"/>
        <w:tab w:val="left" w:pos="4320"/>
        <w:tab w:val="left" w:pos="5760"/>
      </w:tabs>
      <w:spacing w:before="141"/>
      <w:jc w:val="both"/>
    </w:pPr>
    <w:rPr>
      <w:color w:val="000000"/>
      <w:sz w:val="24"/>
    </w:rPr>
  </w:style>
  <w:style w:type="paragraph" w:styleId="Bezmezer">
    <w:name w:val="No Spacing"/>
    <w:uiPriority w:val="99"/>
    <w:qFormat/>
    <w:rsid w:val="007342AD"/>
    <w:pPr>
      <w:spacing w:after="0" w:line="240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715CF7"/>
    <w:pPr>
      <w:tabs>
        <w:tab w:val="left" w:pos="720"/>
        <w:tab w:val="left" w:pos="1440"/>
        <w:tab w:val="left" w:pos="2880"/>
        <w:tab w:val="left" w:pos="4320"/>
        <w:tab w:val="left" w:pos="5760"/>
      </w:tabs>
      <w:spacing w:before="141"/>
      <w:jc w:val="both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715CF7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7630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C250FA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rsid w:val="00C250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3Char">
    <w:name w:val="Nadpis 3 Char"/>
    <w:basedOn w:val="Standardnpsmoodstavce"/>
    <w:link w:val="Nadpis3"/>
    <w:rsid w:val="00C250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4Char">
    <w:name w:val="Nadpis 4 Char"/>
    <w:basedOn w:val="Standardnpsmoodstavce"/>
    <w:link w:val="Nadpis4"/>
    <w:rsid w:val="00C250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5Char">
    <w:name w:val="Nadpis 5 Char"/>
    <w:basedOn w:val="Standardnpsmoodstavce"/>
    <w:link w:val="Nadpis5"/>
    <w:rsid w:val="00C250FA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rsid w:val="00C250FA"/>
    <w:rPr>
      <w:rFonts w:ascii="Times New Roman" w:eastAsia="Times New Roman" w:hAnsi="Times New Roman" w:cs="Times New Roman"/>
      <w:i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rsid w:val="00C250FA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C250FA"/>
    <w:rPr>
      <w:rFonts w:ascii="Arial" w:eastAsia="Times New Roman" w:hAnsi="Arial" w:cs="Times New Roman"/>
      <w:i/>
      <w:sz w:val="20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C250FA"/>
    <w:rPr>
      <w:rFonts w:ascii="Arial" w:eastAsia="Times New Roman" w:hAnsi="Arial" w:cs="Times New Roman"/>
      <w:b/>
      <w:i/>
      <w:sz w:val="18"/>
      <w:szCs w:val="20"/>
      <w:lang w:eastAsia="ar-SA"/>
    </w:rPr>
  </w:style>
  <w:style w:type="paragraph" w:customStyle="1" w:styleId="Standard">
    <w:name w:val="Standard"/>
    <w:uiPriority w:val="99"/>
    <w:rsid w:val="00C250F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7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7A7A"/>
    <w:rPr>
      <w:rFonts w:ascii="Segoe UI" w:eastAsia="Times New Roman" w:hAnsi="Segoe UI" w:cs="Segoe UI"/>
      <w:sz w:val="18"/>
      <w:szCs w:val="18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F44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44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44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44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448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phajek</dc:creator>
  <cp:lastModifiedBy>tjarolimova</cp:lastModifiedBy>
  <cp:revision>3</cp:revision>
  <dcterms:created xsi:type="dcterms:W3CDTF">2021-12-21T14:07:00Z</dcterms:created>
  <dcterms:modified xsi:type="dcterms:W3CDTF">2022-02-24T09:27:00Z</dcterms:modified>
</cp:coreProperties>
</file>