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CC8D" w14:textId="77777777" w:rsidR="00D95CF3" w:rsidRDefault="00D95CF3" w:rsidP="00D95CF3">
      <w:pPr>
        <w:pStyle w:val="Nadpis1"/>
        <w:jc w:val="center"/>
        <w:rPr>
          <w:rFonts w:ascii="Arial Narrow" w:hAnsi="Arial Narrow" w:cs="Arial Narrow"/>
          <w:snapToGrid w:val="0"/>
        </w:rPr>
      </w:pPr>
    </w:p>
    <w:p w14:paraId="19AD72E8" w14:textId="77777777" w:rsidR="00D95CF3" w:rsidRPr="00D95CF3" w:rsidRDefault="00D95CF3" w:rsidP="00D95CF3">
      <w:pPr>
        <w:pStyle w:val="Nadpis1"/>
        <w:spacing w:before="0" w:after="0"/>
        <w:jc w:val="center"/>
        <w:rPr>
          <w:rFonts w:ascii="Arial Narrow" w:hAnsi="Arial Narrow" w:cs="Arial Narrow"/>
          <w:snapToGrid w:val="0"/>
          <w:sz w:val="32"/>
          <w:szCs w:val="32"/>
        </w:rPr>
      </w:pPr>
      <w:r w:rsidRPr="00D95CF3">
        <w:rPr>
          <w:rFonts w:ascii="Arial Narrow" w:hAnsi="Arial Narrow" w:cs="Arial Narrow"/>
          <w:snapToGrid w:val="0"/>
          <w:sz w:val="32"/>
          <w:szCs w:val="32"/>
        </w:rPr>
        <w:t xml:space="preserve">Dodatek č. 1 </w:t>
      </w:r>
    </w:p>
    <w:p w14:paraId="7C5C9DC0" w14:textId="7EDC4A70" w:rsidR="00D95CF3" w:rsidRPr="00D95CF3" w:rsidRDefault="00D95CF3" w:rsidP="00D95CF3">
      <w:pPr>
        <w:pStyle w:val="Nadpis1"/>
        <w:spacing w:before="0" w:after="0"/>
        <w:jc w:val="center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D95CF3">
        <w:rPr>
          <w:rFonts w:ascii="Arial Narrow" w:hAnsi="Arial Narrow" w:cs="Arial Narrow"/>
          <w:b w:val="0"/>
          <w:bCs w:val="0"/>
          <w:snapToGrid w:val="0"/>
          <w:sz w:val="24"/>
          <w:szCs w:val="24"/>
        </w:rPr>
        <w:t>ke s</w:t>
      </w:r>
      <w:r w:rsidRPr="00D95CF3">
        <w:rPr>
          <w:rFonts w:ascii="Arial Narrow" w:hAnsi="Arial Narrow" w:cs="Arial Narrow"/>
          <w:b w:val="0"/>
          <w:bCs w:val="0"/>
          <w:snapToGrid w:val="0"/>
          <w:sz w:val="24"/>
          <w:szCs w:val="24"/>
        </w:rPr>
        <w:t>mlouv</w:t>
      </w:r>
      <w:r w:rsidRPr="00D95CF3">
        <w:rPr>
          <w:rFonts w:ascii="Arial Narrow" w:hAnsi="Arial Narrow" w:cs="Arial Narrow"/>
          <w:b w:val="0"/>
          <w:bCs w:val="0"/>
          <w:snapToGrid w:val="0"/>
          <w:sz w:val="24"/>
          <w:szCs w:val="24"/>
        </w:rPr>
        <w:t>ě</w:t>
      </w:r>
      <w:r w:rsidRPr="00D95CF3">
        <w:rPr>
          <w:rFonts w:ascii="Arial Narrow" w:hAnsi="Arial Narrow" w:cs="Arial Narrow"/>
          <w:b w:val="0"/>
          <w:bCs w:val="0"/>
          <w:snapToGrid w:val="0"/>
          <w:sz w:val="24"/>
          <w:szCs w:val="24"/>
        </w:rPr>
        <w:t xml:space="preserve"> o nájmu</w:t>
      </w:r>
      <w:r>
        <w:rPr>
          <w:rFonts w:ascii="Arial Narrow" w:hAnsi="Arial Narrow" w:cs="Arial Narrow"/>
          <w:b w:val="0"/>
          <w:bCs w:val="0"/>
          <w:snapToGrid w:val="0"/>
          <w:sz w:val="24"/>
          <w:szCs w:val="24"/>
        </w:rPr>
        <w:t xml:space="preserve"> </w:t>
      </w:r>
      <w:r w:rsidRPr="00D95CF3">
        <w:rPr>
          <w:rFonts w:ascii="Arial Narrow" w:hAnsi="Arial Narrow" w:cs="Arial Narrow"/>
          <w:b w:val="0"/>
          <w:bCs w:val="0"/>
          <w:sz w:val="24"/>
          <w:szCs w:val="24"/>
        </w:rPr>
        <w:t>uzavřen</w:t>
      </w:r>
      <w:r w:rsidRPr="00D95CF3">
        <w:rPr>
          <w:rFonts w:ascii="Arial Narrow" w:hAnsi="Arial Narrow" w:cs="Arial Narrow"/>
          <w:b w:val="0"/>
          <w:bCs w:val="0"/>
          <w:sz w:val="24"/>
          <w:szCs w:val="24"/>
        </w:rPr>
        <w:t xml:space="preserve">é dne 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20.12.2021</w:t>
      </w:r>
      <w:r w:rsidRPr="00D95CF3">
        <w:rPr>
          <w:rFonts w:ascii="Arial Narrow" w:hAnsi="Arial Narrow" w:cs="Arial Narrow"/>
          <w:b w:val="0"/>
          <w:bCs w:val="0"/>
          <w:sz w:val="24"/>
          <w:szCs w:val="24"/>
        </w:rPr>
        <w:t xml:space="preserve"> </w:t>
      </w:r>
    </w:p>
    <w:p w14:paraId="081CBC13" w14:textId="77777777" w:rsidR="00D95CF3" w:rsidRPr="00D95CF3" w:rsidRDefault="00D95CF3" w:rsidP="00D95CF3">
      <w:pPr>
        <w:jc w:val="both"/>
        <w:rPr>
          <w:rFonts w:ascii="Arial Narrow" w:hAnsi="Arial Narrow" w:cs="Arial Narrow"/>
          <w:snapToGrid w:val="0"/>
          <w:sz w:val="24"/>
          <w:szCs w:val="24"/>
        </w:rPr>
      </w:pPr>
    </w:p>
    <w:p w14:paraId="5167D8FA" w14:textId="77777777" w:rsidR="00D95CF3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7FBD1E1" w14:textId="77777777" w:rsidR="00D95CF3" w:rsidRPr="00A56ED2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2AF5D29" w14:textId="1C9EE21B" w:rsidR="00D95CF3" w:rsidRPr="00A56ED2" w:rsidRDefault="00D95CF3" w:rsidP="00D95CF3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Čl. </w:t>
      </w:r>
      <w:r w:rsidR="008D321F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I</w:t>
      </w:r>
    </w:p>
    <w:p w14:paraId="0C95BF1F" w14:textId="77777777" w:rsidR="00D95CF3" w:rsidRDefault="00D95CF3" w:rsidP="00D95CF3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Smluvní strany</w:t>
      </w:r>
    </w:p>
    <w:p w14:paraId="67D1B7D7" w14:textId="77777777" w:rsidR="00D95CF3" w:rsidRPr="00A56ED2" w:rsidRDefault="00D95CF3" w:rsidP="00D95CF3"/>
    <w:p w14:paraId="73869A0E" w14:textId="77777777" w:rsidR="00D95CF3" w:rsidRPr="004113A9" w:rsidRDefault="00D95CF3" w:rsidP="00D95CF3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Vysoké učení technické v 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</w:p>
    <w:p w14:paraId="0DD0FAF5" w14:textId="77777777" w:rsidR="00D95CF3" w:rsidRPr="004113A9" w:rsidRDefault="00D95CF3" w:rsidP="00D95CF3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113A9">
        <w:rPr>
          <w:rFonts w:ascii="Arial Narrow" w:hAnsi="Arial Narrow" w:cs="Arial Narrow"/>
          <w:snapToGrid w:val="0"/>
          <w:sz w:val="22"/>
          <w:szCs w:val="22"/>
        </w:rPr>
        <w:t>veřejná vysoká škola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(VVŠ)</w:t>
      </w:r>
      <w:r w:rsidRPr="004113A9"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253843D3" w14:textId="77777777" w:rsidR="00D95CF3" w:rsidRDefault="00D95CF3" w:rsidP="00D95CF3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e sídlem Antonínská </w:t>
      </w:r>
      <w:r>
        <w:rPr>
          <w:rFonts w:ascii="Arial Narrow" w:hAnsi="Arial Narrow" w:cs="Arial Narrow"/>
          <w:snapToGrid w:val="0"/>
          <w:sz w:val="22"/>
          <w:szCs w:val="22"/>
        </w:rPr>
        <w:t>548/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1, 601 90 Brno</w:t>
      </w:r>
    </w:p>
    <w:p w14:paraId="7A8EBFAE" w14:textId="77777777" w:rsidR="00D95CF3" w:rsidRPr="00A56ED2" w:rsidRDefault="00D95CF3" w:rsidP="00D95CF3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IČ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ab/>
        <w:t xml:space="preserve">    00216305</w:t>
      </w:r>
    </w:p>
    <w:p w14:paraId="515C61BB" w14:textId="77777777" w:rsidR="00D95CF3" w:rsidRPr="00A56ED2" w:rsidRDefault="00D95CF3" w:rsidP="00D95CF3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jednající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prof. RNDr. Vladimírem Aubrechtem, CSc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.,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děkanem Fakulty elektrotechniky </w:t>
      </w:r>
      <w:r>
        <w:rPr>
          <w:rFonts w:ascii="Arial Narrow" w:hAnsi="Arial Narrow" w:cs="Arial Narrow"/>
          <w:snapToGrid w:val="0"/>
          <w:sz w:val="22"/>
          <w:szCs w:val="22"/>
        </w:rPr>
        <w:br/>
        <w:t xml:space="preserve">       a komunikačních technologií VUT v Brně</w:t>
      </w:r>
    </w:p>
    <w:p w14:paraId="601E35F2" w14:textId="77777777" w:rsidR="00D95CF3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>
        <w:rPr>
          <w:rFonts w:ascii="Arial Narrow" w:hAnsi="Arial Narrow" w:cs="Arial Narrow"/>
          <w:snapToGrid w:val="0"/>
          <w:sz w:val="22"/>
          <w:szCs w:val="22"/>
        </w:rPr>
        <w:t>věcně příslušná součást VVŠ:</w:t>
      </w:r>
    </w:p>
    <w:p w14:paraId="02087E27" w14:textId="77777777" w:rsidR="00D95CF3" w:rsidRPr="00231C12" w:rsidRDefault="00D95CF3" w:rsidP="00D95CF3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231C12">
        <w:rPr>
          <w:rFonts w:ascii="Arial Narrow" w:hAnsi="Arial Narrow" w:cs="Arial Narrow"/>
          <w:b/>
          <w:snapToGrid w:val="0"/>
          <w:sz w:val="22"/>
          <w:szCs w:val="22"/>
        </w:rPr>
        <w:t xml:space="preserve">        Fakulta elektrotechniky a komunikačních technologií VUT v Brně,</w:t>
      </w:r>
    </w:p>
    <w:p w14:paraId="1ADC4D9A" w14:textId="77777777" w:rsidR="00D95CF3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sídlem Technická 3058/10, 616 00 Brno,</w:t>
      </w:r>
    </w:p>
    <w:p w14:paraId="1099BF9A" w14:textId="77777777" w:rsidR="00D95CF3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b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poj</w:t>
      </w:r>
      <w:r>
        <w:rPr>
          <w:rFonts w:ascii="Arial Narrow" w:hAnsi="Arial Narrow" w:cs="Arial Narrow"/>
          <w:snapToGrid w:val="0"/>
          <w:sz w:val="22"/>
          <w:szCs w:val="22"/>
        </w:rPr>
        <w:t>ení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:  ČSOB, a.s., číslo účtu 111044161/0300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75583954" w14:textId="77777777" w:rsidR="00D95CF3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kontaktní osoba pro věcná jednání: Ing. Miloslav Morda, tajemník FEKT, tel.: 541146333, </w:t>
      </w:r>
    </w:p>
    <w:p w14:paraId="549C492B" w14:textId="77777777" w:rsidR="00D95CF3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GSM T- Mobile: 603892546, e-mail: </w:t>
      </w:r>
      <w:hyperlink r:id="rId5" w:history="1">
        <w:r w:rsidRPr="003F2F65">
          <w:rPr>
            <w:rStyle w:val="Hypertextovodkaz"/>
            <w:rFonts w:ascii="Arial Narrow" w:hAnsi="Arial Narrow" w:cs="Arial Narrow"/>
            <w:snapToGrid w:val="0"/>
            <w:sz w:val="22"/>
            <w:szCs w:val="22"/>
          </w:rPr>
          <w:t>morda@feec.vutbr.cz</w:t>
        </w:r>
      </w:hyperlink>
      <w:r>
        <w:rPr>
          <w:rFonts w:ascii="Arial Narrow" w:hAnsi="Arial Narrow" w:cs="Arial Narrow"/>
          <w:snapToGrid w:val="0"/>
          <w:sz w:val="22"/>
          <w:szCs w:val="22"/>
        </w:rPr>
        <w:t>;</w:t>
      </w:r>
    </w:p>
    <w:p w14:paraId="0AAFE7FE" w14:textId="77777777" w:rsidR="00D95CF3" w:rsidRPr="00A56ED2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963A7EF" w14:textId="77777777" w:rsidR="00D95CF3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</w:p>
    <w:p w14:paraId="1F2E3931" w14:textId="77777777" w:rsidR="00D95CF3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pronajímatel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na straně jedné a</w:t>
      </w:r>
    </w:p>
    <w:p w14:paraId="4B54DD93" w14:textId="77777777" w:rsidR="00D95CF3" w:rsidRPr="00A56ED2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1C522E7" w14:textId="77777777" w:rsidR="00D95CF3" w:rsidRPr="00A56ED2" w:rsidRDefault="00D95CF3" w:rsidP="00D95CF3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52D8AADE" w14:textId="77777777" w:rsidR="00D95CF3" w:rsidRPr="002452D8" w:rsidRDefault="00D95CF3" w:rsidP="00D95CF3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452D8">
        <w:rPr>
          <w:rFonts w:ascii="Arial Narrow" w:hAnsi="Arial Narrow" w:cs="Arial Narrow"/>
          <w:b/>
          <w:bCs/>
          <w:snapToGrid w:val="0"/>
          <w:sz w:val="22"/>
          <w:szCs w:val="22"/>
        </w:rPr>
        <w:t>AdvaScope s.r.o.,</w:t>
      </w:r>
    </w:p>
    <w:p w14:paraId="5D1FF444" w14:textId="77777777" w:rsidR="00D95CF3" w:rsidRPr="002452D8" w:rsidRDefault="00D95CF3" w:rsidP="00D95CF3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452D8">
        <w:rPr>
          <w:rFonts w:ascii="Arial Narrow" w:hAnsi="Arial Narrow" w:cs="Arial Narrow"/>
          <w:snapToGrid w:val="0"/>
          <w:sz w:val="22"/>
          <w:szCs w:val="22"/>
        </w:rPr>
        <w:t>zapsaná v obchodním rejstříku vedeném u Krajského soudu v Brně, sp. zn. C 123857,</w:t>
      </w:r>
    </w:p>
    <w:p w14:paraId="2DEACAF1" w14:textId="77777777" w:rsidR="00D95CF3" w:rsidRPr="002452D8" w:rsidRDefault="00D95CF3" w:rsidP="00D95CF3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452D8">
        <w:rPr>
          <w:rFonts w:ascii="Arial Narrow" w:hAnsi="Arial Narrow" w:cs="Arial Narrow"/>
          <w:snapToGrid w:val="0"/>
          <w:sz w:val="22"/>
          <w:szCs w:val="22"/>
        </w:rPr>
        <w:t xml:space="preserve">se sídlem Příkop 843/4, Zábrdovice, 602 00 Brno </w:t>
      </w:r>
    </w:p>
    <w:p w14:paraId="23784B28" w14:textId="77777777" w:rsidR="00D95CF3" w:rsidRPr="002452D8" w:rsidRDefault="00D95CF3" w:rsidP="00D95CF3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452D8">
        <w:rPr>
          <w:rFonts w:ascii="Arial Narrow" w:hAnsi="Arial Narrow" w:cs="Arial Narrow"/>
          <w:snapToGrid w:val="0"/>
          <w:sz w:val="22"/>
          <w:szCs w:val="22"/>
        </w:rPr>
        <w:t>IČ  10961861</w:t>
      </w:r>
    </w:p>
    <w:p w14:paraId="58E7FB92" w14:textId="77777777" w:rsidR="00D95CF3" w:rsidRPr="002452D8" w:rsidRDefault="00D95CF3" w:rsidP="00D95CF3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452D8">
        <w:rPr>
          <w:rFonts w:ascii="Arial Narrow" w:hAnsi="Arial Narrow" w:cs="Arial Narrow"/>
          <w:snapToGrid w:val="0"/>
          <w:sz w:val="22"/>
          <w:szCs w:val="22"/>
        </w:rPr>
        <w:t>zastoupený/jednající Ing. Michaelem Pohlem, jednatelem společnosti</w:t>
      </w:r>
    </w:p>
    <w:p w14:paraId="56AAF92A" w14:textId="77777777" w:rsidR="00D95CF3" w:rsidRPr="002452D8" w:rsidRDefault="00D95CF3" w:rsidP="00D95CF3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2452D8">
        <w:rPr>
          <w:rFonts w:ascii="Arial Narrow" w:hAnsi="Arial Narrow" w:cs="Arial Narrow"/>
          <w:snapToGrid w:val="0"/>
          <w:sz w:val="22"/>
          <w:szCs w:val="22"/>
        </w:rPr>
        <w:t xml:space="preserve">bankovní spojení: </w:t>
      </w:r>
      <w:r w:rsidRPr="002452D8">
        <w:rPr>
          <w:rFonts w:ascii="Arial Narrow" w:hAnsi="Arial Narrow" w:cs="Arial Narrow"/>
          <w:b/>
          <w:snapToGrid w:val="0"/>
          <w:sz w:val="22"/>
          <w:szCs w:val="22"/>
        </w:rPr>
        <w:t>Komerční banka</w:t>
      </w:r>
      <w:r w:rsidRPr="002452D8">
        <w:rPr>
          <w:rFonts w:ascii="Arial Narrow" w:hAnsi="Arial Narrow" w:cs="Arial Narrow"/>
          <w:snapToGrid w:val="0"/>
          <w:sz w:val="22"/>
          <w:szCs w:val="22"/>
        </w:rPr>
        <w:t xml:space="preserve"> a.s., číslo účtu </w:t>
      </w:r>
      <w:r w:rsidRPr="002452D8">
        <w:rPr>
          <w:rFonts w:ascii="Arial Narrow" w:hAnsi="Arial Narrow" w:cs="Arial Narrow"/>
          <w:b/>
          <w:snapToGrid w:val="0"/>
          <w:sz w:val="22"/>
          <w:szCs w:val="22"/>
        </w:rPr>
        <w:t>123-4432490267/0100</w:t>
      </w:r>
      <w:r w:rsidRPr="002452D8"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78259406" w14:textId="77777777" w:rsidR="00D95CF3" w:rsidRPr="002452D8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4ACAD3A" w14:textId="77777777" w:rsidR="00D95CF3" w:rsidRPr="00D70688" w:rsidRDefault="00D95CF3" w:rsidP="00D95CF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nájemce </w:t>
      </w:r>
      <w:r>
        <w:rPr>
          <w:rFonts w:ascii="Arial Narrow" w:hAnsi="Arial Narrow" w:cs="Arial Narrow"/>
          <w:snapToGrid w:val="0"/>
          <w:sz w:val="22"/>
          <w:szCs w:val="22"/>
        </w:rPr>
        <w:t>na straně druhé</w:t>
      </w:r>
    </w:p>
    <w:p w14:paraId="7F7E7E6E" w14:textId="77777777" w:rsidR="00D95CF3" w:rsidRPr="00A56ED2" w:rsidRDefault="00D95CF3" w:rsidP="00D95CF3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32C54589" w14:textId="77777777" w:rsidR="00D95CF3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Smluvní strany, </w:t>
      </w:r>
    </w:p>
    <w:p w14:paraId="5509711C" w14:textId="77777777" w:rsidR="00D95CF3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na základě úplné shody o vš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ech níže uvedených ustanoveních a ve shodě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se zákonnými předpisy, </w:t>
      </w:r>
    </w:p>
    <w:p w14:paraId="66451EEE" w14:textId="5DF96F9A" w:rsidR="00D95CF3" w:rsidRPr="00A56ED2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dohodly se na </w:t>
      </w:r>
      <w:r w:rsidR="00B07E13">
        <w:rPr>
          <w:rFonts w:ascii="Arial Narrow" w:hAnsi="Arial Narrow" w:cs="Arial Narrow"/>
          <w:snapToGrid w:val="0"/>
          <w:sz w:val="22"/>
          <w:szCs w:val="22"/>
        </w:rPr>
        <w:t xml:space="preserve">tomto </w:t>
      </w:r>
    </w:p>
    <w:p w14:paraId="11727198" w14:textId="7C512BB8" w:rsidR="00B07E13" w:rsidRDefault="00B07E13" w:rsidP="00D95CF3">
      <w:pPr>
        <w:pStyle w:val="Nadpis2"/>
        <w:jc w:val="center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dodatku č. </w:t>
      </w:r>
      <w:r w:rsidR="008D321F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1</w:t>
      </w:r>
      <w:r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 </w:t>
      </w:r>
    </w:p>
    <w:p w14:paraId="04C06F8D" w14:textId="3BA8DCFD" w:rsidR="00D95CF3" w:rsidRPr="00A56ED2" w:rsidRDefault="00B07E13" w:rsidP="00D95CF3">
      <w:pPr>
        <w:pStyle w:val="Nadpis2"/>
        <w:jc w:val="center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ke smlouvě o nájmu uzavřené dne 20.12.2021</w:t>
      </w:r>
      <w:r w:rsidR="00D95CF3"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:</w:t>
      </w:r>
    </w:p>
    <w:p w14:paraId="65841497" w14:textId="77777777" w:rsidR="00D95CF3" w:rsidRPr="00A56ED2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1716D0AE" w14:textId="77777777" w:rsidR="00D95CF3" w:rsidRDefault="00D95CF3" w:rsidP="00D95CF3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</w:p>
    <w:p w14:paraId="6150654C" w14:textId="7F6AB0F8" w:rsidR="00D95CF3" w:rsidRPr="00A56ED2" w:rsidRDefault="00D95CF3" w:rsidP="00D95CF3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Čl. </w:t>
      </w:r>
      <w:r w:rsidR="008D321F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II</w:t>
      </w:r>
    </w:p>
    <w:p w14:paraId="2ADB35BE" w14:textId="77777777" w:rsidR="00D95CF3" w:rsidRPr="00A56ED2" w:rsidRDefault="00D95CF3" w:rsidP="00D95CF3"/>
    <w:p w14:paraId="1BC31F44" w14:textId="50C39E58" w:rsidR="00D95CF3" w:rsidRPr="00046091" w:rsidRDefault="002452D8" w:rsidP="00B07E13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II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.1 </w:t>
      </w:r>
      <w:r w:rsidR="00B07E13">
        <w:rPr>
          <w:rFonts w:ascii="Arial Narrow" w:hAnsi="Arial Narrow" w:cs="Arial Narrow"/>
          <w:snapToGrid w:val="0"/>
          <w:sz w:val="22"/>
          <w:szCs w:val="22"/>
        </w:rPr>
        <w:t>Shora uvedené smluvní strany uzavřel</w:t>
      </w:r>
      <w:r w:rsidR="008D321F">
        <w:rPr>
          <w:rFonts w:ascii="Arial Narrow" w:hAnsi="Arial Narrow" w:cs="Arial Narrow"/>
          <w:snapToGrid w:val="0"/>
          <w:sz w:val="22"/>
          <w:szCs w:val="22"/>
        </w:rPr>
        <w:t>y</w:t>
      </w:r>
      <w:r w:rsidR="00B07E13">
        <w:rPr>
          <w:rFonts w:ascii="Arial Narrow" w:hAnsi="Arial Narrow" w:cs="Arial Narrow"/>
          <w:snapToGrid w:val="0"/>
          <w:sz w:val="22"/>
          <w:szCs w:val="22"/>
        </w:rPr>
        <w:t xml:space="preserve"> dne 21.12.2021 smlouvu o nájmu, na základě které pronajímatel </w:t>
      </w:r>
      <w:r w:rsidR="009F23ED">
        <w:rPr>
          <w:rFonts w:ascii="Arial Narrow" w:hAnsi="Arial Narrow" w:cs="Arial Narrow"/>
          <w:snapToGrid w:val="0"/>
          <w:sz w:val="22"/>
          <w:szCs w:val="22"/>
        </w:rPr>
        <w:t xml:space="preserve">přenechal </w:t>
      </w:r>
      <w:r w:rsidR="00B07E13">
        <w:rPr>
          <w:rFonts w:ascii="Arial Narrow" w:hAnsi="Arial Narrow" w:cs="Arial Narrow"/>
          <w:snapToGrid w:val="0"/>
          <w:sz w:val="22"/>
          <w:szCs w:val="22"/>
        </w:rPr>
        <w:t xml:space="preserve">nájemci do nájmu ve smlouvě specifikované nebytové prostory </w:t>
      </w:r>
      <w:r w:rsidR="008D321F">
        <w:rPr>
          <w:rFonts w:ascii="Arial Narrow" w:hAnsi="Arial Narrow" w:cs="Arial Narrow"/>
          <w:snapToGrid w:val="0"/>
          <w:sz w:val="22"/>
          <w:szCs w:val="22"/>
        </w:rPr>
        <w:t xml:space="preserve">v budově, jejímž </w:t>
      </w:r>
      <w:r w:rsidR="008D321F">
        <w:rPr>
          <w:rFonts w:ascii="Arial Narrow" w:hAnsi="Arial Narrow" w:cs="Arial Narrow"/>
          <w:snapToGrid w:val="0"/>
          <w:sz w:val="22"/>
          <w:szCs w:val="22"/>
        </w:rPr>
        <w:lastRenderedPageBreak/>
        <w:t>je pronajímatel výlučným vlastníkem</w:t>
      </w:r>
      <w:r w:rsidR="009F23ED">
        <w:rPr>
          <w:rFonts w:ascii="Arial Narrow" w:hAnsi="Arial Narrow" w:cs="Arial Narrow"/>
          <w:snapToGrid w:val="0"/>
          <w:sz w:val="22"/>
          <w:szCs w:val="22"/>
        </w:rPr>
        <w:t>,</w:t>
      </w:r>
      <w:r w:rsidR="008D321F">
        <w:rPr>
          <w:rFonts w:ascii="Arial Narrow" w:hAnsi="Arial Narrow" w:cs="Arial Narrow"/>
          <w:snapToGrid w:val="0"/>
          <w:sz w:val="22"/>
          <w:szCs w:val="22"/>
        </w:rPr>
        <w:t xml:space="preserve"> a </w:t>
      </w:r>
      <w:r w:rsidR="009F23ED">
        <w:rPr>
          <w:rFonts w:ascii="Arial Narrow" w:hAnsi="Arial Narrow" w:cs="Arial Narrow"/>
          <w:snapToGrid w:val="0"/>
          <w:sz w:val="22"/>
          <w:szCs w:val="22"/>
        </w:rPr>
        <w:t xml:space="preserve">která se </w:t>
      </w:r>
      <w:r w:rsidR="008D321F">
        <w:rPr>
          <w:rFonts w:ascii="Arial Narrow" w:hAnsi="Arial Narrow" w:cs="Arial Narrow"/>
          <w:snapToGrid w:val="0"/>
          <w:sz w:val="22"/>
          <w:szCs w:val="22"/>
        </w:rPr>
        <w:t xml:space="preserve">nachází na </w:t>
      </w:r>
      <w:r w:rsidR="00B07E13">
        <w:rPr>
          <w:rFonts w:ascii="Arial Narrow" w:hAnsi="Arial Narrow" w:cs="Arial Narrow"/>
          <w:snapToGrid w:val="0"/>
          <w:sz w:val="22"/>
          <w:szCs w:val="22"/>
        </w:rPr>
        <w:t>adrese Brno, Kolejní č.p. 3093, č. orientační 7, PSČ 612 00.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27932B9A" w14:textId="40F4C187" w:rsidR="00D95CF3" w:rsidRDefault="00D95CF3" w:rsidP="00D95CF3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8B13E19" w14:textId="77777777" w:rsidR="002452D8" w:rsidRPr="002452D8" w:rsidRDefault="002452D8" w:rsidP="002452D8"/>
    <w:p w14:paraId="53FC79C0" w14:textId="22EEBFDD" w:rsidR="00D95CF3" w:rsidRPr="00A56ED2" w:rsidRDefault="00D95CF3" w:rsidP="00D95CF3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l.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8D321F">
        <w:rPr>
          <w:rFonts w:ascii="Arial Narrow" w:hAnsi="Arial Narrow" w:cs="Arial Narrow"/>
          <w:snapToGrid w:val="0"/>
          <w:sz w:val="22"/>
          <w:szCs w:val="22"/>
        </w:rPr>
        <w:t>III</w:t>
      </w:r>
    </w:p>
    <w:p w14:paraId="48296B76" w14:textId="77777777" w:rsidR="00D95CF3" w:rsidRPr="00A56ED2" w:rsidRDefault="00D95CF3" w:rsidP="00D95CF3"/>
    <w:p w14:paraId="532DB96E" w14:textId="076AF2ED" w:rsidR="00837F10" w:rsidRDefault="002452D8" w:rsidP="00B07E1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III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.1 </w:t>
      </w:r>
      <w:r w:rsidR="008D321F">
        <w:rPr>
          <w:rFonts w:ascii="Arial Narrow" w:hAnsi="Arial Narrow" w:cs="Arial Narrow"/>
          <w:snapToGrid w:val="0"/>
          <w:sz w:val="22"/>
          <w:szCs w:val="22"/>
        </w:rPr>
        <w:t>Smluvní strany se dohodly, že nájemní smlouva se v čl. 5 Práva a povinnosti nájemce doplňuj</w:t>
      </w:r>
      <w:r w:rsidR="009F23ED">
        <w:rPr>
          <w:rFonts w:ascii="Arial Narrow" w:hAnsi="Arial Narrow" w:cs="Arial Narrow"/>
          <w:snapToGrid w:val="0"/>
          <w:sz w:val="22"/>
          <w:szCs w:val="22"/>
        </w:rPr>
        <w:t>e</w:t>
      </w:r>
      <w:r w:rsidR="008D321F">
        <w:rPr>
          <w:rFonts w:ascii="Arial Narrow" w:hAnsi="Arial Narrow" w:cs="Arial Narrow"/>
          <w:snapToGrid w:val="0"/>
          <w:sz w:val="22"/>
          <w:szCs w:val="22"/>
        </w:rPr>
        <w:t xml:space="preserve"> o odstavec </w:t>
      </w:r>
      <w:r w:rsidR="00837F10">
        <w:rPr>
          <w:rFonts w:ascii="Arial Narrow" w:hAnsi="Arial Narrow" w:cs="Arial Narrow"/>
          <w:snapToGrid w:val="0"/>
          <w:sz w:val="22"/>
          <w:szCs w:val="22"/>
        </w:rPr>
        <w:t xml:space="preserve">5.11, který zní takto: </w:t>
      </w:r>
    </w:p>
    <w:p w14:paraId="6AB280B0" w14:textId="77777777" w:rsidR="00837F10" w:rsidRDefault="00837F10" w:rsidP="00B07E1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BAF1CF2" w14:textId="2CEC18E6" w:rsidR="00B07E13" w:rsidRPr="00837F10" w:rsidRDefault="00837F10" w:rsidP="00B07E13">
      <w:pPr>
        <w:spacing w:line="240" w:lineRule="atLeast"/>
        <w:jc w:val="both"/>
        <w:rPr>
          <w:rFonts w:ascii="Arial Narrow" w:hAnsi="Arial Narrow" w:cs="Arial Narrow"/>
          <w:i/>
          <w:iCs/>
          <w:snapToGrid w:val="0"/>
          <w:sz w:val="22"/>
          <w:szCs w:val="22"/>
        </w:rPr>
      </w:pPr>
      <w:r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5.11 </w:t>
      </w:r>
      <w:r w:rsidR="00B07E13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Pronajímatel tímto uděluje nájemci souhlas s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 umístěním jeho sídl</w:t>
      </w:r>
      <w:r w:rsidR="0049576A">
        <w:rPr>
          <w:rFonts w:ascii="Arial Narrow" w:hAnsi="Arial Narrow" w:cs="Arial Narrow"/>
          <w:i/>
          <w:iCs/>
          <w:snapToGrid w:val="0"/>
          <w:sz w:val="22"/>
          <w:szCs w:val="22"/>
        </w:rPr>
        <w:t>a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na </w:t>
      </w:r>
      <w:r w:rsidR="00B07E13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adres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e</w:t>
      </w:r>
      <w:r w:rsidR="00B07E13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</w:t>
      </w:r>
      <w:r w:rsidR="00B07E13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Brn</w:t>
      </w:r>
      <w:r w:rsidR="00B07E13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o</w:t>
      </w:r>
      <w:r w:rsidR="00B07E13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, Kolejní č.p. 3093, č. orientační 7, PSČ 612 00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>,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a 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aby 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tato adresa byla </w:t>
      </w:r>
      <w:r w:rsidR="00B665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zapsána 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>jako sídlo nájemce v obchodní</w:t>
      </w:r>
      <w:r w:rsidR="009561AC">
        <w:rPr>
          <w:rFonts w:ascii="Arial Narrow" w:hAnsi="Arial Narrow" w:cs="Arial Narrow"/>
          <w:i/>
          <w:iCs/>
          <w:snapToGrid w:val="0"/>
          <w:sz w:val="22"/>
          <w:szCs w:val="22"/>
        </w:rPr>
        <w:t>m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rejstříku.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Souhlas je udělen výhradně na dobu trvání nájemní smlouvy. Po skončení nájmu je nájemce povinen nejpozději do 3 měsíců zajistit odstranění předmětné adresy </w:t>
      </w:r>
      <w:r w:rsidR="009F23ED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jako údaje o sídle nájemce 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>z evidence obchodního rejstříku</w:t>
      </w:r>
      <w:r w:rsidR="002452D8">
        <w:rPr>
          <w:rFonts w:ascii="Arial Narrow" w:hAnsi="Arial Narrow" w:cs="Arial Narrow"/>
          <w:i/>
          <w:iCs/>
          <w:snapToGrid w:val="0"/>
          <w:sz w:val="22"/>
          <w:szCs w:val="22"/>
        </w:rPr>
        <w:t>. P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>okud by tak nájemce neučinil</w:t>
      </w:r>
      <w:r w:rsidR="009561AC">
        <w:rPr>
          <w:rFonts w:ascii="Arial Narrow" w:hAnsi="Arial Narrow" w:cs="Arial Narrow"/>
          <w:i/>
          <w:iCs/>
          <w:snapToGrid w:val="0"/>
          <w:sz w:val="22"/>
          <w:szCs w:val="22"/>
        </w:rPr>
        <w:t>,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je </w:t>
      </w:r>
      <w:r w:rsidR="009561AC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povinen uhradit 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>pronajímatel</w:t>
      </w:r>
      <w:r w:rsidR="009561AC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i smluvní 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>pokut</w:t>
      </w:r>
      <w:r w:rsidR="009561AC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u </w:t>
      </w:r>
      <w:r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ve výši 250.000,- Kč.  </w:t>
      </w:r>
      <w:r w:rsidR="008D321F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</w:t>
      </w:r>
      <w:r w:rsidR="00B07E13" w:rsidRPr="00837F10">
        <w:rPr>
          <w:rFonts w:ascii="Arial Narrow" w:hAnsi="Arial Narrow" w:cs="Arial Narrow"/>
          <w:i/>
          <w:iCs/>
          <w:snapToGrid w:val="0"/>
          <w:sz w:val="22"/>
          <w:szCs w:val="22"/>
        </w:rPr>
        <w:t xml:space="preserve"> </w:t>
      </w:r>
    </w:p>
    <w:p w14:paraId="7D508E25" w14:textId="77777777" w:rsidR="00B07E13" w:rsidRPr="00046091" w:rsidRDefault="00B07E13" w:rsidP="00B07E13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76AA3663" w14:textId="31DF2687" w:rsidR="00D95CF3" w:rsidRDefault="002452D8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Ostatní ujednání smlouvy zůstávají beze změn. </w:t>
      </w:r>
    </w:p>
    <w:p w14:paraId="58D5C5BC" w14:textId="12A807B2" w:rsidR="002452D8" w:rsidRDefault="002452D8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33BFD7F" w14:textId="77777777" w:rsidR="002452D8" w:rsidRPr="00A56ED2" w:rsidRDefault="002452D8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AF5616F" w14:textId="48628FCE" w:rsidR="00D95CF3" w:rsidRDefault="00D95CF3" w:rsidP="00D95CF3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Čl. </w:t>
      </w:r>
      <w:r w:rsidR="002452D8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IV</w:t>
      </w:r>
    </w:p>
    <w:p w14:paraId="0833A95B" w14:textId="77777777" w:rsidR="002452D8" w:rsidRPr="002452D8" w:rsidRDefault="002452D8" w:rsidP="002452D8"/>
    <w:p w14:paraId="5F27770A" w14:textId="29096A18" w:rsidR="00D95CF3" w:rsidRDefault="002452D8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IV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>.1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Tento dodatek 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>se řídí českým právním řádem, zejména zákonem č. 89/20012 Sb., občanský zákoník</w:t>
      </w:r>
      <w:r>
        <w:rPr>
          <w:rFonts w:ascii="Arial Narrow" w:hAnsi="Arial Narrow" w:cs="Arial Narrow"/>
          <w:snapToGrid w:val="0"/>
          <w:sz w:val="22"/>
          <w:szCs w:val="22"/>
        </w:rPr>
        <w:t>.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Dodatek 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 xml:space="preserve">podléhá povinnosti zveřejnění v registru smluv. </w:t>
      </w:r>
    </w:p>
    <w:p w14:paraId="330F2FDF" w14:textId="3DEE171B" w:rsidR="00D95CF3" w:rsidRPr="00A56ED2" w:rsidRDefault="002452D8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IV.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 xml:space="preserve">3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Dodatek 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je 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>sepsán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 ve 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>3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 stejnopisech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 xml:space="preserve"> s platností originálu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, z nichž nájemce 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>obdrží jedno (1) a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 xml:space="preserve"> pronajímatel </w:t>
      </w:r>
      <w:r w:rsidR="00D95CF3">
        <w:rPr>
          <w:rFonts w:ascii="Arial Narrow" w:hAnsi="Arial Narrow" w:cs="Arial Narrow"/>
          <w:snapToGrid w:val="0"/>
          <w:sz w:val="22"/>
          <w:szCs w:val="22"/>
        </w:rPr>
        <w:t>dvě (2) vyhotovení</w:t>
      </w:r>
      <w:r w:rsidR="00D95CF3" w:rsidRPr="00A56ED2">
        <w:rPr>
          <w:rFonts w:ascii="Arial Narrow" w:hAnsi="Arial Narrow" w:cs="Arial Narrow"/>
          <w:snapToGrid w:val="0"/>
          <w:sz w:val="22"/>
          <w:szCs w:val="22"/>
        </w:rPr>
        <w:t>.</w:t>
      </w:r>
    </w:p>
    <w:p w14:paraId="359BE155" w14:textId="77777777" w:rsidR="00D95CF3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82039B8" w14:textId="77777777" w:rsidR="00D95CF3" w:rsidRPr="00A56ED2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47531864" w14:textId="77777777" w:rsidR="00D95CF3" w:rsidRDefault="00D95CF3" w:rsidP="00D95CF3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V Brně dne: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V Brně dne: </w:t>
      </w:r>
    </w:p>
    <w:p w14:paraId="59DB9848" w14:textId="77777777" w:rsidR="00D95CF3" w:rsidRPr="00A56ED2" w:rsidRDefault="00D95CF3" w:rsidP="00D95CF3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br/>
        <w:t xml:space="preserve"> Za pronajímatele: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Za nájemce:                                                           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</w:t>
      </w:r>
    </w:p>
    <w:p w14:paraId="586DE7D5" w14:textId="77777777" w:rsidR="00D95CF3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B63C2E1" w14:textId="77777777" w:rsidR="00D95CF3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0D37E5D1" w14:textId="77777777" w:rsidR="00D95CF3" w:rsidRDefault="00D95CF3" w:rsidP="00D95CF3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4783F9E" w14:textId="77777777" w:rsidR="00D95CF3" w:rsidRDefault="00D95CF3" w:rsidP="00D95CF3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>__________________</w:t>
      </w:r>
      <w:r>
        <w:rPr>
          <w:rFonts w:ascii="Arial Narrow" w:hAnsi="Arial Narrow" w:cs="Arial Narrow"/>
          <w:snapToGrid w:val="0"/>
          <w:sz w:val="22"/>
          <w:szCs w:val="22"/>
        </w:rPr>
        <w:t>___________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>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ab/>
        <w:t>______________________________</w:t>
      </w:r>
    </w:p>
    <w:p w14:paraId="042D6F30" w14:textId="77777777" w:rsidR="00D95CF3" w:rsidRPr="003D346A" w:rsidRDefault="00D95CF3" w:rsidP="00D95CF3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 prof. RNDr. Vladimír Aubrecht, </w:t>
      </w:r>
      <w:r w:rsidRPr="003D346A">
        <w:rPr>
          <w:rFonts w:ascii="Arial Narrow" w:hAnsi="Arial Narrow" w:cs="Arial Narrow"/>
          <w:snapToGrid w:val="0"/>
          <w:sz w:val="22"/>
          <w:szCs w:val="22"/>
        </w:rPr>
        <w:t>CSc.</w:t>
      </w:r>
      <w:r>
        <w:rPr>
          <w:rFonts w:ascii="Arial Narrow" w:hAnsi="Arial Narrow" w:cs="Arial Narrow"/>
          <w:snapToGrid w:val="0"/>
          <w:sz w:val="22"/>
          <w:szCs w:val="22"/>
        </w:rPr>
        <w:tab/>
        <w:t>Ing. Michael Pohl</w:t>
      </w:r>
    </w:p>
    <w:p w14:paraId="5E0F2F4C" w14:textId="77777777" w:rsidR="00D95CF3" w:rsidRPr="00A56ED2" w:rsidRDefault="00D95CF3" w:rsidP="00D95CF3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děkan FEKT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VUT v</w:t>
      </w:r>
      <w:r>
        <w:rPr>
          <w:rFonts w:ascii="Arial Narrow" w:hAnsi="Arial Narrow" w:cs="Arial Narrow"/>
          <w:snapToGrid w:val="0"/>
          <w:sz w:val="22"/>
          <w:szCs w:val="22"/>
        </w:rPr>
        <w:t> 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Brně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D75FE1">
        <w:rPr>
          <w:rFonts w:ascii="Arial Narrow" w:hAnsi="Arial Narrow" w:cs="Arial Narrow"/>
          <w:snapToGrid w:val="0"/>
          <w:sz w:val="22"/>
          <w:szCs w:val="22"/>
        </w:rPr>
        <w:t xml:space="preserve">jednatel společnosti </w:t>
      </w:r>
      <w:r w:rsidRPr="00DC7A49">
        <w:rPr>
          <w:rFonts w:ascii="Arial Narrow" w:hAnsi="Arial Narrow" w:cs="Arial Narrow"/>
          <w:bCs/>
          <w:snapToGrid w:val="0"/>
          <w:sz w:val="22"/>
          <w:szCs w:val="22"/>
        </w:rPr>
        <w:t>AdvaScope s.r.o.</w:t>
      </w:r>
    </w:p>
    <w:p w14:paraId="334EB125" w14:textId="77777777" w:rsidR="00171416" w:rsidRDefault="00171416"/>
    <w:sectPr w:rsidR="00171416" w:rsidSect="00032625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4C8E" w14:textId="77777777" w:rsidR="00032625" w:rsidRDefault="00B66510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14:paraId="2C03A42D" w14:textId="77777777" w:rsidR="00032625" w:rsidRDefault="00B66510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5B4D" w14:textId="77777777" w:rsidR="00032625" w:rsidRDefault="00B66510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14:paraId="039E8267" w14:textId="77777777" w:rsidR="00032625" w:rsidRDefault="00B66510">
    <w:pPr>
      <w:pStyle w:val="Zpat"/>
      <w:ind w:right="360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85F"/>
    <w:multiLevelType w:val="hybridMultilevel"/>
    <w:tmpl w:val="59163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86D"/>
    <w:multiLevelType w:val="hybridMultilevel"/>
    <w:tmpl w:val="D434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948"/>
    <w:multiLevelType w:val="hybridMultilevel"/>
    <w:tmpl w:val="37A655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32E2C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F3"/>
    <w:rsid w:val="000C2427"/>
    <w:rsid w:val="00171416"/>
    <w:rsid w:val="002452D8"/>
    <w:rsid w:val="0049576A"/>
    <w:rsid w:val="00837F10"/>
    <w:rsid w:val="008D321F"/>
    <w:rsid w:val="009561AC"/>
    <w:rsid w:val="009F23ED"/>
    <w:rsid w:val="00B07E13"/>
    <w:rsid w:val="00B66510"/>
    <w:rsid w:val="00D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FE46"/>
  <w15:chartTrackingRefBased/>
  <w15:docId w15:val="{969B1C61-0582-4993-BF94-C13B8139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95CF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5C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95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95CF3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95CF3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95CF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D95CF3"/>
    <w:pPr>
      <w:spacing w:before="120" w:line="240" w:lineRule="atLeast"/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95CF3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D95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C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95CF3"/>
  </w:style>
  <w:style w:type="paragraph" w:styleId="Zkladntext2">
    <w:name w:val="Body Text 2"/>
    <w:basedOn w:val="Normln"/>
    <w:link w:val="Zkladntext2Char"/>
    <w:uiPriority w:val="99"/>
    <w:rsid w:val="00D95CF3"/>
    <w:pPr>
      <w:spacing w:before="120"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95CF3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5CF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morda@feec.vutb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Petra (208043)</dc:creator>
  <cp:keywords/>
  <dc:description/>
  <cp:lastModifiedBy>Sedláková Petra (208043)</cp:lastModifiedBy>
  <cp:revision>3</cp:revision>
  <cp:lastPrinted>2022-02-10T09:21:00Z</cp:lastPrinted>
  <dcterms:created xsi:type="dcterms:W3CDTF">2022-02-10T08:44:00Z</dcterms:created>
  <dcterms:modified xsi:type="dcterms:W3CDTF">2022-02-10T10:07:00Z</dcterms:modified>
</cp:coreProperties>
</file>