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before="89" w:after="89" w:line="240" w:lineRule="exact"/>
        <w:rPr>
          <w:sz w:val="19"/>
          <w:szCs w:val="19"/>
        </w:rPr>
      </w:pPr>
    </w:p>
    <w:p>
      <w:pPr>
        <w:widowControl w:val="0"/>
        <w:spacing w:line="1" w:lineRule="exact"/>
        <w:sectPr>
          <w:footerReference w:type="default" r:id="rId5"/>
          <w:footnotePr>
            <w:pos w:val="pageBottom"/>
            <w:numFmt w:val="decimal"/>
            <w:numRestart w:val="continuous"/>
          </w:footnotePr>
          <w:pgSz w:w="12240" w:h="15840"/>
          <w:pgMar w:top="23" w:left="1128" w:right="978" w:bottom="968" w:header="0" w:footer="3" w:gutter="0"/>
          <w:pgNumType w:start="1"/>
          <w:cols w:space="720"/>
          <w:noEndnote/>
          <w:rtlGutter w:val="0"/>
          <w:docGrid w:linePitch="360"/>
        </w:sectPr>
      </w:pPr>
    </w:p>
    <w:p>
      <w:pPr>
        <w:pStyle w:val="Style19"/>
        <w:keepNext/>
        <w:keepLines/>
        <w:widowControl w:val="0"/>
        <w:shd w:val="clear" w:color="auto" w:fill="auto"/>
        <w:bidi w:val="0"/>
        <w:spacing w:before="0" w:after="0" w:line="240" w:lineRule="auto"/>
        <w:ind w:left="0" w:right="0" w:firstLine="0"/>
        <w:jc w:val="center"/>
      </w:pPr>
      <w:bookmarkStart w:id="0" w:name="bookmark0"/>
      <w:bookmarkStart w:id="1" w:name="bookmark1"/>
      <w:r>
        <w:rPr>
          <w:spacing w:val="0"/>
          <w:w w:val="100"/>
          <w:position w:val="0"/>
          <w:shd w:val="clear" w:color="auto" w:fill="auto"/>
          <w:lang w:val="cs-CZ" w:eastAsia="cs-CZ" w:bidi="cs-CZ"/>
        </w:rPr>
        <w:t>©sfdi</w:t>
      </w:r>
      <w:bookmarkEnd w:id="0"/>
      <w:bookmarkEnd w:id="1"/>
    </w:p>
    <w:p>
      <w:pPr>
        <w:pStyle w:val="Style21"/>
        <w:keepNext w:val="0"/>
        <w:keepLines w:val="0"/>
        <w:widowControl w:val="0"/>
        <w:shd w:val="clear" w:color="auto" w:fill="auto"/>
        <w:bidi w:val="0"/>
        <w:spacing w:before="0" w:line="240" w:lineRule="auto"/>
        <w:ind w:left="4220" w:right="0" w:firstLine="40"/>
        <w:jc w:val="left"/>
      </w:pPr>
      <w:r>
        <w:rPr>
          <w:spacing w:val="0"/>
          <w:w w:val="100"/>
          <w:position w:val="0"/>
          <w:shd w:val="clear" w:color="auto" w:fill="auto"/>
          <w:lang w:val="cs-CZ" w:eastAsia="cs-CZ" w:bidi="cs-CZ"/>
        </w:rPr>
        <w:t>STÁTNÍ FOND DOPRAVNÍ INFRASTRUKTURY</w:t>
      </w:r>
    </w:p>
    <w:p>
      <w:pPr>
        <w:pStyle w:val="Style11"/>
        <w:keepNext w:val="0"/>
        <w:keepLines w:val="0"/>
        <w:widowControl w:val="0"/>
        <w:shd w:val="clear" w:color="auto" w:fill="auto"/>
        <w:bidi w:val="0"/>
        <w:spacing w:before="0" w:after="360" w:line="240" w:lineRule="auto"/>
        <w:ind w:left="0" w:right="0" w:firstLine="0"/>
        <w:jc w:val="center"/>
        <w:rPr>
          <w:sz w:val="40"/>
          <w:szCs w:val="40"/>
        </w:rPr>
      </w:pPr>
      <w:r>
        <w:rPr>
          <w:b/>
          <w:bCs/>
          <w:color w:val="000000"/>
          <w:spacing w:val="0"/>
          <w:w w:val="100"/>
          <w:position w:val="0"/>
          <w:sz w:val="40"/>
          <w:szCs w:val="40"/>
          <w:shd w:val="clear" w:color="auto" w:fill="auto"/>
          <w:lang w:val="cs-CZ" w:eastAsia="cs-CZ" w:bidi="cs-CZ"/>
        </w:rPr>
        <w:t>Smlouva o zajištění výkonu technického dozoru</w:t>
        <w:br/>
        <w:t>stavebníka na staveništi</w:t>
      </w:r>
    </w:p>
    <w:p>
      <w:pPr>
        <w:pStyle w:val="Style11"/>
        <w:keepNext w:val="0"/>
        <w:keepLines w:val="0"/>
        <w:widowControl w:val="0"/>
        <w:shd w:val="clear" w:color="auto" w:fill="auto"/>
        <w:bidi w:val="0"/>
        <w:spacing w:before="0" w:after="240" w:line="240" w:lineRule="auto"/>
        <w:ind w:left="0" w:right="0" w:firstLine="0"/>
        <w:jc w:val="center"/>
        <w:rPr>
          <w:sz w:val="32"/>
          <w:szCs w:val="32"/>
        </w:rPr>
      </w:pPr>
      <w:r>
        <w:rPr>
          <w:rFonts w:ascii="Calibri" w:eastAsia="Calibri" w:hAnsi="Calibri" w:cs="Calibri"/>
          <w:color w:val="000000"/>
          <w:spacing w:val="0"/>
          <w:w w:val="100"/>
          <w:position w:val="0"/>
          <w:sz w:val="24"/>
          <w:szCs w:val="24"/>
          <w:shd w:val="clear" w:color="auto" w:fill="auto"/>
          <w:lang w:val="cs-CZ" w:eastAsia="cs-CZ" w:bidi="cs-CZ"/>
        </w:rPr>
        <w:t>na akci</w:t>
      </w:r>
      <w:r>
        <w:rPr>
          <w:rFonts w:ascii="Calibri" w:eastAsia="Calibri" w:hAnsi="Calibri" w:cs="Calibri"/>
          <w:color w:val="000000"/>
          <w:spacing w:val="0"/>
          <w:w w:val="100"/>
          <w:position w:val="0"/>
          <w:sz w:val="32"/>
          <w:szCs w:val="32"/>
          <w:shd w:val="clear" w:color="auto" w:fill="auto"/>
          <w:lang w:val="cs-CZ" w:eastAsia="cs-CZ" w:bidi="cs-CZ"/>
        </w:rPr>
        <w:t xml:space="preserve">: </w:t>
      </w:r>
      <w:r>
        <w:rPr>
          <w:b/>
          <w:bCs/>
          <w:color w:val="000000"/>
          <w:spacing w:val="0"/>
          <w:w w:val="100"/>
          <w:position w:val="0"/>
          <w:sz w:val="32"/>
          <w:szCs w:val="32"/>
          <w:shd w:val="clear" w:color="auto" w:fill="auto"/>
          <w:lang w:val="cs-CZ" w:eastAsia="cs-CZ" w:bidi="cs-CZ"/>
        </w:rPr>
        <w:t>III/01945 Rantířov, opěrná zeď u mostu ev.č. 01945-3</w:t>
      </w:r>
    </w:p>
    <w:p>
      <w:pPr>
        <w:pStyle w:val="Style11"/>
        <w:keepNext w:val="0"/>
        <w:keepLines w:val="0"/>
        <w:widowControl w:val="0"/>
        <w:shd w:val="clear" w:color="auto" w:fill="auto"/>
        <w:bidi w:val="0"/>
        <w:spacing w:before="0" w:after="240" w:line="240" w:lineRule="auto"/>
        <w:ind w:left="0" w:right="0" w:firstLine="0"/>
        <w:jc w:val="center"/>
        <w:rPr>
          <w:sz w:val="32"/>
          <w:szCs w:val="32"/>
        </w:rPr>
      </w:pPr>
      <w:r>
        <w:rPr>
          <w:b/>
          <w:bCs/>
          <w:color w:val="000000"/>
          <w:spacing w:val="0"/>
          <w:w w:val="100"/>
          <w:position w:val="0"/>
          <w:sz w:val="32"/>
          <w:szCs w:val="32"/>
          <w:shd w:val="clear" w:color="auto" w:fill="auto"/>
          <w:lang w:val="cs-CZ" w:eastAsia="cs-CZ" w:bidi="cs-CZ"/>
        </w:rPr>
        <w:t>v km 4,624 - 4,642</w:t>
      </w:r>
    </w:p>
    <w:p>
      <w:pPr>
        <w:pStyle w:val="Style27"/>
        <w:keepNext/>
        <w:keepLines/>
        <w:widowControl w:val="0"/>
        <w:shd w:val="clear" w:color="auto" w:fill="auto"/>
        <w:bidi w:val="0"/>
        <w:spacing w:before="0" w:after="360" w:line="240" w:lineRule="auto"/>
        <w:ind w:left="0" w:right="0" w:firstLine="0"/>
        <w:jc w:val="center"/>
      </w:pPr>
      <w:r>
        <mc:AlternateContent>
          <mc:Choice Requires="wps">
            <w:drawing>
              <wp:anchor distT="176530" distB="0" distL="0" distR="0" simplePos="0" relativeHeight="125829378" behindDoc="0" locked="0" layoutInCell="1" allowOverlap="1">
                <wp:simplePos x="0" y="0"/>
                <wp:positionH relativeFrom="page">
                  <wp:posOffset>716280</wp:posOffset>
                </wp:positionH>
                <wp:positionV relativeFrom="paragraph">
                  <wp:posOffset>2551430</wp:posOffset>
                </wp:positionV>
                <wp:extent cx="6434455" cy="384175"/>
                <wp:wrapTopAndBottom/>
                <wp:docPr id="6" name="Shape 6"/>
                <a:graphic xmlns:a="http://schemas.openxmlformats.org/drawingml/2006/main">
                  <a:graphicData uri="http://schemas.microsoft.com/office/word/2010/wordprocessingShape">
                    <wps:wsp>
                      <wps:cNvSpPr txBox="1"/>
                      <wps:spPr>
                        <a:xfrm>
                          <a:ext cx="6434455" cy="384175"/>
                        </a:xfrm>
                        <a:prstGeom prst="rect"/>
                        <a:noFill/>
                      </wps:spPr>
                      <wps:txbx>
                        <w:txbxContent>
                          <w:tbl>
                            <w:tblPr>
                              <w:tblOverlap w:val="never"/>
                              <w:jc w:val="left"/>
                              <w:tblLayout w:type="fixed"/>
                            </w:tblPr>
                            <w:tblGrid>
                              <w:gridCol w:w="1987"/>
                              <w:gridCol w:w="8146"/>
                            </w:tblGrid>
                            <w:tr>
                              <w:trPr>
                                <w:tblHeader/>
                                <w:trHeight w:val="605"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p>
                                  <w:pPr>
                                    <w:pStyle w:val="Style11"/>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00090450</w:t>
                                  </w:r>
                                </w:p>
                                <w:p>
                                  <w:pPr>
                                    <w:pStyle w:val="Style11"/>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CZ00090450</w:t>
                                  </w:r>
                                </w:p>
                              </w:tc>
                            </w:tr>
                          </w:tbl>
                          <w:p>
                            <w:pPr>
                              <w:widowControl w:val="0"/>
                              <w:spacing w:line="1" w:lineRule="exact"/>
                            </w:pPr>
                          </w:p>
                        </w:txbxContent>
                      </wps:txbx>
                      <wps:bodyPr lIns="0" tIns="0" rIns="0" bIns="0">
                        <a:noAutoFit/>
                      </wps:bodyPr>
                    </wps:wsp>
                  </a:graphicData>
                </a:graphic>
              </wp:anchor>
            </w:drawing>
          </mc:Choice>
          <mc:Fallback>
            <w:pict>
              <v:shape id="_x0000_s1032" type="#_x0000_t202" style="position:absolute;margin-left:56.399999999999999pt;margin-top:200.90000000000001pt;width:506.64999999999998pt;height:30.25pt;z-index:-125829375;mso-wrap-distance-left:0;mso-wrap-distance-top:13.9pt;mso-wrap-distance-right:0;mso-position-horizontal-relative:page" filled="f" stroked="f">
                <v:textbox inset="0,0,0,0">
                  <w:txbxContent>
                    <w:tbl>
                      <w:tblPr>
                        <w:tblOverlap w:val="never"/>
                        <w:jc w:val="left"/>
                        <w:tblLayout w:type="fixed"/>
                      </w:tblPr>
                      <w:tblGrid>
                        <w:gridCol w:w="1987"/>
                        <w:gridCol w:w="8146"/>
                      </w:tblGrid>
                      <w:tr>
                        <w:trPr>
                          <w:tblHeader/>
                          <w:trHeight w:val="605"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p>
                            <w:pPr>
                              <w:pStyle w:val="Style11"/>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00090450</w:t>
                            </w:r>
                          </w:p>
                          <w:p>
                            <w:pPr>
                              <w:pStyle w:val="Style11"/>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CZ00090450</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2" behindDoc="0" locked="0" layoutInCell="1" allowOverlap="1">
                <wp:simplePos x="0" y="0"/>
                <wp:positionH relativeFrom="page">
                  <wp:posOffset>731520</wp:posOffset>
                </wp:positionH>
                <wp:positionV relativeFrom="paragraph">
                  <wp:posOffset>2374900</wp:posOffset>
                </wp:positionV>
                <wp:extent cx="713105" cy="176530"/>
                <wp:wrapNone/>
                <wp:docPr id="8" name="Shape 8"/>
                <a:graphic xmlns:a="http://schemas.openxmlformats.org/drawingml/2006/main">
                  <a:graphicData uri="http://schemas.microsoft.com/office/word/2010/wordprocessingShape">
                    <wps:wsp>
                      <wps:cNvSpPr txBox="1"/>
                      <wps:spPr>
                        <a:xfrm>
                          <a:ext cx="713105" cy="17653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Číslo účtu:</w:t>
                            </w:r>
                          </w:p>
                        </w:txbxContent>
                      </wps:txbx>
                      <wps:bodyPr lIns="0" tIns="0" rIns="0" bIns="0">
                        <a:noAutoFit/>
                      </wps:bodyPr>
                    </wps:wsp>
                  </a:graphicData>
                </a:graphic>
              </wp:anchor>
            </w:drawing>
          </mc:Choice>
          <mc:Fallback>
            <w:pict>
              <v:shape id="_x0000_s1034" type="#_x0000_t202" style="position:absolute;margin-left:57.600000000000001pt;margin-top:187.pt;width:56.149999999999999pt;height:13.9pt;z-index:251657729;mso-wrap-distance-left:0;mso-wrap-distance-right:0;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Číslo účtu:</w:t>
                      </w:r>
                    </w:p>
                  </w:txbxContent>
                </v:textbox>
                <w10:wrap anchorx="page"/>
              </v:shape>
            </w:pict>
          </mc:Fallback>
        </mc:AlternateContent>
      </w:r>
      <w:r>
        <mc:AlternateContent>
          <mc:Choice Requires="wps">
            <w:drawing>
              <wp:anchor distT="0" distB="12700" distL="114300" distR="114300" simplePos="0" relativeHeight="125829380" behindDoc="0" locked="0" layoutInCell="1" allowOverlap="1">
                <wp:simplePos x="0" y="0"/>
                <wp:positionH relativeFrom="page">
                  <wp:posOffset>731520</wp:posOffset>
                </wp:positionH>
                <wp:positionV relativeFrom="paragraph">
                  <wp:posOffset>2908300</wp:posOffset>
                </wp:positionV>
                <wp:extent cx="2279650" cy="972185"/>
                <wp:wrapTopAndBottom/>
                <wp:docPr id="10" name="Shape 10"/>
                <a:graphic xmlns:a="http://schemas.openxmlformats.org/drawingml/2006/main">
                  <a:graphicData uri="http://schemas.microsoft.com/office/word/2010/wordprocessingShape">
                    <wps:wsp>
                      <wps:cNvSpPr txBox="1"/>
                      <wps:spPr>
                        <a:xfrm>
                          <a:ext cx="2279650" cy="972185"/>
                        </a:xfrm>
                        <a:prstGeom prst="rect"/>
                        <a:noFill/>
                      </wps:spPr>
                      <wps:txbx>
                        <w:txbxContent>
                          <w:p>
                            <w:pPr>
                              <w:pStyle w:val="Style15"/>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cs-CZ" w:eastAsia="cs-CZ" w:bidi="cs-CZ"/>
                              </w:rPr>
                              <w:t>Telefon:</w:t>
                            </w:r>
                          </w:p>
                          <w:p>
                            <w:pPr>
                              <w:pStyle w:val="Style15"/>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cs-CZ" w:eastAsia="cs-CZ" w:bidi="cs-CZ"/>
                              </w:rPr>
                              <w:t>E-mail:</w:t>
                            </w:r>
                          </w:p>
                          <w:p>
                            <w:pPr>
                              <w:pStyle w:val="Style15"/>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cs-CZ" w:eastAsia="cs-CZ" w:bidi="cs-CZ"/>
                              </w:rPr>
                              <w:t>Zřizovatel: Kraj Vysočina (dále jen „</w:t>
                            </w:r>
                            <w:r>
                              <w:rPr>
                                <w:b/>
                                <w:bCs/>
                                <w:i/>
                                <w:iCs/>
                                <w:color w:val="000000"/>
                                <w:spacing w:val="0"/>
                                <w:w w:val="100"/>
                                <w:position w:val="0"/>
                                <w:sz w:val="24"/>
                                <w:szCs w:val="24"/>
                                <w:shd w:val="clear" w:color="auto" w:fill="auto"/>
                                <w:lang w:val="cs-CZ" w:eastAsia="cs-CZ" w:bidi="cs-CZ"/>
                              </w:rPr>
                              <w:t>Objednatel</w:t>
                            </w:r>
                            <w:r>
                              <w:rPr>
                                <w:b/>
                                <w:bCs/>
                                <w:color w:val="000000"/>
                                <w:spacing w:val="0"/>
                                <w:w w:val="100"/>
                                <w:position w:val="0"/>
                                <w:sz w:val="24"/>
                                <w:szCs w:val="24"/>
                                <w:shd w:val="clear" w:color="auto" w:fill="auto"/>
                                <w:lang w:val="cs-CZ" w:eastAsia="cs-CZ" w:bidi="cs-CZ"/>
                              </w:rPr>
                              <w:t>“</w:t>
                            </w:r>
                            <w:r>
                              <w:rPr>
                                <w:color w:val="000000"/>
                                <w:spacing w:val="0"/>
                                <w:w w:val="100"/>
                                <w:position w:val="0"/>
                                <w:sz w:val="24"/>
                                <w:szCs w:val="24"/>
                                <w:shd w:val="clear" w:color="auto" w:fill="auto"/>
                                <w:lang w:val="cs-CZ" w:eastAsia="cs-CZ" w:bidi="cs-CZ"/>
                              </w:rPr>
                              <w:t>)</w:t>
                            </w:r>
                          </w:p>
                          <w:p>
                            <w:pPr>
                              <w:pStyle w:val="Style15"/>
                              <w:keepNext w:val="0"/>
                              <w:keepLines w:val="0"/>
                              <w:widowControl w:val="0"/>
                              <w:shd w:val="clear" w:color="auto" w:fill="auto"/>
                              <w:bidi w:val="0"/>
                              <w:spacing w:before="0" w:after="60" w:line="233" w:lineRule="auto"/>
                              <w:ind w:left="0" w:right="0" w:firstLine="0"/>
                              <w:jc w:val="left"/>
                            </w:pPr>
                            <w:r>
                              <w:rPr>
                                <w:b/>
                                <w:bCs/>
                                <w:color w:val="000000"/>
                                <w:spacing w:val="0"/>
                                <w:w w:val="100"/>
                                <w:position w:val="0"/>
                                <w:sz w:val="24"/>
                                <w:szCs w:val="24"/>
                                <w:shd w:val="clear" w:color="auto" w:fill="auto"/>
                                <w:lang w:val="cs-CZ" w:eastAsia="cs-CZ" w:bidi="cs-CZ"/>
                              </w:rPr>
                              <w:t>a</w:t>
                            </w:r>
                          </w:p>
                        </w:txbxContent>
                      </wps:txbx>
                      <wps:bodyPr lIns="0" tIns="0" rIns="0" bIns="0">
                        <a:noAutoFit/>
                      </wps:bodyPr>
                    </wps:wsp>
                  </a:graphicData>
                </a:graphic>
              </wp:anchor>
            </w:drawing>
          </mc:Choice>
          <mc:Fallback>
            <w:pict>
              <v:shape id="_x0000_s1036" type="#_x0000_t202" style="position:absolute;margin-left:57.600000000000001pt;margin-top:229.pt;width:179.5pt;height:76.549999999999997pt;z-index:-125829373;mso-wrap-distance-left:9.pt;mso-wrap-distance-right:9.pt;mso-wrap-distance-bottom:1.pt;mso-position-horizontal-relative:page" filled="f" stroked="f">
                <v:textbox inset="0,0,0,0">
                  <w:txbxContent>
                    <w:p>
                      <w:pPr>
                        <w:pStyle w:val="Style15"/>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cs-CZ" w:eastAsia="cs-CZ" w:bidi="cs-CZ"/>
                        </w:rPr>
                        <w:t>Telefon:</w:t>
                      </w:r>
                    </w:p>
                    <w:p>
                      <w:pPr>
                        <w:pStyle w:val="Style15"/>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cs-CZ" w:eastAsia="cs-CZ" w:bidi="cs-CZ"/>
                        </w:rPr>
                        <w:t>E-mail:</w:t>
                      </w:r>
                    </w:p>
                    <w:p>
                      <w:pPr>
                        <w:pStyle w:val="Style15"/>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cs-CZ" w:eastAsia="cs-CZ" w:bidi="cs-CZ"/>
                        </w:rPr>
                        <w:t>Zřizovatel: Kraj Vysočina (dále jen „</w:t>
                      </w:r>
                      <w:r>
                        <w:rPr>
                          <w:b/>
                          <w:bCs/>
                          <w:i/>
                          <w:iCs/>
                          <w:color w:val="000000"/>
                          <w:spacing w:val="0"/>
                          <w:w w:val="100"/>
                          <w:position w:val="0"/>
                          <w:sz w:val="24"/>
                          <w:szCs w:val="24"/>
                          <w:shd w:val="clear" w:color="auto" w:fill="auto"/>
                          <w:lang w:val="cs-CZ" w:eastAsia="cs-CZ" w:bidi="cs-CZ"/>
                        </w:rPr>
                        <w:t>Objednatel</w:t>
                      </w:r>
                      <w:r>
                        <w:rPr>
                          <w:b/>
                          <w:bCs/>
                          <w:color w:val="000000"/>
                          <w:spacing w:val="0"/>
                          <w:w w:val="100"/>
                          <w:position w:val="0"/>
                          <w:sz w:val="24"/>
                          <w:szCs w:val="24"/>
                          <w:shd w:val="clear" w:color="auto" w:fill="auto"/>
                          <w:lang w:val="cs-CZ" w:eastAsia="cs-CZ" w:bidi="cs-CZ"/>
                        </w:rPr>
                        <w:t>“</w:t>
                      </w:r>
                      <w:r>
                        <w:rPr>
                          <w:color w:val="000000"/>
                          <w:spacing w:val="0"/>
                          <w:w w:val="100"/>
                          <w:position w:val="0"/>
                          <w:sz w:val="24"/>
                          <w:szCs w:val="24"/>
                          <w:shd w:val="clear" w:color="auto" w:fill="auto"/>
                          <w:lang w:val="cs-CZ" w:eastAsia="cs-CZ" w:bidi="cs-CZ"/>
                        </w:rPr>
                        <w:t>)</w:t>
                      </w:r>
                    </w:p>
                    <w:p>
                      <w:pPr>
                        <w:pStyle w:val="Style15"/>
                        <w:keepNext w:val="0"/>
                        <w:keepLines w:val="0"/>
                        <w:widowControl w:val="0"/>
                        <w:shd w:val="clear" w:color="auto" w:fill="auto"/>
                        <w:bidi w:val="0"/>
                        <w:spacing w:before="0" w:after="60" w:line="233" w:lineRule="auto"/>
                        <w:ind w:left="0" w:right="0" w:firstLine="0"/>
                        <w:jc w:val="left"/>
                      </w:pPr>
                      <w:r>
                        <w:rPr>
                          <w:b/>
                          <w:bCs/>
                          <w:color w:val="000000"/>
                          <w:spacing w:val="0"/>
                          <w:w w:val="100"/>
                          <w:position w:val="0"/>
                          <w:sz w:val="24"/>
                          <w:szCs w:val="24"/>
                          <w:shd w:val="clear" w:color="auto" w:fill="auto"/>
                          <w:lang w:val="cs-CZ" w:eastAsia="cs-CZ" w:bidi="cs-CZ"/>
                        </w:rPr>
                        <w:t>a</w:t>
                      </w:r>
                    </w:p>
                  </w:txbxContent>
                </v:textbox>
                <w10:wrap type="topAndBottom" anchorx="page"/>
              </v:shape>
            </w:pict>
          </mc:Fallback>
        </mc:AlternateContent>
      </w:r>
      <w:bookmarkStart w:id="2" w:name="bookmark2"/>
      <w:bookmarkStart w:id="3" w:name="bookmark3"/>
      <w:r>
        <w:rPr>
          <w:color w:val="000000"/>
          <w:spacing w:val="0"/>
          <w:w w:val="100"/>
          <w:position w:val="0"/>
          <w:sz w:val="24"/>
          <w:szCs w:val="24"/>
          <w:shd w:val="clear" w:color="auto" w:fill="auto"/>
          <w:lang w:val="cs-CZ" w:eastAsia="cs-CZ" w:bidi="cs-CZ"/>
        </w:rPr>
        <w:t>uzavřená podle § 1746 odst. 2 zákona č. 89/2012 Sb., občanský zákoník, v platném znění</w:t>
      </w:r>
      <w:bookmarkEnd w:id="2"/>
      <w:bookmarkEnd w:id="3"/>
    </w:p>
    <w:p>
      <w:pPr>
        <w:widowControl w:val="0"/>
        <w:spacing w:line="1" w:lineRule="exact"/>
      </w:pPr>
      <w:r>
        <mc:AlternateContent>
          <mc:Choice Requires="wps">
            <w:drawing>
              <wp:anchor distT="682625" distB="874395" distL="0" distR="0" simplePos="0" relativeHeight="125829382" behindDoc="0" locked="0" layoutInCell="1" allowOverlap="1">
                <wp:simplePos x="0" y="0"/>
                <wp:positionH relativeFrom="page">
                  <wp:posOffset>716280</wp:posOffset>
                </wp:positionH>
                <wp:positionV relativeFrom="paragraph">
                  <wp:posOffset>682625</wp:posOffset>
                </wp:positionV>
                <wp:extent cx="6434455" cy="722630"/>
                <wp:wrapTopAndBottom/>
                <wp:docPr id="12" name="Shape 12"/>
                <a:graphic xmlns:a="http://schemas.openxmlformats.org/drawingml/2006/main">
                  <a:graphicData uri="http://schemas.microsoft.com/office/word/2010/wordprocessingShape">
                    <wps:wsp>
                      <wps:cNvSpPr txBox="1"/>
                      <wps:spPr>
                        <a:xfrm>
                          <a:ext cx="6434455" cy="722630"/>
                        </a:xfrm>
                        <a:prstGeom prst="rect"/>
                        <a:noFill/>
                      </wps:spPr>
                      <wps:txbx>
                        <w:txbxContent>
                          <w:tbl>
                            <w:tblPr>
                              <w:tblOverlap w:val="never"/>
                              <w:jc w:val="left"/>
                              <w:tblLayout w:type="fixed"/>
                            </w:tblPr>
                            <w:tblGrid>
                              <w:gridCol w:w="1987"/>
                              <w:gridCol w:w="8146"/>
                            </w:tblGrid>
                            <w:tr>
                              <w:trPr>
                                <w:tblHeader/>
                                <w:trHeight w:val="562"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Bankovní spojení: Č. účtu:</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80"/>
                                    <w:jc w:val="both"/>
                                  </w:pPr>
                                  <w:r>
                                    <w:rPr>
                                      <w:color w:val="000000"/>
                                      <w:spacing w:val="0"/>
                                      <w:w w:val="100"/>
                                      <w:position w:val="0"/>
                                      <w:sz w:val="24"/>
                                      <w:szCs w:val="24"/>
                                      <w:shd w:val="clear" w:color="auto" w:fill="auto"/>
                                      <w:lang w:val="cs-CZ" w:eastAsia="cs-CZ" w:bidi="cs-CZ"/>
                                    </w:rPr>
                                    <w:t>FIO banka</w:t>
                                  </w:r>
                                </w:p>
                              </w:tc>
                            </w:tr>
                            <w:tr>
                              <w:trPr>
                                <w:trHeight w:val="576"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p>
                                  <w:pPr>
                                    <w:pStyle w:val="Style11"/>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both"/>
                                  </w:pPr>
                                  <w:r>
                                    <w:rPr>
                                      <w:color w:val="000000"/>
                                      <w:spacing w:val="0"/>
                                      <w:w w:val="100"/>
                                      <w:position w:val="0"/>
                                      <w:sz w:val="24"/>
                                      <w:szCs w:val="24"/>
                                      <w:shd w:val="clear" w:color="auto" w:fill="auto"/>
                                      <w:lang w:val="cs-CZ" w:eastAsia="cs-CZ" w:bidi="cs-CZ"/>
                                    </w:rPr>
                                    <w:t>02217791</w:t>
                                  </w:r>
                                </w:p>
                                <w:p>
                                  <w:pPr>
                                    <w:pStyle w:val="Style11"/>
                                    <w:keepNext w:val="0"/>
                                    <w:keepLines w:val="0"/>
                                    <w:widowControl w:val="0"/>
                                    <w:shd w:val="clear" w:color="auto" w:fill="auto"/>
                                    <w:bidi w:val="0"/>
                                    <w:spacing w:before="0" w:after="0" w:line="240" w:lineRule="auto"/>
                                    <w:ind w:left="0" w:right="0" w:firstLine="180"/>
                                    <w:jc w:val="both"/>
                                  </w:pPr>
                                  <w:r>
                                    <w:rPr>
                                      <w:color w:val="000000"/>
                                      <w:spacing w:val="0"/>
                                      <w:w w:val="100"/>
                                      <w:position w:val="0"/>
                                      <w:sz w:val="24"/>
                                      <w:szCs w:val="24"/>
                                      <w:shd w:val="clear" w:color="auto" w:fill="auto"/>
                                      <w:lang w:val="cs-CZ" w:eastAsia="cs-CZ" w:bidi="cs-CZ"/>
                                    </w:rPr>
                                    <w:t>CZ02217791</w:t>
                                  </w:r>
                                </w:p>
                              </w:tc>
                            </w:tr>
                          </w:tbl>
                          <w:p>
                            <w:pPr>
                              <w:widowControl w:val="0"/>
                              <w:spacing w:line="1" w:lineRule="exact"/>
                            </w:pPr>
                          </w:p>
                        </w:txbxContent>
                      </wps:txbx>
                      <wps:bodyPr lIns="0" tIns="0" rIns="0" bIns="0">
                        <a:noAutoFit/>
                      </wps:bodyPr>
                    </wps:wsp>
                  </a:graphicData>
                </a:graphic>
              </wp:anchor>
            </w:drawing>
          </mc:Choice>
          <mc:Fallback>
            <w:pict>
              <v:shape id="_x0000_s1038" type="#_x0000_t202" style="position:absolute;margin-left:56.399999999999999pt;margin-top:53.75pt;width:506.64999999999998pt;height:56.899999999999999pt;z-index:-125829371;mso-wrap-distance-left:0;mso-wrap-distance-top:53.75pt;mso-wrap-distance-right:0;mso-wrap-distance-bottom:68.849999999999994pt;mso-position-horizontal-relative:page" filled="f" stroked="f">
                <v:textbox inset="0,0,0,0">
                  <w:txbxContent>
                    <w:tbl>
                      <w:tblPr>
                        <w:tblOverlap w:val="never"/>
                        <w:jc w:val="left"/>
                        <w:tblLayout w:type="fixed"/>
                      </w:tblPr>
                      <w:tblGrid>
                        <w:gridCol w:w="1987"/>
                        <w:gridCol w:w="8146"/>
                      </w:tblGrid>
                      <w:tr>
                        <w:trPr>
                          <w:tblHeader/>
                          <w:trHeight w:val="562"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Bankovní spojení: Č. účtu:</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80"/>
                              <w:jc w:val="both"/>
                            </w:pPr>
                            <w:r>
                              <w:rPr>
                                <w:color w:val="000000"/>
                                <w:spacing w:val="0"/>
                                <w:w w:val="100"/>
                                <w:position w:val="0"/>
                                <w:sz w:val="24"/>
                                <w:szCs w:val="24"/>
                                <w:shd w:val="clear" w:color="auto" w:fill="auto"/>
                                <w:lang w:val="cs-CZ" w:eastAsia="cs-CZ" w:bidi="cs-CZ"/>
                              </w:rPr>
                              <w:t>FIO banka</w:t>
                            </w:r>
                          </w:p>
                        </w:tc>
                      </w:tr>
                      <w:tr>
                        <w:trPr>
                          <w:trHeight w:val="576"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p>
                            <w:pPr>
                              <w:pStyle w:val="Style11"/>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both"/>
                            </w:pPr>
                            <w:r>
                              <w:rPr>
                                <w:color w:val="000000"/>
                                <w:spacing w:val="0"/>
                                <w:w w:val="100"/>
                                <w:position w:val="0"/>
                                <w:sz w:val="24"/>
                                <w:szCs w:val="24"/>
                                <w:shd w:val="clear" w:color="auto" w:fill="auto"/>
                                <w:lang w:val="cs-CZ" w:eastAsia="cs-CZ" w:bidi="cs-CZ"/>
                              </w:rPr>
                              <w:t>02217791</w:t>
                            </w:r>
                          </w:p>
                          <w:p>
                            <w:pPr>
                              <w:pStyle w:val="Style11"/>
                              <w:keepNext w:val="0"/>
                              <w:keepLines w:val="0"/>
                              <w:widowControl w:val="0"/>
                              <w:shd w:val="clear" w:color="auto" w:fill="auto"/>
                              <w:bidi w:val="0"/>
                              <w:spacing w:before="0" w:after="0" w:line="240" w:lineRule="auto"/>
                              <w:ind w:left="0" w:right="0" w:firstLine="180"/>
                              <w:jc w:val="both"/>
                            </w:pPr>
                            <w:r>
                              <w:rPr>
                                <w:color w:val="000000"/>
                                <w:spacing w:val="0"/>
                                <w:w w:val="100"/>
                                <w:position w:val="0"/>
                                <w:sz w:val="24"/>
                                <w:szCs w:val="24"/>
                                <w:shd w:val="clear" w:color="auto" w:fill="auto"/>
                                <w:lang w:val="cs-CZ" w:eastAsia="cs-CZ" w:bidi="cs-CZ"/>
                              </w:rPr>
                              <w:t>CZ02217791</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731520</wp:posOffset>
                </wp:positionH>
                <wp:positionV relativeFrom="paragraph">
                  <wp:posOffset>0</wp:posOffset>
                </wp:positionV>
                <wp:extent cx="6065520" cy="728345"/>
                <wp:wrapNone/>
                <wp:docPr id="14" name="Shape 14"/>
                <a:graphic xmlns:a="http://schemas.openxmlformats.org/drawingml/2006/main">
                  <a:graphicData uri="http://schemas.microsoft.com/office/word/2010/wordprocessingShape">
                    <wps:wsp>
                      <wps:cNvSpPr txBox="1"/>
                      <wps:spPr>
                        <a:xfrm>
                          <a:ext cx="6065520" cy="72834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zapsán v obchodním rejstříku vedeného Městským soudem v Praze, odd. 216815/MSPH, vložka C Osoby pověřené jednat jménem zhotovitele ve věcech smluvních: technických:</w:t>
                            </w:r>
                          </w:p>
                        </w:txbxContent>
                      </wps:txbx>
                      <wps:bodyPr lIns="0" tIns="0" rIns="0" bIns="0">
                        <a:noAutoFit/>
                      </wps:bodyPr>
                    </wps:wsp>
                  </a:graphicData>
                </a:graphic>
              </wp:anchor>
            </w:drawing>
          </mc:Choice>
          <mc:Fallback>
            <w:pict>
              <v:shape id="_x0000_s1040" type="#_x0000_t202" style="position:absolute;margin-left:57.600000000000001pt;margin-top:0;width:477.60000000000002pt;height:57.350000000000001pt;z-index:251657731;mso-wrap-distance-left:0;mso-wrap-distance-right:0;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zapsán v obchodním rejstříku vedeného Městským soudem v Praze, odd. 216815/MSPH, vložka C Osoby pověřené jednat jménem zhotovitele ve věcech smluvních: technických:</w:t>
                      </w:r>
                    </w:p>
                  </w:txbxContent>
                </v:textbox>
                <w10:wrap anchorx="page"/>
              </v:shape>
            </w:pict>
          </mc:Fallback>
        </mc:AlternateContent>
      </w:r>
      <w:r>
        <mc:AlternateContent>
          <mc:Choice Requires="wps">
            <w:drawing>
              <wp:anchor distT="1371600" distB="0" distL="0" distR="0" simplePos="0" relativeHeight="125829384" behindDoc="0" locked="0" layoutInCell="1" allowOverlap="1">
                <wp:simplePos x="0" y="0"/>
                <wp:positionH relativeFrom="page">
                  <wp:posOffset>731520</wp:posOffset>
                </wp:positionH>
                <wp:positionV relativeFrom="paragraph">
                  <wp:posOffset>1371600</wp:posOffset>
                </wp:positionV>
                <wp:extent cx="1143000" cy="908050"/>
                <wp:wrapTopAndBottom/>
                <wp:docPr id="16" name="Shape 16"/>
                <a:graphic xmlns:a="http://schemas.openxmlformats.org/drawingml/2006/main">
                  <a:graphicData uri="http://schemas.microsoft.com/office/word/2010/wordprocessingShape">
                    <wps:wsp>
                      <wps:cNvSpPr txBox="1"/>
                      <wps:spPr>
                        <a:xfrm>
                          <a:ext cx="1143000" cy="90805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Telefon:</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Fax:</w:t>
                            </w:r>
                          </w:p>
                          <w:p>
                            <w:pPr>
                              <w:pStyle w:val="Style15"/>
                              <w:keepNext w:val="0"/>
                              <w:keepLines w:val="0"/>
                              <w:widowControl w:val="0"/>
                              <w:shd w:val="clear" w:color="auto" w:fill="auto"/>
                              <w:bidi w:val="0"/>
                              <w:spacing w:before="0" w:after="260" w:line="240" w:lineRule="auto"/>
                              <w:ind w:left="0" w:right="0" w:firstLine="0"/>
                              <w:jc w:val="left"/>
                            </w:pPr>
                            <w:r>
                              <w:rPr>
                                <w:color w:val="000000"/>
                                <w:spacing w:val="0"/>
                                <w:w w:val="100"/>
                                <w:position w:val="0"/>
                                <w:sz w:val="24"/>
                                <w:szCs w:val="24"/>
                                <w:shd w:val="clear" w:color="auto" w:fill="auto"/>
                                <w:lang w:val="cs-CZ" w:eastAsia="cs-CZ" w:bidi="cs-CZ"/>
                              </w:rPr>
                              <w:t>E-mail:</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 xml:space="preserve">(dále jen </w:t>
                            </w:r>
                            <w:r>
                              <w:rPr>
                                <w:b/>
                                <w:bCs/>
                                <w:i/>
                                <w:iCs/>
                                <w:color w:val="000000"/>
                                <w:spacing w:val="0"/>
                                <w:w w:val="100"/>
                                <w:position w:val="0"/>
                                <w:sz w:val="24"/>
                                <w:szCs w:val="24"/>
                                <w:shd w:val="clear" w:color="auto" w:fill="auto"/>
                                <w:lang w:val="cs-CZ" w:eastAsia="cs-CZ" w:bidi="cs-CZ"/>
                              </w:rPr>
                              <w:t>„TDS “)</w:t>
                            </w:r>
                          </w:p>
                        </w:txbxContent>
                      </wps:txbx>
                      <wps:bodyPr lIns="0" tIns="0" rIns="0" bIns="0">
                        <a:noAutoFit/>
                      </wps:bodyPr>
                    </wps:wsp>
                  </a:graphicData>
                </a:graphic>
              </wp:anchor>
            </w:drawing>
          </mc:Choice>
          <mc:Fallback>
            <w:pict>
              <v:shape id="_x0000_s1042" type="#_x0000_t202" style="position:absolute;margin-left:57.600000000000001pt;margin-top:108.pt;width:90.pt;height:71.5pt;z-index:-125829369;mso-wrap-distance-left:0;mso-wrap-distance-top:108.pt;mso-wrap-distance-right:0;mso-position-horizontal-relative:page" filled="f" stroked="f">
                <v:textbox inset="0,0,0,0">
                  <w:txbxContent>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Telefon:</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Fax:</w:t>
                      </w:r>
                    </w:p>
                    <w:p>
                      <w:pPr>
                        <w:pStyle w:val="Style15"/>
                        <w:keepNext w:val="0"/>
                        <w:keepLines w:val="0"/>
                        <w:widowControl w:val="0"/>
                        <w:shd w:val="clear" w:color="auto" w:fill="auto"/>
                        <w:bidi w:val="0"/>
                        <w:spacing w:before="0" w:after="260" w:line="240" w:lineRule="auto"/>
                        <w:ind w:left="0" w:right="0" w:firstLine="0"/>
                        <w:jc w:val="left"/>
                      </w:pPr>
                      <w:r>
                        <w:rPr>
                          <w:color w:val="000000"/>
                          <w:spacing w:val="0"/>
                          <w:w w:val="100"/>
                          <w:position w:val="0"/>
                          <w:sz w:val="24"/>
                          <w:szCs w:val="24"/>
                          <w:shd w:val="clear" w:color="auto" w:fill="auto"/>
                          <w:lang w:val="cs-CZ" w:eastAsia="cs-CZ" w:bidi="cs-CZ"/>
                        </w:rPr>
                        <w:t>E-mail:</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 xml:space="preserve">(dále jen </w:t>
                      </w:r>
                      <w:r>
                        <w:rPr>
                          <w:b/>
                          <w:bCs/>
                          <w:i/>
                          <w:iCs/>
                          <w:color w:val="000000"/>
                          <w:spacing w:val="0"/>
                          <w:w w:val="100"/>
                          <w:position w:val="0"/>
                          <w:sz w:val="24"/>
                          <w:szCs w:val="24"/>
                          <w:shd w:val="clear" w:color="auto" w:fill="auto"/>
                          <w:lang w:val="cs-CZ" w:eastAsia="cs-CZ" w:bidi="cs-CZ"/>
                        </w:rPr>
                        <w:t>„TDS “)</w:t>
                      </w:r>
                    </w:p>
                  </w:txbxContent>
                </v:textbox>
                <w10:wrap type="topAndBottom" anchorx="page"/>
              </v:shape>
            </w:pict>
          </mc:Fallback>
        </mc:AlternateContent>
      </w:r>
    </w:p>
    <w:p>
      <w:pPr>
        <w:pStyle w:val="Style13"/>
        <w:keepNext w:val="0"/>
        <w:keepLines w:val="0"/>
        <w:widowControl w:val="0"/>
        <w:shd w:val="clear" w:color="auto" w:fill="auto"/>
        <w:bidi w:val="0"/>
        <w:spacing w:before="0" w:after="0" w:line="240" w:lineRule="auto"/>
        <w:ind w:left="29" w:right="0" w:firstLine="0"/>
        <w:jc w:val="left"/>
        <w:rPr>
          <w:sz w:val="20"/>
          <w:szCs w:val="20"/>
        </w:rPr>
      </w:pPr>
      <w:r>
        <w:rPr>
          <w:i/>
          <w:iCs/>
          <w:color w:val="000000"/>
          <w:spacing w:val="0"/>
          <w:w w:val="100"/>
          <w:position w:val="0"/>
          <w:sz w:val="20"/>
          <w:szCs w:val="20"/>
          <w:shd w:val="clear" w:color="auto" w:fill="auto"/>
          <w:lang w:val="cs-CZ" w:eastAsia="cs-CZ" w:bidi="cs-CZ"/>
        </w:rPr>
        <w:t>Číslo smlouvy objednatele:</w:t>
      </w:r>
    </w:p>
    <w:p>
      <w:pPr>
        <w:pStyle w:val="Style13"/>
        <w:keepNext w:val="0"/>
        <w:keepLines w:val="0"/>
        <w:widowControl w:val="0"/>
        <w:shd w:val="clear" w:color="auto" w:fill="auto"/>
        <w:bidi w:val="0"/>
        <w:spacing w:before="0" w:after="0" w:line="240" w:lineRule="auto"/>
        <w:ind w:left="29" w:right="0" w:firstLine="0"/>
        <w:jc w:val="left"/>
        <w:rPr>
          <w:sz w:val="20"/>
          <w:szCs w:val="20"/>
        </w:rPr>
      </w:pPr>
      <w:r>
        <w:rPr>
          <w:i/>
          <w:iCs/>
          <w:color w:val="000000"/>
          <w:spacing w:val="0"/>
          <w:w w:val="100"/>
          <w:position w:val="0"/>
          <w:sz w:val="20"/>
          <w:szCs w:val="20"/>
          <w:shd w:val="clear" w:color="auto" w:fill="auto"/>
          <w:lang w:val="cs-CZ" w:eastAsia="cs-CZ" w:bidi="cs-CZ"/>
        </w:rPr>
        <w:t>Číslo smlouvy dodavatele: 01-22</w:t>
      </w:r>
    </w:p>
    <w:tbl>
      <w:tblPr>
        <w:tblOverlap w:val="never"/>
        <w:jc w:val="center"/>
        <w:tblLayout w:type="fixed"/>
      </w:tblPr>
      <w:tblGrid>
        <w:gridCol w:w="1987"/>
        <w:gridCol w:w="8146"/>
      </w:tblGrid>
      <w:tr>
        <w:trPr>
          <w:trHeight w:val="667"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2600" w:right="0" w:firstLine="0"/>
              <w:jc w:val="left"/>
            </w:pPr>
            <w:r>
              <w:rPr>
                <w:b/>
                <w:bCs/>
                <w:color w:val="000000"/>
                <w:spacing w:val="0"/>
                <w:w w:val="100"/>
                <w:position w:val="0"/>
                <w:sz w:val="24"/>
                <w:szCs w:val="24"/>
                <w:shd w:val="clear" w:color="auto" w:fill="auto"/>
                <w:lang w:val="cs-CZ" w:eastAsia="cs-CZ" w:bidi="cs-CZ"/>
              </w:rPr>
              <w:t>Článek 1</w:t>
            </w:r>
          </w:p>
          <w:p>
            <w:pPr>
              <w:pStyle w:val="Style11"/>
              <w:keepNext w:val="0"/>
              <w:keepLines w:val="0"/>
              <w:widowControl w:val="0"/>
              <w:shd w:val="clear" w:color="auto" w:fill="auto"/>
              <w:bidi w:val="0"/>
              <w:spacing w:before="0" w:after="0" w:line="240" w:lineRule="auto"/>
              <w:ind w:left="2260" w:right="0" w:firstLine="0"/>
              <w:jc w:val="left"/>
            </w:pPr>
            <w:r>
              <w:rPr>
                <w:b/>
                <w:bCs/>
                <w:color w:val="000000"/>
                <w:spacing w:val="0"/>
                <w:w w:val="100"/>
                <w:position w:val="0"/>
                <w:sz w:val="24"/>
                <w:szCs w:val="24"/>
                <w:shd w:val="clear" w:color="auto" w:fill="auto"/>
                <w:lang w:val="cs-CZ" w:eastAsia="cs-CZ" w:bidi="cs-CZ"/>
              </w:rPr>
              <w:t>Smluvní strany</w:t>
            </w:r>
          </w:p>
        </w:tc>
      </w:tr>
      <w:tr>
        <w:trPr>
          <w:trHeight w:val="336"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Objednatel:</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z w:val="24"/>
                <w:szCs w:val="24"/>
                <w:shd w:val="clear" w:color="auto" w:fill="auto"/>
                <w:lang w:val="cs-CZ" w:eastAsia="cs-CZ" w:bidi="cs-CZ"/>
              </w:rPr>
              <w:t>Krajská správa a údržba silnic Vysočiny, příspěvková organizace</w:t>
            </w:r>
          </w:p>
        </w:tc>
      </w:tr>
      <w:tr>
        <w:trPr>
          <w:trHeight w:val="254"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Kosovská 1122/16, 586 01 Jihlava</w:t>
            </w:r>
          </w:p>
        </w:tc>
      </w:tr>
      <w:tr>
        <w:trPr>
          <w:trHeight w:val="298"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z w:val="24"/>
                <w:szCs w:val="24"/>
                <w:shd w:val="clear" w:color="auto" w:fill="auto"/>
                <w:lang w:val="cs-CZ" w:eastAsia="cs-CZ" w:bidi="cs-CZ"/>
              </w:rPr>
              <w:t>Ing. Radovanem Necidem ředitelem organizace</w:t>
            </w:r>
          </w:p>
        </w:tc>
      </w:tr>
    </w:tbl>
    <w:p>
      <w:pPr>
        <w:widowControl w:val="0"/>
        <w:spacing w:line="1" w:lineRule="exact"/>
      </w:pPr>
    </w:p>
    <w:tbl>
      <w:tblPr>
        <w:tblOverlap w:val="never"/>
        <w:jc w:val="left"/>
        <w:tblLayout w:type="fixed"/>
      </w:tblPr>
      <w:tblGrid>
        <w:gridCol w:w="1987"/>
        <w:gridCol w:w="8146"/>
      </w:tblGrid>
      <w:tr>
        <w:trPr>
          <w:trHeight w:val="317" w:hRule="exact"/>
        </w:trPr>
        <w:tc>
          <w:tcPr>
            <w:tcBorders/>
            <w:shd w:val="clear" w:color="auto" w:fill="FFFFFF"/>
            <w:vAlign w:val="bottom"/>
          </w:tcPr>
          <w:p>
            <w:pPr>
              <w:pStyle w:val="Style11"/>
              <w:keepNext w:val="0"/>
              <w:keepLines w:val="0"/>
              <w:framePr w:w="10133" w:h="317" w:vSpace="523" w:wrap="notBeside" w:vAnchor="text" w:hAnchor="text" w:y="524"/>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Bankovní spojení:</w:t>
            </w:r>
          </w:p>
        </w:tc>
        <w:tc>
          <w:tcPr>
            <w:tcBorders/>
            <w:shd w:val="clear" w:color="auto" w:fill="FFFFFF"/>
            <w:vAlign w:val="bottom"/>
          </w:tcPr>
          <w:p>
            <w:pPr>
              <w:pStyle w:val="Style11"/>
              <w:keepNext w:val="0"/>
              <w:keepLines w:val="0"/>
              <w:framePr w:w="10133" w:h="317" w:vSpace="523" w:wrap="notBeside" w:vAnchor="text" w:hAnchor="text" w:y="524"/>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Komerční banka, a.s.</w:t>
            </w:r>
          </w:p>
        </w:tc>
      </w:tr>
    </w:tbl>
    <w:p>
      <w:pPr>
        <w:pStyle w:val="Style13"/>
        <w:keepNext w:val="0"/>
        <w:keepLines w:val="0"/>
        <w:framePr w:w="5299" w:h="586" w:hSpace="4834" w:wrap="notBeside" w:vAnchor="text" w:hAnchor="text" w:x="25" w:y="1"/>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cs-CZ" w:eastAsia="cs-CZ" w:bidi="cs-CZ"/>
        </w:rPr>
        <w:t>Osoby pověřené jednat jménem objednatele ve věcech technických:</w:t>
      </w:r>
    </w:p>
    <w:p>
      <w:pPr>
        <w:widowControl w:val="0"/>
        <w:spacing w:after="99" w:line="1" w:lineRule="exact"/>
      </w:pPr>
    </w:p>
    <w:p>
      <w:pPr>
        <w:widowControl w:val="0"/>
        <w:spacing w:after="99" w:line="1" w:lineRule="exact"/>
      </w:pPr>
    </w:p>
    <w:tbl>
      <w:tblPr>
        <w:tblOverlap w:val="never"/>
        <w:jc w:val="center"/>
        <w:tblLayout w:type="fixed"/>
      </w:tblPr>
      <w:tblGrid>
        <w:gridCol w:w="1987"/>
        <w:gridCol w:w="8146"/>
      </w:tblGrid>
      <w:tr>
        <w:trPr>
          <w:trHeight w:val="250"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Dodavatel:</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z w:val="24"/>
                <w:szCs w:val="24"/>
                <w:shd w:val="clear" w:color="auto" w:fill="auto"/>
                <w:lang w:val="cs-CZ" w:eastAsia="cs-CZ" w:bidi="cs-CZ"/>
              </w:rPr>
              <w:t>CS road construction s.r.o.</w:t>
            </w:r>
          </w:p>
        </w:tc>
      </w:tr>
      <w:tr>
        <w:trPr>
          <w:trHeight w:val="293"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Bělehradská 858/23, Vinohrady (Praha 2), 120 00 Praha</w:t>
            </w:r>
          </w:p>
        </w:tc>
      </w:tr>
      <w:tr>
        <w:trPr>
          <w:trHeight w:val="283"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z w:val="24"/>
                <w:szCs w:val="24"/>
                <w:shd w:val="clear" w:color="auto" w:fill="auto"/>
                <w:lang w:val="cs-CZ" w:eastAsia="cs-CZ" w:bidi="cs-CZ"/>
              </w:rPr>
              <w:t>Daniel Balla, DiS.</w:t>
            </w:r>
          </w:p>
        </w:tc>
      </w:tr>
    </w:tbl>
    <w:p>
      <w:pPr>
        <w:pStyle w:val="Style19"/>
        <w:keepNext/>
        <w:keepLines/>
        <w:widowControl w:val="0"/>
        <w:shd w:val="clear" w:color="auto" w:fill="auto"/>
        <w:bidi w:val="0"/>
        <w:spacing w:before="0" w:after="0" w:line="240" w:lineRule="auto"/>
        <w:ind w:left="0" w:right="0" w:firstLine="0"/>
        <w:jc w:val="center"/>
      </w:pPr>
      <w:bookmarkStart w:id="4" w:name="bookmark4"/>
      <w:bookmarkStart w:id="5" w:name="bookmark5"/>
      <w:r>
        <w:rPr>
          <w:spacing w:val="0"/>
          <w:w w:val="100"/>
          <w:position w:val="0"/>
          <w:shd w:val="clear" w:color="auto" w:fill="auto"/>
          <w:lang w:val="cs-CZ" w:eastAsia="cs-CZ" w:bidi="cs-CZ"/>
        </w:rPr>
        <w:t>Ssfdi</w:t>
      </w:r>
      <w:bookmarkEnd w:id="4"/>
      <w:bookmarkEnd w:id="5"/>
    </w:p>
    <w:p>
      <w:pPr>
        <w:pStyle w:val="Style21"/>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cs-CZ" w:eastAsia="cs-CZ" w:bidi="cs-CZ"/>
        </w:rPr>
        <w:t>STÁTNÍ FOND DOPRAVNÍ</w:t>
      </w:r>
    </w:p>
    <w:p>
      <w:pPr>
        <w:pStyle w:val="Style21"/>
        <w:keepNext w:val="0"/>
        <w:keepLines w:val="0"/>
        <w:widowControl w:val="0"/>
        <w:shd w:val="clear" w:color="auto" w:fill="auto"/>
        <w:bidi w:val="0"/>
        <w:spacing w:before="0" w:after="320" w:line="240" w:lineRule="auto"/>
        <w:ind w:left="0" w:right="0" w:firstLine="0"/>
        <w:jc w:val="center"/>
      </w:pPr>
      <w:r>
        <w:rPr>
          <w:spacing w:val="0"/>
          <w:w w:val="100"/>
          <w:position w:val="0"/>
          <w:shd w:val="clear" w:color="auto" w:fill="auto"/>
          <w:lang w:val="cs-CZ" w:eastAsia="cs-CZ" w:bidi="cs-CZ"/>
        </w:rPr>
        <w:t>INFRASTRUKTURY</w:t>
      </w:r>
    </w:p>
    <w:p>
      <w:pPr>
        <w:pStyle w:val="Style15"/>
        <w:keepNext w:val="0"/>
        <w:keepLines w:val="0"/>
        <w:widowControl w:val="0"/>
        <w:shd w:val="clear" w:color="auto" w:fill="auto"/>
        <w:bidi w:val="0"/>
        <w:spacing w:before="0" w:after="540" w:line="240" w:lineRule="auto"/>
        <w:ind w:left="0" w:right="0" w:firstLine="0"/>
        <w:jc w:val="both"/>
      </w:pPr>
      <w:r>
        <w:rPr>
          <w:color w:val="000000"/>
          <w:spacing w:val="0"/>
          <w:w w:val="100"/>
          <w:position w:val="0"/>
          <w:sz w:val="24"/>
          <w:szCs w:val="24"/>
          <w:shd w:val="clear" w:color="auto" w:fill="auto"/>
          <w:lang w:val="cs-CZ" w:eastAsia="cs-CZ" w:bidi="cs-CZ"/>
        </w:rPr>
        <w:t xml:space="preserve">uzavírají níže uvedeného dne, měsíce a roku tuto </w:t>
      </w:r>
      <w:r>
        <w:rPr>
          <w:b/>
          <w:bCs/>
          <w:color w:val="000000"/>
          <w:spacing w:val="0"/>
          <w:w w:val="100"/>
          <w:position w:val="0"/>
          <w:sz w:val="24"/>
          <w:szCs w:val="24"/>
          <w:shd w:val="clear" w:color="auto" w:fill="auto"/>
          <w:lang w:val="cs-CZ" w:eastAsia="cs-CZ" w:bidi="cs-CZ"/>
        </w:rPr>
        <w:t xml:space="preserve">smlouvu, </w:t>
      </w:r>
      <w:r>
        <w:rPr>
          <w:color w:val="000000"/>
          <w:spacing w:val="0"/>
          <w:w w:val="100"/>
          <w:position w:val="0"/>
          <w:sz w:val="24"/>
          <w:szCs w:val="24"/>
          <w:shd w:val="clear" w:color="auto" w:fill="auto"/>
          <w:lang w:val="cs-CZ" w:eastAsia="cs-CZ" w:bidi="cs-CZ"/>
        </w:rPr>
        <w:t>s tím, že TDS je oprávněn provádět činnosti technického dozoru stavebníka dle zákona č. 360/1992 Sb., o výkonu povolání autorizovaných architektů a výkonu povolání autorizovaných inženýrů a techniků činných ve výstavbě, ve znění pozdějších předpisů a rovněž v souladu s vymezeným předmětem této smlouvy. Objednatel se zavazuje k jejich převzetí a k zaplacení sjednané odměny za jejich provedení a obě strany se zavazují plnit podmínky obsažené v následujících ustanoveních této smlouvy.</w:t>
      </w:r>
    </w:p>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2</w:t>
      </w:r>
    </w:p>
    <w:p>
      <w:pPr>
        <w:pStyle w:val="Style15"/>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Předmět smlouvy</w:t>
      </w:r>
    </w:p>
    <w:p>
      <w:pPr>
        <w:pStyle w:val="Style15"/>
        <w:keepNext w:val="0"/>
        <w:keepLines w:val="0"/>
        <w:widowControl w:val="0"/>
        <w:numPr>
          <w:ilvl w:val="0"/>
          <w:numId w:val="3"/>
        </w:numPr>
        <w:shd w:val="clear" w:color="auto" w:fill="auto"/>
        <w:tabs>
          <w:tab w:pos="709" w:val="left"/>
        </w:tabs>
        <w:bidi w:val="0"/>
        <w:spacing w:before="0" w:after="240" w:line="240" w:lineRule="auto"/>
        <w:ind w:left="0" w:right="0" w:firstLine="0"/>
        <w:jc w:val="both"/>
      </w:pPr>
      <w:r>
        <w:rPr>
          <w:color w:val="000000"/>
          <w:spacing w:val="0"/>
          <w:w w:val="100"/>
          <w:position w:val="0"/>
          <w:sz w:val="24"/>
          <w:szCs w:val="24"/>
          <w:shd w:val="clear" w:color="auto" w:fill="auto"/>
          <w:lang w:val="cs-CZ" w:eastAsia="cs-CZ" w:bidi="cs-CZ"/>
        </w:rPr>
        <w:t>TDS se zavazuje pro objednatele vykonávat funkci technického dozoru stavebníka na staveništi po celou dobu přípravy a realizace stavby</w:t>
      </w:r>
    </w:p>
    <w:p>
      <w:pPr>
        <w:pStyle w:val="Style15"/>
        <w:keepNext w:val="0"/>
        <w:keepLines w:val="0"/>
        <w:widowControl w:val="0"/>
        <w:shd w:val="clear" w:color="auto" w:fill="auto"/>
        <w:tabs>
          <w:tab w:pos="1397" w:val="left"/>
        </w:tabs>
        <w:bidi w:val="0"/>
        <w:spacing w:before="0" w:line="223" w:lineRule="auto"/>
        <w:ind w:left="0" w:right="0" w:firstLine="0"/>
        <w:jc w:val="both"/>
      </w:pPr>
      <w:r>
        <w:rPr>
          <w:rFonts w:ascii="Calibri" w:eastAsia="Calibri" w:hAnsi="Calibri" w:cs="Calibri"/>
          <w:color w:val="000000"/>
          <w:spacing w:val="0"/>
          <w:w w:val="100"/>
          <w:position w:val="0"/>
          <w:sz w:val="24"/>
          <w:szCs w:val="24"/>
          <w:shd w:val="clear" w:color="auto" w:fill="auto"/>
          <w:lang w:val="cs-CZ" w:eastAsia="cs-CZ" w:bidi="cs-CZ"/>
        </w:rPr>
        <w:t>na akci:</w:t>
        <w:tab/>
      </w:r>
      <w:r>
        <w:rPr>
          <w:b/>
          <w:bCs/>
          <w:color w:val="000000"/>
          <w:spacing w:val="0"/>
          <w:w w:val="100"/>
          <w:position w:val="0"/>
          <w:sz w:val="24"/>
          <w:szCs w:val="24"/>
          <w:shd w:val="clear" w:color="auto" w:fill="auto"/>
          <w:lang w:val="cs-CZ" w:eastAsia="cs-CZ" w:bidi="cs-CZ"/>
        </w:rPr>
        <w:t>III/01945 Rantířov, opěrná zeď u mostu ev.č. 01945-3 v km 4,624 - 4,642</w:t>
      </w:r>
    </w:p>
    <w:p>
      <w:pPr>
        <w:pStyle w:val="Style15"/>
        <w:keepNext w:val="0"/>
        <w:keepLines w:val="0"/>
        <w:widowControl w:val="0"/>
        <w:shd w:val="clear" w:color="auto" w:fill="auto"/>
        <w:bidi w:val="0"/>
        <w:spacing w:before="0" w:after="240" w:line="240" w:lineRule="auto"/>
        <w:ind w:left="0" w:right="0" w:firstLine="0"/>
        <w:jc w:val="both"/>
      </w:pPr>
      <w:r>
        <w:rPr>
          <w:color w:val="000000"/>
          <w:spacing w:val="0"/>
          <w:w w:val="100"/>
          <w:position w:val="0"/>
          <w:sz w:val="24"/>
          <w:szCs w:val="24"/>
          <w:shd w:val="clear" w:color="auto" w:fill="auto"/>
          <w:lang w:val="cs-CZ" w:eastAsia="cs-CZ" w:bidi="cs-CZ"/>
        </w:rPr>
        <w:t xml:space="preserve">a to v souladu s nabídkou dodavatele podanou v rámci poptávkového řízení ze dne </w:t>
      </w:r>
      <w:r>
        <w:rPr>
          <w:b/>
          <w:bCs/>
          <w:color w:val="000000"/>
          <w:spacing w:val="0"/>
          <w:w w:val="100"/>
          <w:position w:val="0"/>
          <w:sz w:val="24"/>
          <w:szCs w:val="24"/>
          <w:shd w:val="clear" w:color="auto" w:fill="auto"/>
          <w:lang w:val="cs-CZ" w:eastAsia="cs-CZ" w:bidi="cs-CZ"/>
        </w:rPr>
        <w:t xml:space="preserve">28.1.2022 </w:t>
      </w:r>
      <w:r>
        <w:rPr>
          <w:color w:val="000000"/>
          <w:spacing w:val="0"/>
          <w:w w:val="100"/>
          <w:position w:val="0"/>
          <w:sz w:val="24"/>
          <w:szCs w:val="24"/>
          <w:shd w:val="clear" w:color="auto" w:fill="auto"/>
          <w:lang w:val="cs-CZ" w:eastAsia="cs-CZ" w:bidi="cs-CZ"/>
        </w:rPr>
        <w:t xml:space="preserve">a v podrobnostech a za dodržení podmínek uvedených v </w:t>
      </w:r>
      <w:r>
        <w:rPr>
          <w:b/>
          <w:bCs/>
          <w:color w:val="000000"/>
          <w:spacing w:val="0"/>
          <w:w w:val="100"/>
          <w:position w:val="0"/>
          <w:sz w:val="24"/>
          <w:szCs w:val="24"/>
          <w:shd w:val="clear" w:color="auto" w:fill="auto"/>
          <w:lang w:val="cs-CZ" w:eastAsia="cs-CZ" w:bidi="cs-CZ"/>
        </w:rPr>
        <w:t xml:space="preserve">přílohách </w:t>
      </w:r>
      <w:r>
        <w:rPr>
          <w:color w:val="000000"/>
          <w:spacing w:val="0"/>
          <w:w w:val="100"/>
          <w:position w:val="0"/>
          <w:sz w:val="24"/>
          <w:szCs w:val="24"/>
          <w:shd w:val="clear" w:color="auto" w:fill="auto"/>
          <w:lang w:val="cs-CZ" w:eastAsia="cs-CZ" w:bidi="cs-CZ"/>
        </w:rPr>
        <w:t>této smlouvy.</w:t>
      </w:r>
    </w:p>
    <w:p>
      <w:pPr>
        <w:pStyle w:val="Style15"/>
        <w:keepNext w:val="0"/>
        <w:keepLines w:val="0"/>
        <w:widowControl w:val="0"/>
        <w:numPr>
          <w:ilvl w:val="0"/>
          <w:numId w:val="3"/>
        </w:numPr>
        <w:shd w:val="clear" w:color="auto" w:fill="auto"/>
        <w:tabs>
          <w:tab w:pos="709"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TDS prohlašuje, že splňuje požadavky na odbornou způsobilost pro výkon technického dozoru stavebníka na staveništi.</w:t>
      </w:r>
    </w:p>
    <w:p>
      <w:pPr>
        <w:pStyle w:val="Style15"/>
        <w:keepNext w:val="0"/>
        <w:keepLines w:val="0"/>
        <w:widowControl w:val="0"/>
        <w:numPr>
          <w:ilvl w:val="0"/>
          <w:numId w:val="3"/>
        </w:numPr>
        <w:shd w:val="clear" w:color="auto" w:fill="auto"/>
        <w:tabs>
          <w:tab w:pos="709" w:val="left"/>
        </w:tabs>
        <w:bidi w:val="0"/>
        <w:spacing w:before="0" w:after="540" w:line="240" w:lineRule="auto"/>
        <w:ind w:left="0" w:right="0" w:firstLine="0"/>
        <w:jc w:val="both"/>
      </w:pPr>
      <w:r>
        <w:rPr>
          <w:color w:val="000000"/>
          <w:spacing w:val="0"/>
          <w:w w:val="100"/>
          <w:position w:val="0"/>
          <w:sz w:val="24"/>
          <w:szCs w:val="24"/>
          <w:shd w:val="clear" w:color="auto" w:fill="auto"/>
          <w:lang w:val="cs-CZ" w:eastAsia="cs-CZ" w:bidi="cs-CZ"/>
        </w:rPr>
        <w:t>TDS se podrobně seznámil s předmětem smlouvy, jsou mu známy všechny okolnosti potřebné pro zajištění výkonu technického dozoru stavebníka v požadovaném rozsahu a zabezpečí ho na svoji odpovědnost.</w:t>
      </w:r>
    </w:p>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3</w:t>
      </w:r>
    </w:p>
    <w:p>
      <w:pPr>
        <w:pStyle w:val="Style15"/>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Rozsah a obsah předmětu plnění</w:t>
      </w:r>
    </w:p>
    <w:p>
      <w:pPr>
        <w:pStyle w:val="Style15"/>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Předmětem plnění jsou veškeré práce a činnosti v členění dle níže uvedených fází stavby.</w:t>
      </w:r>
    </w:p>
    <w:p>
      <w:pPr>
        <w:pStyle w:val="Style15"/>
        <w:keepNext w:val="0"/>
        <w:keepLines w:val="0"/>
        <w:widowControl w:val="0"/>
        <w:numPr>
          <w:ilvl w:val="1"/>
          <w:numId w:val="3"/>
        </w:numPr>
        <w:shd w:val="clear" w:color="auto" w:fill="auto"/>
        <w:tabs>
          <w:tab w:pos="709" w:val="left"/>
        </w:tabs>
        <w:bidi w:val="0"/>
        <w:spacing w:before="0" w:line="240" w:lineRule="auto"/>
        <w:ind w:left="0" w:right="0" w:firstLine="0"/>
        <w:jc w:val="both"/>
      </w:pPr>
      <w:r>
        <w:rPr>
          <w:b/>
          <w:bCs/>
          <w:color w:val="000000"/>
          <w:spacing w:val="0"/>
          <w:w w:val="100"/>
          <w:position w:val="0"/>
          <w:sz w:val="24"/>
          <w:szCs w:val="24"/>
          <w:shd w:val="clear" w:color="auto" w:fill="auto"/>
          <w:lang w:val="cs-CZ" w:eastAsia="cs-CZ" w:bidi="cs-CZ"/>
        </w:rPr>
        <w:t>Přípravné činnosti před zahájením stavby spočívající zejména v činnostech:</w:t>
      </w:r>
    </w:p>
    <w:p>
      <w:pPr>
        <w:pStyle w:val="Style15"/>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seznámení se s problematikou stavby včetně znalosti projektové dokumentace dle DSP a PDPS a soupisu prací</w:t>
      </w:r>
    </w:p>
    <w:p>
      <w:pPr>
        <w:pStyle w:val="Style15"/>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získání podrobné znalosti obsahu Smlouvy o dílo včetně jejích příloh, rozpočtu a OP</w:t>
      </w:r>
    </w:p>
    <w:p>
      <w:pPr>
        <w:pStyle w:val="Style15"/>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prostudování stanovisek a rozhodnutí příslušných veřejnoprávních orgánů vztahujících se ke stavbě, např. podmínky stavebních a jiných povolení (příp. souhlasy stavebního úřadu, vodohospodářská povolení, aj.) a další podmínky a příslušné doklady vztahující se k realizaci stavby</w:t>
      </w:r>
    </w:p>
    <w:p>
      <w:pPr>
        <w:pStyle w:val="Style15"/>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prohlídka staveniště před zahájením vlastních stavebních prací</w:t>
      </w:r>
    </w:p>
    <w:p>
      <w:pPr>
        <w:pStyle w:val="Style15"/>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zabezpečení a organizace protokolárního předání staveniště zhotoviteli včetně zápisu o předání a převzetí staveniště včetně předání dokladů a převzetí harmonogramu a technologických postupů stavebníka</w:t>
      </w:r>
    </w:p>
    <w:p>
      <w:pPr>
        <w:pStyle w:val="Style19"/>
        <w:keepNext/>
        <w:keepLines/>
        <w:widowControl w:val="0"/>
        <w:shd w:val="clear" w:color="auto" w:fill="auto"/>
        <w:bidi w:val="0"/>
        <w:spacing w:before="0" w:after="0" w:line="240" w:lineRule="auto"/>
        <w:ind w:left="0" w:right="0" w:firstLine="0"/>
        <w:jc w:val="center"/>
      </w:pPr>
      <w:bookmarkStart w:id="6" w:name="bookmark6"/>
      <w:bookmarkStart w:id="7" w:name="bookmark7"/>
      <w:r>
        <w:rPr>
          <w:spacing w:val="0"/>
          <w:w w:val="100"/>
          <w:position w:val="0"/>
          <w:shd w:val="clear" w:color="auto" w:fill="auto"/>
          <w:lang w:val="cs-CZ" w:eastAsia="cs-CZ" w:bidi="cs-CZ"/>
        </w:rPr>
        <w:t>©sfdi</w:t>
      </w:r>
      <w:bookmarkEnd w:id="6"/>
      <w:bookmarkEnd w:id="7"/>
    </w:p>
    <w:p>
      <w:pPr>
        <w:pStyle w:val="Style21"/>
        <w:keepNext w:val="0"/>
        <w:keepLines w:val="0"/>
        <w:widowControl w:val="0"/>
        <w:shd w:val="clear" w:color="auto" w:fill="auto"/>
        <w:bidi w:val="0"/>
        <w:spacing w:before="0" w:after="40" w:line="240" w:lineRule="auto"/>
        <w:ind w:right="0"/>
        <w:jc w:val="both"/>
      </w:pPr>
      <w:r>
        <w:rPr>
          <w:spacing w:val="0"/>
          <w:w w:val="100"/>
          <w:position w:val="0"/>
          <w:shd w:val="clear" w:color="auto" w:fill="auto"/>
          <w:lang w:val="cs-CZ" w:eastAsia="cs-CZ" w:bidi="cs-CZ"/>
        </w:rPr>
        <w:t>STÁTNÍ FOND DOPRAVNÍ INFRASTRUKTURY</w:t>
      </w:r>
    </w:p>
    <w:p>
      <w:pPr>
        <w:pStyle w:val="Style27"/>
        <w:keepNext/>
        <w:keepLines/>
        <w:widowControl w:val="0"/>
        <w:numPr>
          <w:ilvl w:val="1"/>
          <w:numId w:val="3"/>
        </w:numPr>
        <w:shd w:val="clear" w:color="auto" w:fill="auto"/>
        <w:tabs>
          <w:tab w:pos="710" w:val="left"/>
        </w:tabs>
        <w:bidi w:val="0"/>
        <w:spacing w:before="0" w:after="120" w:line="240" w:lineRule="auto"/>
        <w:ind w:left="0" w:right="0" w:firstLine="0"/>
        <w:jc w:val="left"/>
      </w:pPr>
      <w:bookmarkStart w:id="8" w:name="bookmark8"/>
      <w:bookmarkStart w:id="9" w:name="bookmark9"/>
      <w:r>
        <w:rPr>
          <w:color w:val="000000"/>
          <w:spacing w:val="0"/>
          <w:w w:val="100"/>
          <w:position w:val="0"/>
          <w:sz w:val="24"/>
          <w:szCs w:val="24"/>
          <w:shd w:val="clear" w:color="auto" w:fill="auto"/>
          <w:lang w:val="cs-CZ" w:eastAsia="cs-CZ" w:bidi="cs-CZ"/>
        </w:rPr>
        <w:t>Práce spojené s prováděním stavby spočívající zejména v činnostech:</w:t>
      </w:r>
      <w:bookmarkEnd w:id="8"/>
      <w:bookmarkEnd w:id="9"/>
    </w:p>
    <w:p>
      <w:pPr>
        <w:pStyle w:val="Style15"/>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 xml:space="preserve">fyzická přítomnost a výkon technického dozoru stavebníka na staveništi a to </w:t>
      </w:r>
      <w:r>
        <w:rPr>
          <w:b/>
          <w:bCs/>
          <w:color w:val="000000"/>
          <w:spacing w:val="0"/>
          <w:w w:val="100"/>
          <w:position w:val="0"/>
          <w:sz w:val="24"/>
          <w:szCs w:val="24"/>
          <w:shd w:val="clear" w:color="auto" w:fill="auto"/>
          <w:lang w:val="cs-CZ" w:eastAsia="cs-CZ" w:bidi="cs-CZ"/>
        </w:rPr>
        <w:t>minimálně ve 2 dnech v průběhu kalendářního týdne</w:t>
      </w:r>
      <w:r>
        <w:rPr>
          <w:color w:val="000000"/>
          <w:spacing w:val="0"/>
          <w:w w:val="100"/>
          <w:position w:val="0"/>
          <w:sz w:val="24"/>
          <w:szCs w:val="24"/>
          <w:shd w:val="clear" w:color="auto" w:fill="auto"/>
          <w:lang w:val="cs-CZ" w:eastAsia="cs-CZ" w:bidi="cs-CZ"/>
        </w:rPr>
        <w:t>, pokud nebude se zadavatelem dohodnuto jinak</w:t>
      </w:r>
    </w:p>
    <w:p>
      <w:pPr>
        <w:pStyle w:val="Style15"/>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nepřetržitá fyzická přítomnost a výkon technického dozoru stavebníka na staveništi po dobu pokládky asfaltových vrstev</w:t>
      </w:r>
    </w:p>
    <w:p>
      <w:pPr>
        <w:pStyle w:val="Style15"/>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soustavná kontrola dodržování podmínek smlouvy o dílo uzavřené mezi stavebníkem a zhotovitelem</w:t>
      </w:r>
    </w:p>
    <w:p>
      <w:pPr>
        <w:pStyle w:val="Style15"/>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zajištění systematického doplňování dokumentace, podle které se stavba realizuje a kontroly, zda zhotovitel průběžně zpracovává dokumentaci skutečného provedení stavby</w:t>
      </w:r>
    </w:p>
    <w:p>
      <w:pPr>
        <w:pStyle w:val="Style15"/>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projednání dodatků a změn projektu, které nezvyšují náklady, neprodlužují lhůtu výstavby a nezhoršují parametry stavby. Ostatní dodatky a změny budou předkládány s vlastním vyjádřením zadavateli k projednání a následně k uzavření dodatku smlouvy o dílo</w:t>
      </w:r>
    </w:p>
    <w:p>
      <w:pPr>
        <w:pStyle w:val="Style15"/>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svolávání a organizace pravidelných kontrolních dnů v četnosti podle požadavku zadavatele včetně zápisu z kontrolního dne stavby; zápis bude TDS zpracován a odeslán objednateli do 3 pracovních dnů od termínu konání kontrolního dne</w:t>
      </w:r>
    </w:p>
    <w:p>
      <w:pPr>
        <w:pStyle w:val="Style15"/>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kontrola věcné a cenové správnosti a úplnosti oceňovacích podkladů a faktur, jejich soulad s podmínkami smlouvy o dílo a jejich předkládání zadavateli k evidenci či proplacení</w:t>
      </w:r>
    </w:p>
    <w:p>
      <w:pPr>
        <w:pStyle w:val="Style15"/>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kontrola těch částí stavby, které budou v dalším postupu zakryty, nebo se stanou nepřístupnými a účast na zkouškách prováděných v průběhu výstavby s kontrolou správnosti jejich provádění včetně zápisu do stavebního deníku</w:t>
      </w:r>
    </w:p>
    <w:p>
      <w:pPr>
        <w:pStyle w:val="Style15"/>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kontrola dodržování schválených technologických postupů</w:t>
      </w:r>
    </w:p>
    <w:p>
      <w:pPr>
        <w:pStyle w:val="Style15"/>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spolupráce s pracovníky projektanta zabezpečujícími autorský dozor při zajišťování souladu realizovaných dílčích částí stavby s projektem, s koordinátorem BOZP, stavebním dozorem, stavbyvedoucím a s orgány příslušnými v rámci stavebních akcí</w:t>
      </w:r>
    </w:p>
    <w:p>
      <w:pPr>
        <w:pStyle w:val="Style15"/>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sledování v rámci osobní účasti, zda zhotovitel provádí předepsané a dohodnuté zkoušky materiálů, konstrukcí a prací, kontrolování jejich výsledků a vyžadování dokladů, které prokazují kvalitu prováděných prací a dodávek (atesty, protokoly apod.)</w:t>
      </w:r>
    </w:p>
    <w:p>
      <w:pPr>
        <w:pStyle w:val="Style15"/>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sledování dodržování platných legislativních předpisů a závazných ČSN, případně závazných částí ČSN v rámci stavby</w:t>
      </w:r>
    </w:p>
    <w:p>
      <w:pPr>
        <w:pStyle w:val="Style15"/>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sledování vedení stavebního deníku v souladu s podmínkami smlouvy o dílo, provádění zápisů se zhodnocením kvality prací a dodávek, kontrola postupu výstavby s časovým plánem a s požadavky na odstranění zjištěných nedostatků</w:t>
      </w:r>
    </w:p>
    <w:p>
      <w:pPr>
        <w:pStyle w:val="Style15"/>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spolupráce s odpovědnými pracovníky zhotovitele při provádění opatření na odvrácení, nebo omezení škod při ohrožení stavby živelnými událostmi</w:t>
      </w:r>
    </w:p>
    <w:p>
      <w:pPr>
        <w:pStyle w:val="Style15"/>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shromažďování, kontrola a zajištění všech dokladů o provedených předepsaných zkouškách a revizích, evidence všech protokolů a zápisů</w:t>
      </w:r>
    </w:p>
    <w:p>
      <w:pPr>
        <w:pStyle w:val="Style15"/>
        <w:keepNext w:val="0"/>
        <w:keepLines w:val="0"/>
        <w:widowControl w:val="0"/>
        <w:shd w:val="clear" w:color="auto" w:fill="auto"/>
        <w:bidi w:val="0"/>
        <w:spacing w:before="0" w:line="240" w:lineRule="auto"/>
        <w:ind w:left="0" w:right="0" w:firstLine="7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kontrola dodržení časového postupu prací a návrhy na řešení vzniklých prodlev</w:t>
      </w:r>
    </w:p>
    <w:p>
      <w:pPr>
        <w:pStyle w:val="Style15"/>
        <w:keepNext w:val="0"/>
        <w:keepLines w:val="0"/>
        <w:widowControl w:val="0"/>
        <w:shd w:val="clear" w:color="auto" w:fill="auto"/>
        <w:bidi w:val="0"/>
        <w:spacing w:before="0" w:line="240" w:lineRule="auto"/>
        <w:ind w:left="0" w:right="0" w:firstLine="7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příprava podkladů pro odevzdání a převzetí stavby, nebo její části</w:t>
      </w:r>
    </w:p>
    <w:p>
      <w:pPr>
        <w:pStyle w:val="Style19"/>
        <w:keepNext/>
        <w:keepLines/>
        <w:widowControl w:val="0"/>
        <w:shd w:val="clear" w:color="auto" w:fill="auto"/>
        <w:bidi w:val="0"/>
        <w:spacing w:before="0" w:after="0" w:line="240" w:lineRule="auto"/>
        <w:ind w:left="0" w:right="0" w:firstLine="0"/>
        <w:jc w:val="center"/>
      </w:pPr>
      <w:bookmarkStart w:id="10" w:name="bookmark10"/>
      <w:bookmarkStart w:id="11" w:name="bookmark11"/>
      <w:r>
        <w:rPr>
          <w:spacing w:val="0"/>
          <w:w w:val="100"/>
          <w:position w:val="0"/>
          <w:shd w:val="clear" w:color="auto" w:fill="auto"/>
          <w:lang w:val="cs-CZ" w:eastAsia="cs-CZ" w:bidi="cs-CZ"/>
        </w:rPr>
        <w:t>gsfdi</w:t>
      </w:r>
      <w:bookmarkEnd w:id="10"/>
      <w:bookmarkEnd w:id="11"/>
    </w:p>
    <w:p>
      <w:pPr>
        <w:pStyle w:val="Style21"/>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cs-CZ" w:eastAsia="cs-CZ" w:bidi="cs-CZ"/>
        </w:rPr>
        <w:t>STÁTNÍ FOND DOPRAVNÍ</w:t>
      </w:r>
    </w:p>
    <w:p>
      <w:pPr>
        <w:pStyle w:val="Style21"/>
        <w:keepNext w:val="0"/>
        <w:keepLines w:val="0"/>
        <w:widowControl w:val="0"/>
        <w:shd w:val="clear" w:color="auto" w:fill="auto"/>
        <w:bidi w:val="0"/>
        <w:spacing w:before="0" w:after="120" w:line="240" w:lineRule="auto"/>
        <w:ind w:right="0" w:firstLine="0"/>
        <w:jc w:val="both"/>
      </w:pPr>
      <w:r>
        <w:rPr>
          <w:spacing w:val="0"/>
          <w:w w:val="100"/>
          <w:position w:val="0"/>
          <w:shd w:val="clear" w:color="auto" w:fill="auto"/>
          <w:lang w:val="cs-CZ" w:eastAsia="cs-CZ" w:bidi="cs-CZ"/>
        </w:rPr>
        <w:t>INFRASTRUKTURY</w:t>
      </w:r>
    </w:p>
    <w:p>
      <w:pPr>
        <w:pStyle w:val="Style15"/>
        <w:keepNext w:val="0"/>
        <w:keepLines w:val="0"/>
        <w:widowControl w:val="0"/>
        <w:shd w:val="clear" w:color="auto" w:fill="auto"/>
        <w:bidi w:val="0"/>
        <w:spacing w:before="0" w:line="240" w:lineRule="auto"/>
        <w:ind w:left="1140" w:right="0" w:hanging="420"/>
        <w:jc w:val="left"/>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provedení soupisu vad a případných nedodělků a kontrola jejich odstraňování, zápis o předání a převzetí dokončené stavby investorem</w:t>
      </w:r>
    </w:p>
    <w:p>
      <w:pPr>
        <w:pStyle w:val="Style15"/>
        <w:keepNext w:val="0"/>
        <w:keepLines w:val="0"/>
        <w:widowControl w:val="0"/>
        <w:shd w:val="clear" w:color="auto" w:fill="auto"/>
        <w:bidi w:val="0"/>
        <w:spacing w:before="0" w:line="240" w:lineRule="auto"/>
        <w:ind w:left="0" w:right="0" w:firstLine="720"/>
        <w:jc w:val="left"/>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kontrola vyklizení staveniště zhotovitelem</w:t>
      </w:r>
    </w:p>
    <w:p>
      <w:pPr>
        <w:pStyle w:val="Style15"/>
        <w:keepNext w:val="0"/>
        <w:keepLines w:val="0"/>
        <w:widowControl w:val="0"/>
        <w:shd w:val="clear" w:color="auto" w:fill="auto"/>
        <w:bidi w:val="0"/>
        <w:spacing w:before="0" w:line="240" w:lineRule="auto"/>
        <w:ind w:left="0" w:right="0" w:firstLine="720"/>
        <w:jc w:val="left"/>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uplatňování požadavků na zhotovitele vyplývající z předání a převzetí díla</w:t>
      </w:r>
    </w:p>
    <w:p>
      <w:pPr>
        <w:pStyle w:val="Style15"/>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TDS je povinen prokazatelně informovat objednatele o návštěvě na staveništi zápisem ve stavebním deníku a doložením fotodokumentace s elektronickou časovou identifikací</w:t>
      </w:r>
    </w:p>
    <w:p>
      <w:pPr>
        <w:pStyle w:val="Style27"/>
        <w:keepNext/>
        <w:keepLines/>
        <w:widowControl w:val="0"/>
        <w:numPr>
          <w:ilvl w:val="1"/>
          <w:numId w:val="3"/>
        </w:numPr>
        <w:shd w:val="clear" w:color="auto" w:fill="auto"/>
        <w:tabs>
          <w:tab w:pos="604" w:val="left"/>
        </w:tabs>
        <w:bidi w:val="0"/>
        <w:spacing w:before="0" w:after="120" w:line="240" w:lineRule="auto"/>
        <w:ind w:left="0" w:right="0" w:firstLine="0"/>
        <w:jc w:val="left"/>
      </w:pPr>
      <w:bookmarkStart w:id="12" w:name="bookmark12"/>
      <w:bookmarkStart w:id="13" w:name="bookmark13"/>
      <w:r>
        <w:rPr>
          <w:color w:val="000000"/>
          <w:spacing w:val="0"/>
          <w:w w:val="100"/>
          <w:position w:val="0"/>
          <w:sz w:val="24"/>
          <w:szCs w:val="24"/>
          <w:shd w:val="clear" w:color="auto" w:fill="auto"/>
          <w:lang w:val="cs-CZ" w:eastAsia="cs-CZ" w:bidi="cs-CZ"/>
        </w:rPr>
        <w:t>Práce po dokončení stavby spočívající zejména v činnostech:</w:t>
      </w:r>
      <w:bookmarkEnd w:id="12"/>
      <w:bookmarkEnd w:id="13"/>
    </w:p>
    <w:p>
      <w:pPr>
        <w:pStyle w:val="Style15"/>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opatření závazných stanovisek dotčených orgánů k užívání stavby vyžadovaná zvláštními právními předpisy pro vydání kolaudačního souhlasu (příprava podkladů pro žádost o kolaudační řízení), případně zajištění oznámení o předčasném užívání stavby</w:t>
      </w:r>
    </w:p>
    <w:p>
      <w:pPr>
        <w:pStyle w:val="Style15"/>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účast na kolaudačním řízení, účast na závěrečné kontrolní prohlídce stavby stavebním úřadem, obstarání vydání kolaudačního souhlasu, případně oznámení o předčasném užívání stavby</w:t>
      </w:r>
    </w:p>
    <w:p>
      <w:pPr>
        <w:pStyle w:val="Style15"/>
        <w:keepNext w:val="0"/>
        <w:keepLines w:val="0"/>
        <w:widowControl w:val="0"/>
        <w:shd w:val="clear" w:color="auto" w:fill="auto"/>
        <w:bidi w:val="0"/>
        <w:spacing w:before="0" w:after="38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zpracování podkladů pro závěrečné vyúčtování stavby po odstranění event. kolaudačních závad.</w:t>
      </w:r>
    </w:p>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4</w:t>
      </w:r>
    </w:p>
    <w:p>
      <w:pPr>
        <w:pStyle w:val="Style27"/>
        <w:keepNext/>
        <w:keepLines/>
        <w:widowControl w:val="0"/>
        <w:shd w:val="clear" w:color="auto" w:fill="auto"/>
        <w:bidi w:val="0"/>
        <w:spacing w:before="0" w:after="120" w:line="240" w:lineRule="auto"/>
        <w:ind w:left="0" w:right="0" w:firstLine="0"/>
        <w:jc w:val="center"/>
      </w:pPr>
      <w:bookmarkStart w:id="14" w:name="bookmark14"/>
      <w:bookmarkStart w:id="15" w:name="bookmark15"/>
      <w:r>
        <w:rPr>
          <w:color w:val="000000"/>
          <w:spacing w:val="0"/>
          <w:w w:val="100"/>
          <w:position w:val="0"/>
          <w:sz w:val="24"/>
          <w:szCs w:val="24"/>
          <w:shd w:val="clear" w:color="auto" w:fill="auto"/>
          <w:lang w:val="cs-CZ" w:eastAsia="cs-CZ" w:bidi="cs-CZ"/>
        </w:rPr>
        <w:t>Čas plnění</w:t>
      </w:r>
      <w:bookmarkEnd w:id="14"/>
      <w:bookmarkEnd w:id="15"/>
    </w:p>
    <w:p>
      <w:pPr>
        <w:pStyle w:val="Style15"/>
        <w:keepNext w:val="0"/>
        <w:keepLines w:val="0"/>
        <w:widowControl w:val="0"/>
        <w:numPr>
          <w:ilvl w:val="0"/>
          <w:numId w:val="5"/>
        </w:numPr>
        <w:shd w:val="clear" w:color="auto" w:fill="auto"/>
        <w:tabs>
          <w:tab w:pos="604"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TDS zahájí svoji činnost dnem prvního zápisu ve stavebním deníku.</w:t>
      </w:r>
    </w:p>
    <w:p>
      <w:pPr>
        <w:pStyle w:val="Style15"/>
        <w:keepNext w:val="0"/>
        <w:keepLines w:val="0"/>
        <w:widowControl w:val="0"/>
        <w:numPr>
          <w:ilvl w:val="0"/>
          <w:numId w:val="5"/>
        </w:numPr>
        <w:shd w:val="clear" w:color="auto" w:fill="auto"/>
        <w:tabs>
          <w:tab w:pos="604" w:val="left"/>
        </w:tabs>
        <w:bidi w:val="0"/>
        <w:spacing w:before="0" w:after="380" w:line="240" w:lineRule="auto"/>
        <w:ind w:left="0" w:right="0" w:firstLine="0"/>
        <w:jc w:val="left"/>
      </w:pPr>
      <w:r>
        <w:rPr>
          <w:color w:val="000000"/>
          <w:spacing w:val="0"/>
          <w:w w:val="100"/>
          <w:position w:val="0"/>
          <w:sz w:val="24"/>
          <w:szCs w:val="24"/>
          <w:shd w:val="clear" w:color="auto" w:fill="auto"/>
          <w:lang w:val="cs-CZ" w:eastAsia="cs-CZ" w:bidi="cs-CZ"/>
        </w:rPr>
        <w:t>TDS ukončí činnost předáním a převzetím dokončené stavby mezi zhotovitelem a objednatelem na základě předávacího protokolu.</w:t>
      </w:r>
    </w:p>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5</w:t>
      </w:r>
    </w:p>
    <w:p>
      <w:pPr>
        <w:pStyle w:val="Style27"/>
        <w:keepNext/>
        <w:keepLines/>
        <w:widowControl w:val="0"/>
        <w:shd w:val="clear" w:color="auto" w:fill="auto"/>
        <w:bidi w:val="0"/>
        <w:spacing w:before="0" w:after="120" w:line="240" w:lineRule="auto"/>
        <w:ind w:left="0" w:right="0" w:firstLine="0"/>
        <w:jc w:val="center"/>
      </w:pPr>
      <w:bookmarkStart w:id="16" w:name="bookmark16"/>
      <w:bookmarkStart w:id="17" w:name="bookmark17"/>
      <w:r>
        <w:rPr>
          <w:color w:val="000000"/>
          <w:spacing w:val="0"/>
          <w:w w:val="100"/>
          <w:position w:val="0"/>
          <w:sz w:val="24"/>
          <w:szCs w:val="24"/>
          <w:shd w:val="clear" w:color="auto" w:fill="auto"/>
          <w:lang w:val="cs-CZ" w:eastAsia="cs-CZ" w:bidi="cs-CZ"/>
        </w:rPr>
        <w:t>Odměna TDS, platební podmínky</w:t>
      </w:r>
      <w:bookmarkEnd w:id="16"/>
      <w:bookmarkEnd w:id="17"/>
    </w:p>
    <w:p>
      <w:pPr>
        <w:pStyle w:val="Style15"/>
        <w:keepNext w:val="0"/>
        <w:keepLines w:val="0"/>
        <w:widowControl w:val="0"/>
        <w:numPr>
          <w:ilvl w:val="0"/>
          <w:numId w:val="7"/>
        </w:numPr>
        <w:shd w:val="clear" w:color="auto" w:fill="auto"/>
        <w:tabs>
          <w:tab w:pos="604" w:val="left"/>
        </w:tabs>
        <w:bidi w:val="0"/>
        <w:spacing w:before="0" w:after="380" w:line="240" w:lineRule="auto"/>
        <w:ind w:left="0" w:right="0" w:firstLine="0"/>
        <w:jc w:val="left"/>
      </w:pPr>
      <w:r>
        <w:rPr>
          <w:color w:val="000000"/>
          <w:spacing w:val="0"/>
          <w:w w:val="100"/>
          <w:position w:val="0"/>
          <w:sz w:val="24"/>
          <w:szCs w:val="24"/>
          <w:shd w:val="clear" w:color="auto" w:fill="auto"/>
          <w:lang w:val="cs-CZ" w:eastAsia="cs-CZ" w:bidi="cs-CZ"/>
        </w:rPr>
        <w:t>Objednatel se zavazuje zaplatit TDS za uskutečnění činností podle této smlouvy smluvní dohodnutou odměnu ve výši:</w:t>
      </w:r>
    </w:p>
    <w:p>
      <w:pPr>
        <w:pStyle w:val="Style15"/>
        <w:keepNext w:val="0"/>
        <w:keepLines w:val="0"/>
        <w:widowControl w:val="0"/>
        <w:shd w:val="clear" w:color="auto" w:fill="auto"/>
        <w:bidi w:val="0"/>
        <w:spacing w:before="0" w:after="380" w:line="240" w:lineRule="auto"/>
        <w:ind w:left="0" w:right="0" w:firstLine="580"/>
        <w:jc w:val="left"/>
      </w:pPr>
      <w:r>
        <w:rPr>
          <w:b/>
          <w:bCs/>
          <w:color w:val="000000"/>
          <w:spacing w:val="0"/>
          <w:w w:val="100"/>
          <w:position w:val="0"/>
          <w:sz w:val="24"/>
          <w:szCs w:val="24"/>
          <w:shd w:val="clear" w:color="auto" w:fill="auto"/>
          <w:lang w:val="cs-CZ" w:eastAsia="cs-CZ" w:bidi="cs-CZ"/>
        </w:rPr>
        <w:t xml:space="preserve">a) </w:t>
      </w:r>
      <w:r>
        <w:rPr>
          <w:b/>
          <w:bCs/>
          <w:color w:val="000000"/>
          <w:spacing w:val="0"/>
          <w:w w:val="100"/>
          <w:position w:val="0"/>
          <w:sz w:val="24"/>
          <w:szCs w:val="24"/>
          <w:u w:val="single"/>
          <w:shd w:val="clear" w:color="auto" w:fill="auto"/>
          <w:lang w:val="cs-CZ" w:eastAsia="cs-CZ" w:bidi="cs-CZ"/>
        </w:rPr>
        <w:t>Výkon TDS - práce před zahájením a po dokončení stavby</w:t>
      </w:r>
    </w:p>
    <w:tbl>
      <w:tblPr>
        <w:tblOverlap w:val="never"/>
        <w:jc w:val="center"/>
        <w:tblLayout w:type="fixed"/>
      </w:tblPr>
      <w:tblGrid>
        <w:gridCol w:w="4397"/>
        <w:gridCol w:w="917"/>
        <w:gridCol w:w="2918"/>
      </w:tblGrid>
      <w:tr>
        <w:trPr>
          <w:trHeight w:val="504"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za práci před zahájením stavby</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15 000</w:t>
            </w:r>
          </w:p>
        </w:tc>
        <w:tc>
          <w:tcPr>
            <w:tcBorders>
              <w:top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pPr>
            <w:r>
              <w:rPr>
                <w:b/>
                <w:bCs/>
                <w:color w:val="000000"/>
                <w:spacing w:val="0"/>
                <w:w w:val="100"/>
                <w:position w:val="0"/>
                <w:sz w:val="24"/>
                <w:szCs w:val="24"/>
                <w:shd w:val="clear" w:color="auto" w:fill="auto"/>
                <w:lang w:val="cs-CZ" w:eastAsia="cs-CZ" w:bidi="cs-CZ"/>
              </w:rPr>
              <w:t>Kč bez DPH</w:t>
            </w:r>
          </w:p>
        </w:tc>
      </w:tr>
      <w:tr>
        <w:trPr>
          <w:trHeight w:val="504"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prací po dokončení stavby</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19 000</w:t>
            </w:r>
          </w:p>
        </w:tc>
        <w:tc>
          <w:tcPr>
            <w:tcBorders>
              <w:top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pPr>
            <w:r>
              <w:rPr>
                <w:b/>
                <w:bCs/>
                <w:color w:val="000000"/>
                <w:spacing w:val="0"/>
                <w:w w:val="100"/>
                <w:position w:val="0"/>
                <w:sz w:val="24"/>
                <w:szCs w:val="24"/>
                <w:shd w:val="clear" w:color="auto" w:fill="auto"/>
                <w:lang w:val="cs-CZ" w:eastAsia="cs-CZ" w:bidi="cs-CZ"/>
              </w:rPr>
              <w:t>Kč bez DPH</w:t>
            </w:r>
          </w:p>
        </w:tc>
      </w:tr>
      <w:tr>
        <w:trPr>
          <w:trHeight w:val="509"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CELKEM bez DPH</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34 000</w:t>
            </w:r>
          </w:p>
        </w:tc>
        <w:tc>
          <w:tcPr>
            <w:tcBorders>
              <w:top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pPr>
            <w:r>
              <w:rPr>
                <w:b/>
                <w:bCs/>
                <w:color w:val="000000"/>
                <w:spacing w:val="0"/>
                <w:w w:val="100"/>
                <w:position w:val="0"/>
                <w:sz w:val="24"/>
                <w:szCs w:val="24"/>
                <w:shd w:val="clear" w:color="auto" w:fill="auto"/>
                <w:lang w:val="cs-CZ" w:eastAsia="cs-CZ" w:bidi="cs-CZ"/>
              </w:rPr>
              <w:t>Kč</w:t>
            </w:r>
          </w:p>
        </w:tc>
      </w:tr>
      <w:tr>
        <w:trPr>
          <w:trHeight w:val="43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DPH 21%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7 140</w:t>
            </w:r>
          </w:p>
        </w:tc>
        <w:tc>
          <w:tcPr>
            <w:tcBorders>
              <w:top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pPr>
            <w:r>
              <w:rPr>
                <w:b/>
                <w:bCs/>
                <w:color w:val="000000"/>
                <w:spacing w:val="0"/>
                <w:w w:val="100"/>
                <w:position w:val="0"/>
                <w:sz w:val="24"/>
                <w:szCs w:val="24"/>
                <w:shd w:val="clear" w:color="auto" w:fill="auto"/>
                <w:lang w:val="cs-CZ" w:eastAsia="cs-CZ" w:bidi="cs-CZ"/>
              </w:rPr>
              <w:t>Kč</w:t>
            </w:r>
          </w:p>
        </w:tc>
      </w:tr>
      <w:tr>
        <w:trPr>
          <w:trHeight w:val="571"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CELKEM vč. DPH</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41 140</w:t>
            </w:r>
          </w:p>
        </w:tc>
        <w:tc>
          <w:tcPr>
            <w:tcBorders>
              <w:top w:val="single" w:sz="4"/>
              <w:bottom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pPr>
            <w:r>
              <w:rPr>
                <w:b/>
                <w:bCs/>
                <w:color w:val="000000"/>
                <w:spacing w:val="0"/>
                <w:w w:val="100"/>
                <w:position w:val="0"/>
                <w:sz w:val="24"/>
                <w:szCs w:val="24"/>
                <w:shd w:val="clear" w:color="auto" w:fill="auto"/>
                <w:lang w:val="cs-CZ" w:eastAsia="cs-CZ" w:bidi="cs-CZ"/>
              </w:rPr>
              <w:t>Kč</w:t>
            </w:r>
          </w:p>
        </w:tc>
      </w:tr>
    </w:tbl>
    <w:p>
      <w:pPr>
        <w:sectPr>
          <w:footnotePr>
            <w:pos w:val="pageBottom"/>
            <w:numFmt w:val="decimal"/>
            <w:numRestart w:val="continuous"/>
          </w:footnotePr>
          <w:type w:val="continuous"/>
          <w:pgSz w:w="12240" w:h="15840"/>
          <w:pgMar w:top="23" w:left="1128" w:right="978" w:bottom="968" w:header="0" w:footer="3" w:gutter="0"/>
          <w:cols w:space="720"/>
          <w:noEndnote/>
          <w:rtlGutter w:val="0"/>
          <w:docGrid w:linePitch="360"/>
        </w:sectPr>
      </w:pPr>
    </w:p>
    <w:p>
      <w:pPr>
        <w:pStyle w:val="Style19"/>
        <w:keepNext/>
        <w:keepLines/>
        <w:widowControl w:val="0"/>
        <w:shd w:val="clear" w:color="auto" w:fill="auto"/>
        <w:bidi w:val="0"/>
        <w:spacing w:before="0" w:after="0" w:line="240" w:lineRule="auto"/>
        <w:ind w:left="0" w:right="0" w:firstLine="0"/>
        <w:jc w:val="center"/>
      </w:pPr>
      <w:bookmarkStart w:id="18" w:name="bookmark18"/>
      <w:bookmarkStart w:id="19" w:name="bookmark19"/>
      <w:r>
        <w:rPr>
          <w:spacing w:val="0"/>
          <w:w w:val="100"/>
          <w:position w:val="0"/>
          <w:shd w:val="clear" w:color="auto" w:fill="auto"/>
          <w:lang w:val="cs-CZ" w:eastAsia="cs-CZ" w:bidi="cs-CZ"/>
        </w:rPr>
        <w:t>Ssfdi</w:t>
      </w:r>
      <w:bookmarkEnd w:id="18"/>
      <w:bookmarkEnd w:id="19"/>
    </w:p>
    <w:p>
      <w:pPr>
        <w:pStyle w:val="Style21"/>
        <w:keepNext w:val="0"/>
        <w:keepLines w:val="0"/>
        <w:widowControl w:val="0"/>
        <w:shd w:val="clear" w:color="auto" w:fill="auto"/>
        <w:bidi w:val="0"/>
        <w:spacing w:before="0" w:after="40" w:line="240" w:lineRule="auto"/>
        <w:ind w:right="0" w:firstLine="40"/>
        <w:jc w:val="both"/>
      </w:pPr>
      <w:r>
        <w:rPr>
          <w:spacing w:val="0"/>
          <w:w w:val="100"/>
          <w:position w:val="0"/>
          <w:shd w:val="clear" w:color="auto" w:fill="auto"/>
          <w:lang w:val="cs-CZ" w:eastAsia="cs-CZ" w:bidi="cs-CZ"/>
        </w:rPr>
        <w:t>STÁTNÍ FOND DOPRAVNÍ INFRASTRUKTURY</w:t>
      </w:r>
    </w:p>
    <w:p>
      <w:pPr>
        <w:pStyle w:val="Style15"/>
        <w:keepNext w:val="0"/>
        <w:keepLines w:val="0"/>
        <w:widowControl w:val="0"/>
        <w:shd w:val="clear" w:color="auto" w:fill="auto"/>
        <w:bidi w:val="0"/>
        <w:spacing w:before="0" w:after="240" w:line="240" w:lineRule="auto"/>
        <w:ind w:left="0" w:right="0" w:firstLine="740"/>
        <w:jc w:val="both"/>
      </w:pPr>
      <w:r>
        <w:rPr>
          <w:b/>
          <w:bCs/>
          <w:color w:val="000000"/>
          <w:spacing w:val="0"/>
          <w:w w:val="100"/>
          <w:position w:val="0"/>
          <w:sz w:val="24"/>
          <w:szCs w:val="24"/>
          <w:shd w:val="clear" w:color="auto" w:fill="auto"/>
          <w:lang w:val="cs-CZ" w:eastAsia="cs-CZ" w:bidi="cs-CZ"/>
        </w:rPr>
        <w:t xml:space="preserve">b) </w:t>
      </w:r>
      <w:r>
        <w:rPr>
          <w:b/>
          <w:bCs/>
          <w:color w:val="000000"/>
          <w:spacing w:val="0"/>
          <w:w w:val="100"/>
          <w:position w:val="0"/>
          <w:sz w:val="24"/>
          <w:szCs w:val="24"/>
          <w:u w:val="single"/>
          <w:shd w:val="clear" w:color="auto" w:fill="auto"/>
          <w:lang w:val="cs-CZ" w:eastAsia="cs-CZ" w:bidi="cs-CZ"/>
        </w:rPr>
        <w:t>Výkon TDS - práce spojené s prováděním stavby</w:t>
      </w:r>
    </w:p>
    <w:tbl>
      <w:tblPr>
        <w:tblOverlap w:val="never"/>
        <w:jc w:val="center"/>
        <w:tblLayout w:type="fixed"/>
      </w:tblPr>
      <w:tblGrid>
        <w:gridCol w:w="4397"/>
        <w:gridCol w:w="3835"/>
      </w:tblGrid>
      <w:tr>
        <w:trPr>
          <w:trHeight w:val="68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za 1 hodinu (60 minut) výkonu</w:t>
            </w:r>
          </w:p>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TDS práce v kanceláři</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520 Kč bez DPH</w:t>
            </w:r>
          </w:p>
        </w:tc>
      </w:tr>
      <w:tr>
        <w:trPr>
          <w:trHeight w:val="691" w:hRule="exact"/>
        </w:trPr>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za 1 hodinu (60 minut) výkonu</w:t>
            </w:r>
          </w:p>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TDS na staveništi</w:t>
            </w:r>
          </w:p>
        </w:tc>
        <w:tc>
          <w:tcPr>
            <w:tcBorders>
              <w:top w:val="single" w:sz="4"/>
              <w:left w:val="single" w:sz="4"/>
              <w:bottom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670 Kč bez DPH</w:t>
            </w:r>
          </w:p>
        </w:tc>
      </w:tr>
    </w:tbl>
    <w:p>
      <w:pPr>
        <w:widowControl w:val="0"/>
        <w:spacing w:after="819" w:line="1" w:lineRule="exact"/>
      </w:pPr>
    </w:p>
    <w:p>
      <w:pPr>
        <w:pStyle w:val="Style15"/>
        <w:keepNext w:val="0"/>
        <w:keepLines w:val="0"/>
        <w:widowControl w:val="0"/>
        <w:numPr>
          <w:ilvl w:val="0"/>
          <w:numId w:val="7"/>
        </w:numPr>
        <w:shd w:val="clear" w:color="auto" w:fill="auto"/>
        <w:tabs>
          <w:tab w:pos="571"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V ceně podle bodu 5. 1. jsou zahrnuty veškeré náklady na výkon technického dozoru stavebníka nutné ke splnění díla dle čl. 3 této smlouvy a v rozsahu Přílohy č. 1 (Kalkulace odměny TDS), která je součástí této smlouvy, vč. cestovného na místo výkonu TDS a konzultačních dnů.</w:t>
      </w:r>
    </w:p>
    <w:p>
      <w:pPr>
        <w:pStyle w:val="Style15"/>
        <w:keepNext w:val="0"/>
        <w:keepLines w:val="0"/>
        <w:widowControl w:val="0"/>
        <w:numPr>
          <w:ilvl w:val="0"/>
          <w:numId w:val="7"/>
        </w:numPr>
        <w:shd w:val="clear" w:color="auto" w:fill="auto"/>
        <w:tabs>
          <w:tab w:pos="571"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Cena výkonu TDS na staveništi bude fakturována dle skutečného počtu hodin, doložených v soupisu návštěv TDS schvalovaného osobou pověřenou jednat ve věcech technických.</w:t>
      </w:r>
    </w:p>
    <w:p>
      <w:pPr>
        <w:pStyle w:val="Style15"/>
        <w:keepNext w:val="0"/>
        <w:keepLines w:val="0"/>
        <w:widowControl w:val="0"/>
        <w:numPr>
          <w:ilvl w:val="0"/>
          <w:numId w:val="7"/>
        </w:numPr>
        <w:shd w:val="clear" w:color="auto" w:fill="auto"/>
        <w:tabs>
          <w:tab w:pos="571"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Ke sjednané ceně bez DPH za zajištění TDS bude u plátce DPH účtována daň z přidané hodnoty v zákonné výši.</w:t>
      </w:r>
    </w:p>
    <w:p>
      <w:pPr>
        <w:pStyle w:val="Style15"/>
        <w:keepNext w:val="0"/>
        <w:keepLines w:val="0"/>
        <w:widowControl w:val="0"/>
        <w:numPr>
          <w:ilvl w:val="0"/>
          <w:numId w:val="7"/>
        </w:numPr>
        <w:shd w:val="clear" w:color="auto" w:fill="auto"/>
        <w:tabs>
          <w:tab w:pos="571"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Celkovou a pro účely fakturace rozhodnou cenou se u plátce DPH rozumí cena vč. DPH.</w:t>
      </w:r>
    </w:p>
    <w:p>
      <w:pPr>
        <w:pStyle w:val="Style15"/>
        <w:keepNext w:val="0"/>
        <w:keepLines w:val="0"/>
        <w:widowControl w:val="0"/>
        <w:numPr>
          <w:ilvl w:val="0"/>
          <w:numId w:val="7"/>
        </w:numPr>
        <w:shd w:val="clear" w:color="auto" w:fill="auto"/>
        <w:tabs>
          <w:tab w:pos="571" w:val="left"/>
        </w:tabs>
        <w:bidi w:val="0"/>
        <w:spacing w:before="0" w:after="100" w:line="221" w:lineRule="auto"/>
        <w:ind w:left="0" w:right="0" w:firstLine="0"/>
        <w:jc w:val="both"/>
      </w:pPr>
      <w:r>
        <w:rPr>
          <w:color w:val="000000"/>
          <w:spacing w:val="0"/>
          <w:w w:val="100"/>
          <w:position w:val="0"/>
          <w:sz w:val="24"/>
          <w:szCs w:val="24"/>
          <w:shd w:val="clear" w:color="auto" w:fill="auto"/>
          <w:lang w:val="cs-CZ" w:eastAsia="cs-CZ" w:bidi="cs-CZ"/>
        </w:rPr>
        <w:t>Cena za dílo může být upravena (zvýšena či snížena) dodatky k této smlouvě v případě změny zákonných sazeb DPH.</w:t>
      </w:r>
    </w:p>
    <w:p>
      <w:pPr>
        <w:pStyle w:val="Style15"/>
        <w:keepNext w:val="0"/>
        <w:keepLines w:val="0"/>
        <w:widowControl w:val="0"/>
        <w:numPr>
          <w:ilvl w:val="0"/>
          <w:numId w:val="7"/>
        </w:numPr>
        <w:shd w:val="clear" w:color="auto" w:fill="auto"/>
        <w:tabs>
          <w:tab w:pos="571"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Dohodnutá odměna bude TDS proplacena na základě jeho daňového dokladu (faktury).</w:t>
      </w:r>
    </w:p>
    <w:p>
      <w:pPr>
        <w:pStyle w:val="Style15"/>
        <w:keepNext w:val="0"/>
        <w:keepLines w:val="0"/>
        <w:widowControl w:val="0"/>
        <w:numPr>
          <w:ilvl w:val="0"/>
          <w:numId w:val="7"/>
        </w:numPr>
        <w:shd w:val="clear" w:color="auto" w:fill="auto"/>
        <w:tabs>
          <w:tab w:pos="571" w:val="left"/>
        </w:tabs>
        <w:bidi w:val="0"/>
        <w:spacing w:before="0" w:after="100" w:line="228" w:lineRule="auto"/>
        <w:ind w:left="0" w:right="0" w:firstLine="0"/>
        <w:jc w:val="both"/>
      </w:pPr>
      <w:r>
        <w:rPr>
          <w:color w:val="000000"/>
          <w:spacing w:val="0"/>
          <w:w w:val="100"/>
          <w:position w:val="0"/>
          <w:sz w:val="24"/>
          <w:szCs w:val="24"/>
          <w:shd w:val="clear" w:color="auto" w:fill="auto"/>
          <w:lang w:val="cs-CZ" w:eastAsia="cs-CZ" w:bidi="cs-CZ"/>
        </w:rPr>
        <w:t>Faktury budou vystaveny měsíčně za každou část zvlášť, v jednom vyhotovení a doručeny na adresu objednatele. Mimo povinných náležitostí dle zákona je TDS povinen uvádět na daňovém dokladu doslovný a přesný název akce nebo akcí, který je definován v ustanovení čl. 2 této smlouvy. Součástí faktury bude soupis počtu návštěv TDS v daném měsíci, odsouhlasený zástupcem objednatele.</w:t>
      </w:r>
    </w:p>
    <w:p>
      <w:pPr>
        <w:pStyle w:val="Style15"/>
        <w:keepNext w:val="0"/>
        <w:keepLines w:val="0"/>
        <w:widowControl w:val="0"/>
        <w:numPr>
          <w:ilvl w:val="0"/>
          <w:numId w:val="7"/>
        </w:numPr>
        <w:shd w:val="clear" w:color="auto" w:fill="auto"/>
        <w:tabs>
          <w:tab w:pos="571" w:val="left"/>
        </w:tabs>
        <w:bidi w:val="0"/>
        <w:spacing w:before="0" w:after="100" w:line="226" w:lineRule="auto"/>
        <w:ind w:left="0" w:right="0" w:firstLine="0"/>
        <w:jc w:val="both"/>
      </w:pPr>
      <w:r>
        <w:rPr>
          <w:color w:val="000000"/>
          <w:spacing w:val="0"/>
          <w:w w:val="100"/>
          <w:position w:val="0"/>
          <w:sz w:val="24"/>
          <w:szCs w:val="24"/>
          <w:shd w:val="clear" w:color="auto" w:fill="auto"/>
          <w:lang w:val="cs-CZ" w:eastAsia="cs-CZ" w:bidi="cs-CZ"/>
        </w:rPr>
        <w:t>Mezi smluvními stranami se touto smlouvou sjednává, že celkové plnění, na které je uzavřena tato smlouva, je souhrnem všech dílčích plnění, jimiž se rozumí plnění činností provedených dle čl. 3.</w:t>
      </w:r>
    </w:p>
    <w:p>
      <w:pPr>
        <w:pStyle w:val="Style15"/>
        <w:keepNext w:val="0"/>
        <w:keepLines w:val="0"/>
        <w:widowControl w:val="0"/>
        <w:numPr>
          <w:ilvl w:val="0"/>
          <w:numId w:val="7"/>
        </w:numPr>
        <w:shd w:val="clear" w:color="auto" w:fill="auto"/>
        <w:tabs>
          <w:tab w:pos="645"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Úhrada za plnění z této smlouvy bude realizována bezhotovostním převodem na účet TDS, který je správcem daně (finančním úřadem) zveřejněn způsobem umožňujícím dálkový přístup ve smyslu ustanovení § 106a zákona č. 235/2004 Sb. o dani z přidané hodnoty, ve znění pozdějších předpisů (dále jen „zákon o DPH“).</w:t>
      </w:r>
    </w:p>
    <w:p>
      <w:pPr>
        <w:pStyle w:val="Style15"/>
        <w:keepNext w:val="0"/>
        <w:keepLines w:val="0"/>
        <w:widowControl w:val="0"/>
        <w:numPr>
          <w:ilvl w:val="0"/>
          <w:numId w:val="7"/>
        </w:numPr>
        <w:shd w:val="clear" w:color="auto" w:fill="auto"/>
        <w:tabs>
          <w:tab w:pos="645"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Pokud se po dobu účinnosti této smlouvy TDS stane nespolehlivým plátcem ve smyslu ustanovení § 109 odst. 3 zákona o DPH, smluvní strany se dohodly, že objednatel uhradí DPH za zdanitelné plnění přímo příslušnému správci daně. Objednatelem takto provedená úhrada je považována za uhrazení příslušné části smluvní ceny rovnající se výši DPH fakturované TDS.</w:t>
      </w:r>
    </w:p>
    <w:p>
      <w:pPr>
        <w:pStyle w:val="Style15"/>
        <w:keepNext w:val="0"/>
        <w:keepLines w:val="0"/>
        <w:widowControl w:val="0"/>
        <w:numPr>
          <w:ilvl w:val="0"/>
          <w:numId w:val="7"/>
        </w:numPr>
        <w:shd w:val="clear" w:color="auto" w:fill="auto"/>
        <w:tabs>
          <w:tab w:pos="645"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Objednatel uhradí prokázané náklady, které TDS nutně nebo účelně vynaložil při plnění předmětu smlouvy - správní a jiné poplatky. Úkony, na základě kterých tyto náklady vzniknou, TDS s objednatelem předem projedná.</w:t>
      </w:r>
    </w:p>
    <w:p>
      <w:pPr>
        <w:pStyle w:val="Style15"/>
        <w:keepNext w:val="0"/>
        <w:keepLines w:val="0"/>
        <w:widowControl w:val="0"/>
        <w:numPr>
          <w:ilvl w:val="0"/>
          <w:numId w:val="7"/>
        </w:numPr>
        <w:shd w:val="clear" w:color="auto" w:fill="auto"/>
        <w:tabs>
          <w:tab w:pos="645"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Lhůta splatnosti daňových dokladů se vzájemnou dohodou sjednává do 30 ti dnů ode dne, kdy objednatel obdrží oprávněně vystavený daňový doklad.</w:t>
      </w:r>
    </w:p>
    <w:p>
      <w:pPr>
        <w:pStyle w:val="Style15"/>
        <w:keepNext w:val="0"/>
        <w:keepLines w:val="0"/>
        <w:widowControl w:val="0"/>
        <w:numPr>
          <w:ilvl w:val="0"/>
          <w:numId w:val="7"/>
        </w:numPr>
        <w:pBdr>
          <w:bottom w:val="single" w:sz="4" w:space="0" w:color="auto"/>
        </w:pBdr>
        <w:shd w:val="clear" w:color="auto" w:fill="auto"/>
        <w:tabs>
          <w:tab w:pos="645" w:val="left"/>
        </w:tabs>
        <w:bidi w:val="0"/>
        <w:spacing w:before="0" w:after="240" w:line="240" w:lineRule="auto"/>
        <w:ind w:left="0" w:right="0" w:firstLine="0"/>
        <w:jc w:val="both"/>
      </w:pPr>
      <w:r>
        <w:rPr>
          <w:color w:val="000000"/>
          <w:spacing w:val="0"/>
          <w:w w:val="100"/>
          <w:position w:val="0"/>
          <w:sz w:val="24"/>
          <w:szCs w:val="24"/>
          <w:shd w:val="clear" w:color="auto" w:fill="auto"/>
          <w:lang w:val="cs-CZ" w:eastAsia="cs-CZ" w:bidi="cs-CZ"/>
        </w:rPr>
        <w:t>Práce, které se případně vyskytnou nad rámec předmětu smlouvy, budou dohodnuty v dodatku této smlouvy. Odměna za tyto práce bude sjednána v souladu s náklady TDS dle přílohy této smlouvy - kalkulace odměny.</w:t>
      </w:r>
    </w:p>
    <w:p>
      <w:pPr>
        <w:pStyle w:val="Style34"/>
        <w:keepNext w:val="0"/>
        <w:keepLines w:val="0"/>
        <w:widowControl w:val="0"/>
        <w:shd w:val="clear" w:color="auto" w:fill="auto"/>
        <w:tabs>
          <w:tab w:pos="8952" w:val="left"/>
        </w:tabs>
        <w:bidi w:val="0"/>
        <w:spacing w:before="0" w:after="100" w:line="240" w:lineRule="auto"/>
        <w:ind w:left="0" w:right="0" w:firstLine="0"/>
        <w:jc w:val="both"/>
      </w:pPr>
      <w:r>
        <w:rPr>
          <w:color w:val="000000"/>
          <w:spacing w:val="0"/>
          <w:w w:val="100"/>
          <w:position w:val="0"/>
          <w:shd w:val="clear" w:color="auto" w:fill="auto"/>
          <w:lang w:val="cs-CZ" w:eastAsia="cs-CZ" w:bidi="cs-CZ"/>
        </w:rPr>
        <w:t>Smlouva o zajištění výkonu TDS na staveništi</w:t>
        <w:tab/>
        <w:t>Stránka 5 z 8</w:t>
      </w:r>
    </w:p>
    <w:p>
      <w:pPr>
        <w:pStyle w:val="Style19"/>
        <w:keepNext/>
        <w:keepLines/>
        <w:widowControl w:val="0"/>
        <w:shd w:val="clear" w:color="auto" w:fill="auto"/>
        <w:bidi w:val="0"/>
        <w:spacing w:before="0" w:after="0" w:line="240" w:lineRule="auto"/>
        <w:ind w:left="0" w:right="0" w:firstLine="0"/>
        <w:jc w:val="center"/>
      </w:pPr>
      <w:bookmarkStart w:id="20" w:name="bookmark20"/>
      <w:bookmarkStart w:id="21" w:name="bookmark21"/>
      <w:r>
        <w:rPr>
          <w:spacing w:val="0"/>
          <w:w w:val="100"/>
          <w:position w:val="0"/>
          <w:shd w:val="clear" w:color="auto" w:fill="auto"/>
          <w:lang w:val="cs-CZ" w:eastAsia="cs-CZ" w:bidi="cs-CZ"/>
        </w:rPr>
        <w:t>Ssfdi</w:t>
      </w:r>
      <w:bookmarkEnd w:id="20"/>
      <w:bookmarkEnd w:id="21"/>
    </w:p>
    <w:p>
      <w:pPr>
        <w:pStyle w:val="Style11"/>
        <w:keepNext w:val="0"/>
        <w:keepLines w:val="0"/>
        <w:widowControl w:val="0"/>
        <w:shd w:val="clear" w:color="auto" w:fill="auto"/>
        <w:bidi w:val="0"/>
        <w:spacing w:before="0" w:after="0" w:line="240" w:lineRule="auto"/>
        <w:ind w:left="0" w:right="0" w:firstLine="0"/>
        <w:jc w:val="center"/>
        <w:rPr>
          <w:sz w:val="16"/>
          <w:szCs w:val="16"/>
        </w:rPr>
      </w:pPr>
      <w:r>
        <w:rPr>
          <w:rFonts w:ascii="Arial" w:eastAsia="Arial" w:hAnsi="Arial" w:cs="Arial"/>
          <w:smallCaps/>
          <w:color w:val="385573"/>
          <w:spacing w:val="0"/>
          <w:w w:val="100"/>
          <w:position w:val="0"/>
          <w:sz w:val="16"/>
          <w:szCs w:val="16"/>
          <w:shd w:val="clear" w:color="auto" w:fill="auto"/>
          <w:lang w:val="cs-CZ" w:eastAsia="cs-CZ" w:bidi="cs-CZ"/>
        </w:rPr>
        <w:t>státní fond dopravní</w:t>
      </w:r>
    </w:p>
    <w:p>
      <w:pPr>
        <w:pStyle w:val="Style21"/>
        <w:keepNext w:val="0"/>
        <w:keepLines w:val="0"/>
        <w:widowControl w:val="0"/>
        <w:shd w:val="clear" w:color="auto" w:fill="auto"/>
        <w:bidi w:val="0"/>
        <w:spacing w:before="0" w:after="600" w:line="240" w:lineRule="auto"/>
        <w:ind w:left="0" w:right="0" w:firstLine="0"/>
        <w:jc w:val="center"/>
      </w:pPr>
      <w:r>
        <w:rPr>
          <w:spacing w:val="0"/>
          <w:w w:val="100"/>
          <w:position w:val="0"/>
          <w:shd w:val="clear" w:color="auto" w:fill="auto"/>
          <w:lang w:val="cs-CZ" w:eastAsia="cs-CZ" w:bidi="cs-CZ"/>
        </w:rPr>
        <w:t>INFRASTRUKTURY</w:t>
      </w:r>
    </w:p>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6</w:t>
      </w:r>
    </w:p>
    <w:p>
      <w:pPr>
        <w:pStyle w:val="Style27"/>
        <w:keepNext/>
        <w:keepLines/>
        <w:widowControl w:val="0"/>
        <w:shd w:val="clear" w:color="auto" w:fill="auto"/>
        <w:bidi w:val="0"/>
        <w:spacing w:before="0" w:after="100" w:line="240" w:lineRule="auto"/>
        <w:ind w:left="0" w:right="0" w:firstLine="0"/>
        <w:jc w:val="center"/>
      </w:pPr>
      <w:bookmarkStart w:id="22" w:name="bookmark22"/>
      <w:bookmarkStart w:id="23" w:name="bookmark23"/>
      <w:r>
        <w:rPr>
          <w:color w:val="000000"/>
          <w:spacing w:val="0"/>
          <w:w w:val="100"/>
          <w:position w:val="0"/>
          <w:sz w:val="24"/>
          <w:szCs w:val="24"/>
          <w:shd w:val="clear" w:color="auto" w:fill="auto"/>
          <w:lang w:val="cs-CZ" w:eastAsia="cs-CZ" w:bidi="cs-CZ"/>
        </w:rPr>
        <w:t>Práva a povinnosti smluvních stran</w:t>
      </w:r>
      <w:bookmarkEnd w:id="22"/>
      <w:bookmarkEnd w:id="23"/>
    </w:p>
    <w:p>
      <w:pPr>
        <w:pStyle w:val="Style15"/>
        <w:keepNext w:val="0"/>
        <w:keepLines w:val="0"/>
        <w:widowControl w:val="0"/>
        <w:numPr>
          <w:ilvl w:val="0"/>
          <w:numId w:val="9"/>
        </w:numPr>
        <w:shd w:val="clear" w:color="auto" w:fill="auto"/>
        <w:tabs>
          <w:tab w:pos="566"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TDS je povinen postupovat při zařizování smluvené záležitosti s veškerou odbornou péčí, podle svých schopností a znalostí a podle pokynů objednatele.</w:t>
      </w:r>
    </w:p>
    <w:p>
      <w:pPr>
        <w:pStyle w:val="Style15"/>
        <w:keepNext w:val="0"/>
        <w:keepLines w:val="0"/>
        <w:widowControl w:val="0"/>
        <w:numPr>
          <w:ilvl w:val="0"/>
          <w:numId w:val="9"/>
        </w:numPr>
        <w:shd w:val="clear" w:color="auto" w:fill="auto"/>
        <w:tabs>
          <w:tab w:pos="566"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Dodavatel je oprávněn plnit předmět této smlouvy pouze prostřednictvím osob, jejichž odborná praxe byla předmětem hodnocení nabídek podaných na veřejnou zakázku zadanou ve zjednodušeném podlimitním řízení na uzavření této smlouvy</w:t>
      </w:r>
      <w:r>
        <w:rPr>
          <w:b/>
          <w:bCs/>
          <w:color w:val="000000"/>
          <w:spacing w:val="0"/>
          <w:w w:val="100"/>
          <w:position w:val="0"/>
          <w:sz w:val="24"/>
          <w:szCs w:val="24"/>
          <w:shd w:val="clear" w:color="auto" w:fill="auto"/>
          <w:lang w:val="cs-CZ" w:eastAsia="cs-CZ" w:bidi="cs-CZ"/>
        </w:rPr>
        <w:t>.</w:t>
      </w:r>
    </w:p>
    <w:p>
      <w:pPr>
        <w:pStyle w:val="Style15"/>
        <w:keepNext w:val="0"/>
        <w:keepLines w:val="0"/>
        <w:widowControl w:val="0"/>
        <w:numPr>
          <w:ilvl w:val="0"/>
          <w:numId w:val="9"/>
        </w:numPr>
        <w:shd w:val="clear" w:color="auto" w:fill="auto"/>
        <w:tabs>
          <w:tab w:pos="566" w:val="left"/>
        </w:tabs>
        <w:bidi w:val="0"/>
        <w:spacing w:before="0" w:after="220" w:line="240" w:lineRule="auto"/>
        <w:ind w:left="0" w:right="0" w:firstLine="0"/>
        <w:jc w:val="both"/>
      </w:pPr>
      <w:r>
        <w:rPr>
          <w:color w:val="000000"/>
          <w:spacing w:val="0"/>
          <w:w w:val="100"/>
          <w:position w:val="0"/>
          <w:sz w:val="24"/>
          <w:szCs w:val="24"/>
          <w:shd w:val="clear" w:color="auto" w:fill="auto"/>
          <w:lang w:val="cs-CZ" w:eastAsia="cs-CZ" w:bidi="cs-CZ"/>
        </w:rPr>
        <w:t>Odpovědné osoby, které budou zajišťovat výkon technického dozoru stavebníka na staveništi:</w:t>
      </w:r>
    </w:p>
    <w:p>
      <w:pPr>
        <w:pStyle w:val="Style15"/>
        <w:keepNext w:val="0"/>
        <w:keepLines w:val="0"/>
        <w:widowControl w:val="0"/>
        <w:shd w:val="clear" w:color="auto" w:fill="auto"/>
        <w:bidi w:val="0"/>
        <w:spacing w:before="0" w:after="500" w:line="240" w:lineRule="auto"/>
        <w:ind w:left="1320" w:right="0" w:firstLine="0"/>
        <w:jc w:val="left"/>
      </w:pPr>
      <w:r>
        <w:rPr>
          <w:b/>
          <w:bCs/>
          <w:color w:val="000000"/>
          <w:spacing w:val="0"/>
          <w:w w:val="100"/>
          <w:position w:val="0"/>
          <w:sz w:val="24"/>
          <w:szCs w:val="24"/>
          <w:shd w:val="clear" w:color="auto" w:fill="auto"/>
          <w:lang w:val="cs-CZ" w:eastAsia="cs-CZ" w:bidi="cs-CZ"/>
        </w:rPr>
        <w:t>Odpovědný TDS - Mosty a inženýrské konstrukce:</w:t>
      </w:r>
    </w:p>
    <w:p>
      <w:pPr>
        <w:pStyle w:val="Style15"/>
        <w:keepNext w:val="0"/>
        <w:keepLines w:val="0"/>
        <w:widowControl w:val="0"/>
        <w:numPr>
          <w:ilvl w:val="0"/>
          <w:numId w:val="9"/>
        </w:numPr>
        <w:shd w:val="clear" w:color="auto" w:fill="auto"/>
        <w:tabs>
          <w:tab w:pos="566" w:val="left"/>
        </w:tabs>
        <w:bidi w:val="0"/>
        <w:spacing w:before="0" w:after="100" w:line="240" w:lineRule="auto"/>
        <w:ind w:left="0" w:right="0" w:firstLine="0"/>
        <w:jc w:val="both"/>
      </w:pPr>
      <w:r>
        <w:rPr>
          <w:b/>
          <w:bCs/>
          <w:color w:val="000000"/>
          <w:spacing w:val="0"/>
          <w:w w:val="100"/>
          <w:position w:val="0"/>
          <w:sz w:val="24"/>
          <w:szCs w:val="24"/>
          <w:shd w:val="clear" w:color="auto" w:fill="auto"/>
          <w:lang w:val="cs-CZ" w:eastAsia="cs-CZ" w:bidi="cs-CZ"/>
        </w:rPr>
        <w:t>Dodavatel odpovídá za plnění těchto osob tak, jako by plnil sám</w:t>
      </w:r>
      <w:r>
        <w:rPr>
          <w:color w:val="000000"/>
          <w:spacing w:val="0"/>
          <w:w w:val="100"/>
          <w:position w:val="0"/>
          <w:sz w:val="24"/>
          <w:szCs w:val="24"/>
          <w:shd w:val="clear" w:color="auto" w:fill="auto"/>
          <w:lang w:val="cs-CZ" w:eastAsia="cs-CZ" w:bidi="cs-CZ"/>
        </w:rPr>
        <w:t xml:space="preserve">. Dodavatel je </w:t>
      </w:r>
      <w:r>
        <w:rPr>
          <w:b/>
          <w:bCs/>
          <w:color w:val="000000"/>
          <w:spacing w:val="0"/>
          <w:w w:val="100"/>
          <w:position w:val="0"/>
          <w:sz w:val="24"/>
          <w:szCs w:val="24"/>
          <w:shd w:val="clear" w:color="auto" w:fill="auto"/>
          <w:lang w:val="cs-CZ" w:eastAsia="cs-CZ" w:bidi="cs-CZ"/>
        </w:rPr>
        <w:t>oprávněn změnit tyto osob</w:t>
      </w:r>
      <w:r>
        <w:rPr>
          <w:color w:val="000000"/>
          <w:spacing w:val="0"/>
          <w:w w:val="100"/>
          <w:position w:val="0"/>
          <w:sz w:val="24"/>
          <w:szCs w:val="24"/>
          <w:shd w:val="clear" w:color="auto" w:fill="auto"/>
          <w:lang w:val="cs-CZ" w:eastAsia="cs-CZ" w:bidi="cs-CZ"/>
        </w:rPr>
        <w:t xml:space="preserve">y z důvodů na jeho straně </w:t>
      </w:r>
      <w:r>
        <w:rPr>
          <w:b/>
          <w:bCs/>
          <w:color w:val="000000"/>
          <w:spacing w:val="0"/>
          <w:w w:val="100"/>
          <w:position w:val="0"/>
          <w:sz w:val="24"/>
          <w:szCs w:val="24"/>
          <w:shd w:val="clear" w:color="auto" w:fill="auto"/>
          <w:lang w:val="cs-CZ" w:eastAsia="cs-CZ" w:bidi="cs-CZ"/>
        </w:rPr>
        <w:t xml:space="preserve">pouze s předchozím písemným souhlasem zadavatele stavby a pouze, </w:t>
      </w:r>
      <w:r>
        <w:rPr>
          <w:color w:val="000000"/>
          <w:spacing w:val="0"/>
          <w:w w:val="100"/>
          <w:position w:val="0"/>
          <w:sz w:val="24"/>
          <w:szCs w:val="24"/>
          <w:shd w:val="clear" w:color="auto" w:fill="auto"/>
          <w:lang w:val="cs-CZ" w:eastAsia="cs-CZ" w:bidi="cs-CZ"/>
        </w:rPr>
        <w:t xml:space="preserve">pokud </w:t>
      </w:r>
      <w:r>
        <w:rPr>
          <w:b/>
          <w:bCs/>
          <w:color w:val="000000"/>
          <w:spacing w:val="0"/>
          <w:w w:val="100"/>
          <w:position w:val="0"/>
          <w:sz w:val="24"/>
          <w:szCs w:val="24"/>
          <w:shd w:val="clear" w:color="auto" w:fill="auto"/>
          <w:lang w:val="cs-CZ" w:eastAsia="cs-CZ" w:bidi="cs-CZ"/>
        </w:rPr>
        <w:t xml:space="preserve">délka odborné praxe </w:t>
      </w:r>
      <w:r>
        <w:rPr>
          <w:color w:val="000000"/>
          <w:spacing w:val="0"/>
          <w:w w:val="100"/>
          <w:position w:val="0"/>
          <w:sz w:val="24"/>
          <w:szCs w:val="24"/>
          <w:shd w:val="clear" w:color="auto" w:fill="auto"/>
          <w:lang w:val="cs-CZ" w:eastAsia="cs-CZ" w:bidi="cs-CZ"/>
        </w:rPr>
        <w:t xml:space="preserve">těchto </w:t>
      </w:r>
      <w:r>
        <w:rPr>
          <w:b/>
          <w:bCs/>
          <w:color w:val="000000"/>
          <w:spacing w:val="0"/>
          <w:w w:val="100"/>
          <w:position w:val="0"/>
          <w:sz w:val="24"/>
          <w:szCs w:val="24"/>
          <w:shd w:val="clear" w:color="auto" w:fill="auto"/>
          <w:lang w:val="cs-CZ" w:eastAsia="cs-CZ" w:bidi="cs-CZ"/>
        </w:rPr>
        <w:t xml:space="preserve">nových osob bude stejná nebo delší </w:t>
      </w:r>
      <w:r>
        <w:rPr>
          <w:color w:val="000000"/>
          <w:spacing w:val="0"/>
          <w:w w:val="100"/>
          <w:position w:val="0"/>
          <w:sz w:val="24"/>
          <w:szCs w:val="24"/>
          <w:shd w:val="clear" w:color="auto" w:fill="auto"/>
          <w:lang w:val="cs-CZ" w:eastAsia="cs-CZ" w:bidi="cs-CZ"/>
        </w:rPr>
        <w:t>jako délka odborné praxe osob původních</w:t>
      </w:r>
      <w:r>
        <w:rPr>
          <w:b/>
          <w:bCs/>
          <w:color w:val="000000"/>
          <w:spacing w:val="0"/>
          <w:w w:val="100"/>
          <w:position w:val="0"/>
          <w:sz w:val="24"/>
          <w:szCs w:val="24"/>
          <w:shd w:val="clear" w:color="auto" w:fill="auto"/>
          <w:lang w:val="cs-CZ" w:eastAsia="cs-CZ" w:bidi="cs-CZ"/>
        </w:rPr>
        <w:t>.</w:t>
      </w:r>
    </w:p>
    <w:p>
      <w:pPr>
        <w:pStyle w:val="Style15"/>
        <w:keepNext w:val="0"/>
        <w:keepLines w:val="0"/>
        <w:widowControl w:val="0"/>
        <w:numPr>
          <w:ilvl w:val="0"/>
          <w:numId w:val="9"/>
        </w:numPr>
        <w:shd w:val="clear" w:color="auto" w:fill="auto"/>
        <w:tabs>
          <w:tab w:pos="566"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Vyžaduje-li činnost TDS podle této smlouvy právní jednání objednatele, je objednatel povinen vystavit na žádost TDS písemnou plnou moc pro toto jednání. TDS se zavazuje využít tuto plnou moc jen v rozsahu stanoveném plnou mocí a touto smlouvou.</w:t>
      </w:r>
    </w:p>
    <w:p>
      <w:pPr>
        <w:pStyle w:val="Style15"/>
        <w:keepNext w:val="0"/>
        <w:keepLines w:val="0"/>
        <w:widowControl w:val="0"/>
        <w:numPr>
          <w:ilvl w:val="0"/>
          <w:numId w:val="9"/>
        </w:numPr>
        <w:shd w:val="clear" w:color="auto" w:fill="auto"/>
        <w:tabs>
          <w:tab w:pos="566"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TDS je povinen předat objednateli bez zbytečného odkladu věci, které za něj převzal při vyřizování záležitostí.</w:t>
      </w:r>
    </w:p>
    <w:p>
      <w:pPr>
        <w:pStyle w:val="Style15"/>
        <w:keepNext w:val="0"/>
        <w:keepLines w:val="0"/>
        <w:widowControl w:val="0"/>
        <w:numPr>
          <w:ilvl w:val="0"/>
          <w:numId w:val="9"/>
        </w:numPr>
        <w:shd w:val="clear" w:color="auto" w:fill="auto"/>
        <w:tabs>
          <w:tab w:pos="566"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Objednatel se zavazuje poskytnout TDS veškeré informace, které jsou nutné k zařízení záležitosti.</w:t>
      </w:r>
    </w:p>
    <w:p>
      <w:pPr>
        <w:pStyle w:val="Style15"/>
        <w:keepNext w:val="0"/>
        <w:keepLines w:val="0"/>
        <w:widowControl w:val="0"/>
        <w:numPr>
          <w:ilvl w:val="0"/>
          <w:numId w:val="9"/>
        </w:numPr>
        <w:shd w:val="clear" w:color="auto" w:fill="auto"/>
        <w:tabs>
          <w:tab w:pos="566"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Objednatel je oprávněn vyhradit si účast svého pověřeného zástupce při jakémkoliv úkonu TDS, který se týká předmětu této smlouvy.</w:t>
      </w:r>
    </w:p>
    <w:p>
      <w:pPr>
        <w:pStyle w:val="Style15"/>
        <w:keepNext w:val="0"/>
        <w:keepLines w:val="0"/>
        <w:widowControl w:val="0"/>
        <w:numPr>
          <w:ilvl w:val="0"/>
          <w:numId w:val="9"/>
        </w:numPr>
        <w:shd w:val="clear" w:color="auto" w:fill="auto"/>
        <w:tabs>
          <w:tab w:pos="566" w:val="left"/>
        </w:tabs>
        <w:bidi w:val="0"/>
        <w:spacing w:before="0" w:after="500" w:line="240" w:lineRule="auto"/>
        <w:ind w:left="0" w:right="0" w:firstLine="0"/>
        <w:jc w:val="both"/>
      </w:pPr>
      <w:r>
        <w:rPr>
          <w:color w:val="000000"/>
          <w:spacing w:val="0"/>
          <w:w w:val="100"/>
          <w:position w:val="0"/>
          <w:sz w:val="24"/>
          <w:szCs w:val="24"/>
          <w:shd w:val="clear" w:color="auto" w:fill="auto"/>
          <w:lang w:val="cs-CZ" w:eastAsia="cs-CZ" w:bidi="cs-CZ"/>
        </w:rPr>
        <w:t>Dle § 2 písm. e) zákona č. 320/2001 Sb., o finanční kontrole ve veřejné správě a o změně některých zákonů (zákon o finanční kontrole), je TDS osobou povinnou spolupůsobit při výkonu finanční kontroly.</w:t>
      </w:r>
    </w:p>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7</w:t>
      </w:r>
    </w:p>
    <w:p>
      <w:pPr>
        <w:pStyle w:val="Style27"/>
        <w:keepNext/>
        <w:keepLines/>
        <w:widowControl w:val="0"/>
        <w:shd w:val="clear" w:color="auto" w:fill="auto"/>
        <w:bidi w:val="0"/>
        <w:spacing w:before="0" w:after="100" w:line="240" w:lineRule="auto"/>
        <w:ind w:left="0" w:right="0" w:firstLine="0"/>
        <w:jc w:val="center"/>
      </w:pPr>
      <w:bookmarkStart w:id="24" w:name="bookmark24"/>
      <w:bookmarkStart w:id="25" w:name="bookmark25"/>
      <w:r>
        <w:rPr>
          <w:color w:val="000000"/>
          <w:spacing w:val="0"/>
          <w:w w:val="100"/>
          <w:position w:val="0"/>
          <w:sz w:val="24"/>
          <w:szCs w:val="24"/>
          <w:shd w:val="clear" w:color="auto" w:fill="auto"/>
          <w:lang w:val="cs-CZ" w:eastAsia="cs-CZ" w:bidi="cs-CZ"/>
        </w:rPr>
        <w:t>Změna závazku</w:t>
      </w:r>
      <w:bookmarkEnd w:id="24"/>
      <w:bookmarkEnd w:id="25"/>
    </w:p>
    <w:p>
      <w:pPr>
        <w:pStyle w:val="Style15"/>
        <w:keepNext w:val="0"/>
        <w:keepLines w:val="0"/>
        <w:widowControl w:val="0"/>
        <w:numPr>
          <w:ilvl w:val="0"/>
          <w:numId w:val="11"/>
        </w:numPr>
        <w:shd w:val="clear" w:color="auto" w:fill="auto"/>
        <w:tabs>
          <w:tab w:pos="566"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Tuto smlouvu lze měnit pouze formou písemných, číslovaných dodatků, podepsaných oprávněnými zástupci obou smluvních stran.</w:t>
      </w:r>
    </w:p>
    <w:p>
      <w:pPr>
        <w:pStyle w:val="Style15"/>
        <w:keepNext w:val="0"/>
        <w:keepLines w:val="0"/>
        <w:widowControl w:val="0"/>
        <w:numPr>
          <w:ilvl w:val="0"/>
          <w:numId w:val="11"/>
        </w:numPr>
        <w:shd w:val="clear" w:color="auto" w:fill="auto"/>
        <w:tabs>
          <w:tab w:pos="566" w:val="left"/>
        </w:tabs>
        <w:bidi w:val="0"/>
        <w:spacing w:before="0" w:after="660" w:line="240" w:lineRule="auto"/>
        <w:ind w:left="0" w:right="0" w:firstLine="0"/>
        <w:jc w:val="both"/>
      </w:pPr>
      <w:r>
        <w:rPr>
          <w:color w:val="000000"/>
          <w:spacing w:val="0"/>
          <w:w w:val="100"/>
          <w:position w:val="0"/>
          <w:sz w:val="24"/>
          <w:szCs w:val="24"/>
          <w:shd w:val="clear" w:color="auto" w:fill="auto"/>
          <w:lang w:val="cs-CZ" w:eastAsia="cs-CZ" w:bidi="cs-CZ"/>
        </w:rPr>
        <w:t>K návrhům dodatků této smlouvy se smluvní strany zavazují písemně vyjádřit do sedmi dnů ode dne doručení. Po tuto dobu je navrhující strana tímto návrhem vázána.</w:t>
      </w:r>
    </w:p>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8</w:t>
      </w:r>
    </w:p>
    <w:p>
      <w:pPr>
        <w:pStyle w:val="Style27"/>
        <w:keepNext/>
        <w:keepLines/>
        <w:widowControl w:val="0"/>
        <w:shd w:val="clear" w:color="auto" w:fill="auto"/>
        <w:bidi w:val="0"/>
        <w:spacing w:before="0" w:after="100" w:line="240" w:lineRule="auto"/>
        <w:ind w:left="0" w:right="0" w:firstLine="0"/>
        <w:jc w:val="center"/>
      </w:pPr>
      <w:bookmarkStart w:id="26" w:name="bookmark26"/>
      <w:bookmarkStart w:id="27" w:name="bookmark27"/>
      <w:r>
        <w:rPr>
          <w:color w:val="000000"/>
          <w:spacing w:val="0"/>
          <w:w w:val="100"/>
          <w:position w:val="0"/>
          <w:sz w:val="24"/>
          <w:szCs w:val="24"/>
          <w:shd w:val="clear" w:color="auto" w:fill="auto"/>
          <w:lang w:val="cs-CZ" w:eastAsia="cs-CZ" w:bidi="cs-CZ"/>
        </w:rPr>
        <w:t>Sankce</w:t>
      </w:r>
      <w:bookmarkEnd w:id="26"/>
      <w:bookmarkEnd w:id="27"/>
    </w:p>
    <w:p>
      <w:pPr>
        <w:pStyle w:val="Style15"/>
        <w:keepNext w:val="0"/>
        <w:keepLines w:val="0"/>
        <w:widowControl w:val="0"/>
        <w:numPr>
          <w:ilvl w:val="0"/>
          <w:numId w:val="13"/>
        </w:numPr>
        <w:pBdr>
          <w:bottom w:val="single" w:sz="4" w:space="0" w:color="auto"/>
        </w:pBdr>
        <w:shd w:val="clear" w:color="auto" w:fill="auto"/>
        <w:tabs>
          <w:tab w:pos="566" w:val="left"/>
        </w:tabs>
        <w:bidi w:val="0"/>
        <w:spacing w:before="0" w:after="160" w:line="240" w:lineRule="auto"/>
        <w:ind w:left="0" w:right="0" w:firstLine="0"/>
        <w:jc w:val="both"/>
      </w:pPr>
      <w:r>
        <w:rPr>
          <w:color w:val="000000"/>
          <w:spacing w:val="0"/>
          <w:w w:val="100"/>
          <w:position w:val="0"/>
          <w:sz w:val="24"/>
          <w:szCs w:val="24"/>
          <w:shd w:val="clear" w:color="auto" w:fill="auto"/>
          <w:lang w:val="cs-CZ" w:eastAsia="cs-CZ" w:bidi="cs-CZ"/>
        </w:rPr>
        <w:t>V případě zjištění neplnění některé z činností blíže specifikovaných v čl. 3. smlouvy je TDS povinen uhradit objednateli smluvní pokutu ve výši 5% z celkové ceny plnění za každé zjištění. Tuto pokutu je možné ukládat opakovaně, dokud nedojde ke zjednání nápravy.</w:t>
      </w:r>
    </w:p>
    <w:p>
      <w:pPr>
        <w:pStyle w:val="Style34"/>
        <w:keepNext w:val="0"/>
        <w:keepLines w:val="0"/>
        <w:widowControl w:val="0"/>
        <w:shd w:val="clear" w:color="auto" w:fill="auto"/>
        <w:bidi w:val="0"/>
        <w:spacing w:before="0" w:after="100" w:line="240" w:lineRule="auto"/>
        <w:ind w:left="0" w:right="0" w:firstLine="0"/>
        <w:jc w:val="both"/>
        <w:sectPr>
          <w:footerReference w:type="default" r:id="rId6"/>
          <w:footnotePr>
            <w:pos w:val="pageBottom"/>
            <w:numFmt w:val="decimal"/>
            <w:numRestart w:val="continuous"/>
          </w:footnotePr>
          <w:type w:val="continuous"/>
          <w:pgSz w:w="12240" w:h="15840"/>
          <w:pgMar w:top="23" w:left="1128" w:right="978" w:bottom="968" w:header="0" w:footer="3" w:gutter="0"/>
          <w:cols w:space="720"/>
          <w:noEndnote/>
          <w:rtlGutter w:val="0"/>
          <w:docGrid w:linePitch="360"/>
        </w:sectPr>
      </w:pPr>
      <w:r>
        <w:rPr>
          <w:color w:val="000000"/>
          <w:spacing w:val="0"/>
          <w:w w:val="100"/>
          <w:position w:val="0"/>
          <w:shd w:val="clear" w:color="auto" w:fill="auto"/>
          <w:lang w:val="cs-CZ" w:eastAsia="cs-CZ" w:bidi="cs-CZ"/>
        </w:rPr>
        <w:t>Smlouva o zajištění výkonu TDS na staveništi Stránka 6 z 8</w:t>
      </w:r>
    </w:p>
    <w:p>
      <w:pPr>
        <w:pStyle w:val="Style19"/>
        <w:keepNext/>
        <w:keepLines/>
        <w:widowControl w:val="0"/>
        <w:shd w:val="clear" w:color="auto" w:fill="auto"/>
        <w:bidi w:val="0"/>
        <w:spacing w:before="0" w:after="0" w:line="240" w:lineRule="auto"/>
        <w:ind w:left="0" w:right="0" w:firstLine="0"/>
        <w:jc w:val="center"/>
      </w:pPr>
      <w:bookmarkStart w:id="28" w:name="bookmark28"/>
      <w:bookmarkStart w:id="29" w:name="bookmark29"/>
      <w:r>
        <w:rPr>
          <w:spacing w:val="0"/>
          <w:w w:val="100"/>
          <w:position w:val="0"/>
          <w:shd w:val="clear" w:color="auto" w:fill="auto"/>
          <w:lang w:val="cs-CZ" w:eastAsia="cs-CZ" w:bidi="cs-CZ"/>
        </w:rPr>
        <w:t>Ssfdi</w:t>
      </w:r>
      <w:bookmarkEnd w:id="28"/>
      <w:bookmarkEnd w:id="29"/>
    </w:p>
    <w:p>
      <w:pPr>
        <w:pStyle w:val="Style21"/>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cs-CZ" w:eastAsia="cs-CZ" w:bidi="cs-CZ"/>
        </w:rPr>
        <w:t>STÁTNÍ FOND DOPRAVNÍ</w:t>
      </w:r>
    </w:p>
    <w:p>
      <w:pPr>
        <w:pStyle w:val="Style21"/>
        <w:keepNext w:val="0"/>
        <w:keepLines w:val="0"/>
        <w:widowControl w:val="0"/>
        <w:shd w:val="clear" w:color="auto" w:fill="auto"/>
        <w:bidi w:val="0"/>
        <w:spacing w:before="0" w:line="240" w:lineRule="auto"/>
        <w:ind w:left="0" w:right="0" w:firstLine="0"/>
        <w:jc w:val="center"/>
      </w:pPr>
      <w:r>
        <w:rPr>
          <w:spacing w:val="0"/>
          <w:w w:val="100"/>
          <w:position w:val="0"/>
          <w:shd w:val="clear" w:color="auto" w:fill="auto"/>
          <w:lang w:val="cs-CZ" w:eastAsia="cs-CZ" w:bidi="cs-CZ"/>
        </w:rPr>
        <w:t>INFRASTRUKTURY</w:t>
      </w:r>
    </w:p>
    <w:p>
      <w:pPr>
        <w:pStyle w:val="Style15"/>
        <w:keepNext w:val="0"/>
        <w:keepLines w:val="0"/>
        <w:widowControl w:val="0"/>
        <w:numPr>
          <w:ilvl w:val="0"/>
          <w:numId w:val="13"/>
        </w:numPr>
        <w:shd w:val="clear" w:color="auto" w:fill="auto"/>
        <w:tabs>
          <w:tab w:pos="574"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Zaplacením smluvní pokuty není dotčeno právo objednatele na náhradu škody způsobenou TDS a zjednání nápravy vedoucí k odstranění vady.</w:t>
      </w:r>
    </w:p>
    <w:p>
      <w:pPr>
        <w:pStyle w:val="Style15"/>
        <w:keepNext w:val="0"/>
        <w:keepLines w:val="0"/>
        <w:widowControl w:val="0"/>
        <w:numPr>
          <w:ilvl w:val="0"/>
          <w:numId w:val="13"/>
        </w:numPr>
        <w:shd w:val="clear" w:color="auto" w:fill="auto"/>
        <w:tabs>
          <w:tab w:pos="574"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V případě prodlení objednatele se zaplacením faktur uhradí objednatel TDS smluvní pokutu ve výši 0,2 % z dlužné částky za každý den prodlení.</w:t>
      </w:r>
    </w:p>
    <w:p>
      <w:pPr>
        <w:pStyle w:val="Style15"/>
        <w:keepNext w:val="0"/>
        <w:keepLines w:val="0"/>
        <w:widowControl w:val="0"/>
        <w:numPr>
          <w:ilvl w:val="0"/>
          <w:numId w:val="13"/>
        </w:numPr>
        <w:shd w:val="clear" w:color="auto" w:fill="auto"/>
        <w:tabs>
          <w:tab w:pos="574"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Smluvní pokuta je splatná do 10 dnů poté, co bude doklad doručen povinné smluvní straně.</w:t>
      </w:r>
    </w:p>
    <w:p>
      <w:pPr>
        <w:pStyle w:val="Style27"/>
        <w:keepNext/>
        <w:keepLines/>
        <w:widowControl w:val="0"/>
        <w:shd w:val="clear" w:color="auto" w:fill="auto"/>
        <w:bidi w:val="0"/>
        <w:spacing w:before="0" w:after="100" w:line="240" w:lineRule="auto"/>
        <w:ind w:left="0" w:right="0" w:firstLine="0"/>
        <w:jc w:val="center"/>
      </w:pPr>
      <w:bookmarkStart w:id="30" w:name="bookmark30"/>
      <w:bookmarkStart w:id="31" w:name="bookmark31"/>
      <w:r>
        <w:rPr>
          <w:color w:val="000000"/>
          <w:spacing w:val="0"/>
          <w:w w:val="100"/>
          <w:position w:val="0"/>
          <w:sz w:val="24"/>
          <w:szCs w:val="24"/>
          <w:shd w:val="clear" w:color="auto" w:fill="auto"/>
          <w:lang w:val="cs-CZ" w:eastAsia="cs-CZ" w:bidi="cs-CZ"/>
        </w:rPr>
        <w:t>Článek 9</w:t>
        <w:br/>
        <w:t>Odpovědnost za škodu</w:t>
      </w:r>
      <w:bookmarkEnd w:id="30"/>
      <w:bookmarkEnd w:id="31"/>
    </w:p>
    <w:p>
      <w:pPr>
        <w:pStyle w:val="Style15"/>
        <w:keepNext w:val="0"/>
        <w:keepLines w:val="0"/>
        <w:widowControl w:val="0"/>
        <w:numPr>
          <w:ilvl w:val="0"/>
          <w:numId w:val="15"/>
        </w:numPr>
        <w:shd w:val="clear" w:color="auto" w:fill="auto"/>
        <w:tabs>
          <w:tab w:pos="574" w:val="left"/>
        </w:tabs>
        <w:bidi w:val="0"/>
        <w:spacing w:before="0" w:after="100" w:line="240" w:lineRule="auto"/>
        <w:ind w:left="0" w:right="0" w:firstLine="0"/>
        <w:jc w:val="both"/>
      </w:pPr>
      <w:r>
        <w:rPr>
          <w:b/>
          <w:bCs/>
          <w:color w:val="000000"/>
          <w:spacing w:val="0"/>
          <w:w w:val="100"/>
          <w:position w:val="0"/>
          <w:sz w:val="24"/>
          <w:szCs w:val="24"/>
          <w:shd w:val="clear" w:color="auto" w:fill="auto"/>
          <w:lang w:val="cs-CZ" w:eastAsia="cs-CZ" w:bidi="cs-CZ"/>
        </w:rPr>
        <w:t>TDS odpovídá za škodu, která objednateli vznikne v důsledku vadného plnění, a to v plném rozsahu</w:t>
      </w:r>
      <w:r>
        <w:rPr>
          <w:color w:val="000000"/>
          <w:spacing w:val="0"/>
          <w:w w:val="100"/>
          <w:position w:val="0"/>
          <w:sz w:val="24"/>
          <w:szCs w:val="24"/>
          <w:shd w:val="clear" w:color="auto" w:fill="auto"/>
          <w:lang w:val="cs-CZ" w:eastAsia="cs-CZ" w:bidi="cs-CZ"/>
        </w:rPr>
        <w:t>. Za škodu se považuje i újma, která objednateli vznikla tím, že musel vynaložit náklady v důsledku porušení povinností TDS.</w:t>
      </w:r>
    </w:p>
    <w:p>
      <w:pPr>
        <w:pStyle w:val="Style15"/>
        <w:keepNext w:val="0"/>
        <w:keepLines w:val="0"/>
        <w:widowControl w:val="0"/>
        <w:numPr>
          <w:ilvl w:val="0"/>
          <w:numId w:val="15"/>
        </w:numPr>
        <w:shd w:val="clear" w:color="auto" w:fill="auto"/>
        <w:tabs>
          <w:tab w:pos="574" w:val="left"/>
        </w:tabs>
        <w:bidi w:val="0"/>
        <w:spacing w:before="0" w:after="100" w:line="240" w:lineRule="auto"/>
        <w:ind w:left="0" w:right="0" w:firstLine="0"/>
        <w:jc w:val="both"/>
      </w:pPr>
      <w:r>
        <w:rPr>
          <w:b/>
          <w:bCs/>
          <w:color w:val="000000"/>
          <w:spacing w:val="0"/>
          <w:w w:val="100"/>
          <w:position w:val="0"/>
          <w:sz w:val="24"/>
          <w:szCs w:val="24"/>
          <w:shd w:val="clear" w:color="auto" w:fill="auto"/>
          <w:lang w:val="cs-CZ" w:eastAsia="cs-CZ" w:bidi="cs-CZ"/>
        </w:rPr>
        <w:t>TDS se zavazuje</w:t>
      </w:r>
      <w:r>
        <w:rPr>
          <w:color w:val="000000"/>
          <w:spacing w:val="0"/>
          <w:w w:val="100"/>
          <w:position w:val="0"/>
          <w:sz w:val="24"/>
          <w:szCs w:val="24"/>
          <w:shd w:val="clear" w:color="auto" w:fill="auto"/>
          <w:lang w:val="cs-CZ" w:eastAsia="cs-CZ" w:bidi="cs-CZ"/>
        </w:rPr>
        <w:t xml:space="preserve">, že po celou dobu plnění svého závazku z této smlouvy </w:t>
      </w:r>
      <w:r>
        <w:rPr>
          <w:b/>
          <w:bCs/>
          <w:color w:val="000000"/>
          <w:spacing w:val="0"/>
          <w:w w:val="100"/>
          <w:position w:val="0"/>
          <w:sz w:val="24"/>
          <w:szCs w:val="24"/>
          <w:shd w:val="clear" w:color="auto" w:fill="auto"/>
          <w:lang w:val="cs-CZ" w:eastAsia="cs-CZ" w:bidi="cs-CZ"/>
        </w:rPr>
        <w:t xml:space="preserve">bude mít </w:t>
      </w:r>
      <w:r>
        <w:rPr>
          <w:color w:val="000000"/>
          <w:spacing w:val="0"/>
          <w:w w:val="100"/>
          <w:position w:val="0"/>
          <w:sz w:val="24"/>
          <w:szCs w:val="24"/>
          <w:shd w:val="clear" w:color="auto" w:fill="auto"/>
          <w:lang w:val="cs-CZ" w:eastAsia="cs-CZ" w:bidi="cs-CZ"/>
        </w:rPr>
        <w:t xml:space="preserve">na vlastní náklady </w:t>
      </w:r>
      <w:r>
        <w:rPr>
          <w:b/>
          <w:bCs/>
          <w:color w:val="000000"/>
          <w:spacing w:val="0"/>
          <w:w w:val="100"/>
          <w:position w:val="0"/>
          <w:sz w:val="24"/>
          <w:szCs w:val="24"/>
          <w:shd w:val="clear" w:color="auto" w:fill="auto"/>
          <w:lang w:val="cs-CZ" w:eastAsia="cs-CZ" w:bidi="cs-CZ"/>
        </w:rPr>
        <w:t xml:space="preserve">sjednáno profesní pojištění odpovědnosti </w:t>
      </w:r>
      <w:r>
        <w:rPr>
          <w:color w:val="000000"/>
          <w:spacing w:val="0"/>
          <w:w w:val="100"/>
          <w:position w:val="0"/>
          <w:sz w:val="24"/>
          <w:szCs w:val="24"/>
          <w:shd w:val="clear" w:color="auto" w:fill="auto"/>
          <w:lang w:val="cs-CZ" w:eastAsia="cs-CZ" w:bidi="cs-CZ"/>
        </w:rPr>
        <w:t xml:space="preserve">za škodu způsobenou třetím osobám vyplývající z dodávaného předmětu smlouvy </w:t>
      </w:r>
      <w:r>
        <w:rPr>
          <w:b/>
          <w:bCs/>
          <w:color w:val="000000"/>
          <w:spacing w:val="0"/>
          <w:w w:val="100"/>
          <w:position w:val="0"/>
          <w:sz w:val="24"/>
          <w:szCs w:val="24"/>
          <w:shd w:val="clear" w:color="auto" w:fill="auto"/>
          <w:lang w:val="cs-CZ" w:eastAsia="cs-CZ" w:bidi="cs-CZ"/>
        </w:rPr>
        <w:t>s limitem min. 1.000.000,00 Kč</w:t>
      </w:r>
      <w:r>
        <w:rPr>
          <w:color w:val="000000"/>
          <w:spacing w:val="0"/>
          <w:w w:val="100"/>
          <w:position w:val="0"/>
          <w:sz w:val="24"/>
          <w:szCs w:val="24"/>
          <w:shd w:val="clear" w:color="auto" w:fill="auto"/>
          <w:lang w:val="cs-CZ" w:eastAsia="cs-CZ" w:bidi="cs-CZ"/>
        </w:rPr>
        <w:t>.</w:t>
      </w:r>
    </w:p>
    <w:p>
      <w:pPr>
        <w:pStyle w:val="Style15"/>
        <w:keepNext w:val="0"/>
        <w:keepLines w:val="0"/>
        <w:widowControl w:val="0"/>
        <w:numPr>
          <w:ilvl w:val="0"/>
          <w:numId w:val="15"/>
        </w:numPr>
        <w:shd w:val="clear" w:color="auto" w:fill="auto"/>
        <w:tabs>
          <w:tab w:pos="574" w:val="left"/>
        </w:tabs>
        <w:bidi w:val="0"/>
        <w:spacing w:before="0" w:after="380" w:line="240" w:lineRule="auto"/>
        <w:ind w:left="0" w:right="0" w:firstLine="0"/>
        <w:jc w:val="both"/>
      </w:pPr>
      <w:r>
        <w:rPr>
          <w:color w:val="000000"/>
          <w:spacing w:val="0"/>
          <w:w w:val="100"/>
          <w:position w:val="0"/>
          <w:sz w:val="24"/>
          <w:szCs w:val="24"/>
          <w:shd w:val="clear" w:color="auto" w:fill="auto"/>
          <w:lang w:val="cs-CZ" w:eastAsia="cs-CZ" w:bidi="cs-CZ"/>
        </w:rPr>
        <w:t>Odpovědnost za škodu se řídí příslušnými ustanoveními občanského zákoníku, nestanoví-li smlouva jinak.</w:t>
      </w:r>
    </w:p>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10</w:t>
      </w:r>
    </w:p>
    <w:p>
      <w:pPr>
        <w:pStyle w:val="Style27"/>
        <w:keepNext/>
        <w:keepLines/>
        <w:widowControl w:val="0"/>
        <w:shd w:val="clear" w:color="auto" w:fill="auto"/>
        <w:bidi w:val="0"/>
        <w:spacing w:before="0" w:after="100" w:line="240" w:lineRule="auto"/>
        <w:ind w:left="0" w:right="0" w:firstLine="0"/>
        <w:jc w:val="center"/>
      </w:pPr>
      <w:bookmarkStart w:id="32" w:name="bookmark32"/>
      <w:bookmarkStart w:id="33" w:name="bookmark33"/>
      <w:r>
        <w:rPr>
          <w:color w:val="000000"/>
          <w:spacing w:val="0"/>
          <w:w w:val="100"/>
          <w:position w:val="0"/>
          <w:sz w:val="24"/>
          <w:szCs w:val="24"/>
          <w:shd w:val="clear" w:color="auto" w:fill="auto"/>
          <w:lang w:val="cs-CZ" w:eastAsia="cs-CZ" w:bidi="cs-CZ"/>
        </w:rPr>
        <w:t>Ostatní ujednání, závěrečná ustanovení</w:t>
      </w:r>
      <w:bookmarkEnd w:id="32"/>
      <w:bookmarkEnd w:id="33"/>
    </w:p>
    <w:p>
      <w:pPr>
        <w:pStyle w:val="Style15"/>
        <w:keepNext w:val="0"/>
        <w:keepLines w:val="0"/>
        <w:widowControl w:val="0"/>
        <w:shd w:val="clear" w:color="auto" w:fill="auto"/>
        <w:bidi w:val="0"/>
        <w:spacing w:before="0" w:after="100" w:line="240" w:lineRule="auto"/>
        <w:ind w:left="0" w:right="0" w:firstLine="0"/>
        <w:jc w:val="both"/>
      </w:pPr>
      <w:r>
        <w:rPr>
          <w:b/>
          <w:bCs/>
          <w:color w:val="000000"/>
          <w:spacing w:val="0"/>
          <w:w w:val="100"/>
          <w:position w:val="0"/>
          <w:sz w:val="24"/>
          <w:szCs w:val="24"/>
          <w:shd w:val="clear" w:color="auto" w:fill="auto"/>
          <w:lang w:val="cs-CZ" w:eastAsia="cs-CZ" w:bidi="cs-CZ"/>
        </w:rPr>
        <w:t xml:space="preserve">10.1. </w:t>
      </w:r>
      <w:r>
        <w:rPr>
          <w:color w:val="000000"/>
          <w:spacing w:val="0"/>
          <w:w w:val="100"/>
          <w:position w:val="0"/>
          <w:sz w:val="24"/>
          <w:szCs w:val="24"/>
          <w:shd w:val="clear" w:color="auto" w:fill="auto"/>
          <w:lang w:val="cs-CZ" w:eastAsia="cs-CZ" w:bidi="cs-CZ"/>
        </w:rPr>
        <w:t>Tato smlouva je uzavřena na dobu určitou ode dne jejího podpisu do dne ukončení předmětu plnění.</w:t>
      </w:r>
    </w:p>
    <w:p>
      <w:pPr>
        <w:pStyle w:val="Style15"/>
        <w:keepNext w:val="0"/>
        <w:keepLines w:val="0"/>
        <w:widowControl w:val="0"/>
        <w:shd w:val="clear" w:color="auto" w:fill="auto"/>
        <w:bidi w:val="0"/>
        <w:spacing w:before="0" w:after="100" w:line="240" w:lineRule="auto"/>
        <w:ind w:left="0" w:right="0" w:firstLine="0"/>
        <w:jc w:val="both"/>
      </w:pPr>
      <w:r>
        <w:rPr>
          <w:b/>
          <w:bCs/>
          <w:color w:val="000000"/>
          <w:spacing w:val="0"/>
          <w:w w:val="100"/>
          <w:position w:val="0"/>
          <w:sz w:val="24"/>
          <w:szCs w:val="24"/>
          <w:shd w:val="clear" w:color="auto" w:fill="auto"/>
          <w:lang w:val="cs-CZ" w:eastAsia="cs-CZ" w:bidi="cs-CZ"/>
        </w:rPr>
        <w:t xml:space="preserve">10.2. </w:t>
      </w:r>
      <w:r>
        <w:rPr>
          <w:color w:val="000000"/>
          <w:spacing w:val="0"/>
          <w:w w:val="100"/>
          <w:position w:val="0"/>
          <w:sz w:val="24"/>
          <w:szCs w:val="24"/>
          <w:shd w:val="clear" w:color="auto" w:fill="auto"/>
          <w:lang w:val="cs-CZ" w:eastAsia="cs-CZ" w:bidi="cs-CZ"/>
        </w:rPr>
        <w:t>TDS je oprávněn vypovědět smlouvu s účinností ke konci kalendářního měsíce následujícího po měsíci, v němž byla výpověď doručena objednateli, nevyplývá-li z výpovědi doba pozdější. Do doby ukončení výpovědní lhůty jsou smluvní strany vázány zněním § 2440 občanského zákoníku.</w:t>
      </w:r>
    </w:p>
    <w:p>
      <w:pPr>
        <w:pStyle w:val="Style15"/>
        <w:keepNext w:val="0"/>
        <w:keepLines w:val="0"/>
        <w:widowControl w:val="0"/>
        <w:numPr>
          <w:ilvl w:val="0"/>
          <w:numId w:val="17"/>
        </w:numPr>
        <w:shd w:val="clear" w:color="auto" w:fill="auto"/>
        <w:tabs>
          <w:tab w:pos="643"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Pokud jedna ze smluvních stran poruší závažným způsobem své povinnosti, je druhá strana oprávněna tuto smlouvu vypovědět. Obě smluvní strany se dohodly na měsíční výpovědní lhůtě s účinností ke konci kalendářního měsíce následujícího po měsíci, ve kterém výpověď byla doručena druhé smluvní straně. Ke dni účinnosti výpovědi zaniká závazek TDS uskutečňovat činnosti, ke kterým se zavázal. Jestliže by tímto přerušením činností mohla vzniknout objednateli škoda, je TDS povinen na toto nebezpečí upozornit a navrhnout, jaká opatření je třeba učinit. Smlouva může být rovněž zrušena dohodou smluvních stran. Výpověď i dohoda musí být v písemné formě.</w:t>
      </w:r>
    </w:p>
    <w:p>
      <w:pPr>
        <w:pStyle w:val="Style15"/>
        <w:keepNext w:val="0"/>
        <w:keepLines w:val="0"/>
        <w:widowControl w:val="0"/>
        <w:numPr>
          <w:ilvl w:val="0"/>
          <w:numId w:val="17"/>
        </w:numPr>
        <w:shd w:val="clear" w:color="auto" w:fill="auto"/>
        <w:tabs>
          <w:tab w:pos="643"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TDS.</w:t>
      </w:r>
    </w:p>
    <w:p>
      <w:pPr>
        <w:pStyle w:val="Style15"/>
        <w:keepNext w:val="0"/>
        <w:keepLines w:val="0"/>
        <w:widowControl w:val="0"/>
        <w:numPr>
          <w:ilvl w:val="0"/>
          <w:numId w:val="17"/>
        </w:numPr>
        <w:shd w:val="clear" w:color="auto" w:fill="auto"/>
        <w:tabs>
          <w:tab w:pos="830" w:val="left"/>
        </w:tabs>
        <w:bidi w:val="0"/>
        <w:spacing w:before="0" w:after="100" w:line="240" w:lineRule="auto"/>
        <w:ind w:left="0" w:right="0" w:firstLine="160"/>
        <w:jc w:val="both"/>
      </w:pPr>
      <w:r>
        <w:rPr>
          <w:b/>
          <w:bCs/>
          <w:color w:val="000000"/>
          <w:spacing w:val="0"/>
          <w:w w:val="100"/>
          <w:position w:val="0"/>
          <w:sz w:val="24"/>
          <w:szCs w:val="24"/>
          <w:shd w:val="clear" w:color="auto" w:fill="auto"/>
          <w:lang w:val="cs-CZ" w:eastAsia="cs-CZ" w:bidi="cs-CZ"/>
        </w:rPr>
        <w:t>Smlouva je uzavírána s odloženou účinností, přičemž tato Smlouva nabývá účinnosti dnem nabytí účinnosti smlouvy o dílo se zhotovitelem stavby.</w:t>
      </w:r>
    </w:p>
    <w:p>
      <w:pPr>
        <w:pStyle w:val="Style15"/>
        <w:keepNext w:val="0"/>
        <w:keepLines w:val="0"/>
        <w:widowControl w:val="0"/>
        <w:numPr>
          <w:ilvl w:val="0"/>
          <w:numId w:val="17"/>
        </w:numPr>
        <w:shd w:val="clear" w:color="auto" w:fill="auto"/>
        <w:tabs>
          <w:tab w:pos="830" w:val="left"/>
        </w:tabs>
        <w:bidi w:val="0"/>
        <w:spacing w:before="0" w:after="100" w:line="240" w:lineRule="auto"/>
        <w:ind w:left="0" w:right="0" w:firstLine="160"/>
        <w:jc w:val="both"/>
      </w:pPr>
      <w:r>
        <w:rPr>
          <w:b/>
          <w:bCs/>
          <w:color w:val="000000"/>
          <w:spacing w:val="0"/>
          <w:w w:val="100"/>
          <w:position w:val="0"/>
          <w:sz w:val="24"/>
          <w:szCs w:val="24"/>
          <w:shd w:val="clear" w:color="auto" w:fill="auto"/>
          <w:lang w:val="cs-CZ" w:eastAsia="cs-CZ" w:bidi="cs-CZ"/>
        </w:rPr>
        <w:t>Objednatel se zavazuje po nabytí účinnosti dle předchozího odstavce zaslat Zhotoviteli písemnou výzvu k zahájení činnosti.</w:t>
      </w:r>
    </w:p>
    <w:p>
      <w:pPr>
        <w:pStyle w:val="Style15"/>
        <w:keepNext w:val="0"/>
        <w:keepLines w:val="0"/>
        <w:widowControl w:val="0"/>
        <w:numPr>
          <w:ilvl w:val="0"/>
          <w:numId w:val="17"/>
        </w:numPr>
        <w:shd w:val="clear" w:color="auto" w:fill="auto"/>
        <w:tabs>
          <w:tab w:pos="830" w:val="left"/>
        </w:tabs>
        <w:bidi w:val="0"/>
        <w:spacing w:before="0" w:after="100" w:line="240" w:lineRule="auto"/>
        <w:ind w:left="0" w:right="0" w:firstLine="160"/>
        <w:jc w:val="both"/>
      </w:pPr>
      <w:r>
        <w:rPr>
          <w:b/>
          <w:bCs/>
          <w:color w:val="000000"/>
          <w:spacing w:val="0"/>
          <w:w w:val="100"/>
          <w:position w:val="0"/>
          <w:sz w:val="24"/>
          <w:szCs w:val="24"/>
          <w:shd w:val="clear" w:color="auto" w:fill="auto"/>
          <w:lang w:val="cs-CZ" w:eastAsia="cs-CZ" w:bidi="cs-CZ"/>
        </w:rPr>
        <w:t>Pokud Objednatel Zhotoviteli neodešle písemnou výzvu k zahájení činnosti dle této Smlouvy ani do 31. 8. 2022, nenabude Smlouva účinnosti a bez dalšího tímto dnem pozbude i své platnosti. V takovém případě nevzniká Zhotoviteli nárok na náhradu škody nebo ušlého zisku a s tímto vědomím Zhotovitel Smlouvu podepisuje</w:t>
      </w:r>
      <w:r>
        <w:rPr>
          <w:color w:val="000000"/>
          <w:spacing w:val="0"/>
          <w:w w:val="100"/>
          <w:position w:val="0"/>
          <w:sz w:val="24"/>
          <w:szCs w:val="24"/>
          <w:shd w:val="clear" w:color="auto" w:fill="auto"/>
          <w:lang w:val="cs-CZ" w:eastAsia="cs-CZ" w:bidi="cs-CZ"/>
        </w:rPr>
        <w:t>.</w:t>
      </w:r>
      <w:r>
        <w:br w:type="page"/>
      </w:r>
    </w:p>
    <w:p>
      <w:pPr>
        <w:pStyle w:val="Style19"/>
        <w:keepNext/>
        <w:keepLines/>
        <w:widowControl w:val="0"/>
        <w:shd w:val="clear" w:color="auto" w:fill="auto"/>
        <w:bidi w:val="0"/>
        <w:spacing w:before="0" w:after="0" w:line="240" w:lineRule="auto"/>
        <w:ind w:left="0" w:right="0" w:firstLine="0"/>
        <w:jc w:val="center"/>
      </w:pPr>
      <w:bookmarkStart w:id="34" w:name="bookmark34"/>
      <w:bookmarkStart w:id="35" w:name="bookmark35"/>
      <w:r>
        <w:rPr>
          <w:spacing w:val="0"/>
          <w:w w:val="100"/>
          <w:position w:val="0"/>
          <w:shd w:val="clear" w:color="auto" w:fill="auto"/>
          <w:lang w:val="cs-CZ" w:eastAsia="cs-CZ" w:bidi="cs-CZ"/>
        </w:rPr>
        <w:t>Ssfdi</w:t>
      </w:r>
      <w:bookmarkEnd w:id="34"/>
      <w:bookmarkEnd w:id="35"/>
    </w:p>
    <w:p>
      <w:pPr>
        <w:pStyle w:val="Style21"/>
        <w:keepNext w:val="0"/>
        <w:keepLines w:val="0"/>
        <w:widowControl w:val="0"/>
        <w:shd w:val="clear" w:color="auto" w:fill="auto"/>
        <w:bidi w:val="0"/>
        <w:spacing w:before="0" w:line="240" w:lineRule="auto"/>
        <w:ind w:right="4180"/>
        <w:jc w:val="left"/>
      </w:pPr>
      <w:r>
        <w:rPr>
          <w:spacing w:val="0"/>
          <w:w w:val="100"/>
          <w:position w:val="0"/>
          <w:shd w:val="clear" w:color="auto" w:fill="auto"/>
          <w:lang w:val="cs-CZ" w:eastAsia="cs-CZ" w:bidi="cs-CZ"/>
        </w:rPr>
        <w:t>STÁTNÍ FOND DOPRAVNÍ INFRASTRUKTURY</w:t>
      </w:r>
    </w:p>
    <w:p>
      <w:pPr>
        <w:pStyle w:val="Style15"/>
        <w:keepNext w:val="0"/>
        <w:keepLines w:val="0"/>
        <w:widowControl w:val="0"/>
        <w:numPr>
          <w:ilvl w:val="0"/>
          <w:numId w:val="17"/>
        </w:numPr>
        <w:shd w:val="clear" w:color="auto" w:fill="auto"/>
        <w:tabs>
          <w:tab w:pos="67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Objednatel si vyhrazuje právo odstoupit od smlouvy v případě, že stavba, pro kterou se sjednává předmět plnění dle č. 2, nebude zahájena v termínu 12 měsíců od účinnosti této smlouvy. TDS bere tuto skutečnost na vědomí a pro případ, že se tak stane, je s tím srozuměn.</w:t>
      </w:r>
    </w:p>
    <w:p>
      <w:pPr>
        <w:pStyle w:val="Style15"/>
        <w:keepNext w:val="0"/>
        <w:keepLines w:val="0"/>
        <w:widowControl w:val="0"/>
        <w:numPr>
          <w:ilvl w:val="0"/>
          <w:numId w:val="17"/>
        </w:numPr>
        <w:shd w:val="clear" w:color="auto" w:fill="auto"/>
        <w:tabs>
          <w:tab w:pos="67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Smluvní strany prohlašují, že tato smlouva neobsahuje žádné údaje, které by byly smluvními stranami považovány za obchodní tajemství, stejně tak jako údaje, jejichž zveřejnění by bránily jiné právní předpisy.</w:t>
      </w:r>
    </w:p>
    <w:p>
      <w:pPr>
        <w:pStyle w:val="Style15"/>
        <w:keepNext w:val="0"/>
        <w:keepLines w:val="0"/>
        <w:widowControl w:val="0"/>
        <w:numPr>
          <w:ilvl w:val="0"/>
          <w:numId w:val="17"/>
        </w:numPr>
        <w:shd w:val="clear" w:color="auto" w:fill="auto"/>
        <w:tabs>
          <w:tab w:pos="79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Pro vztahy výslovně neupravené touto smlouvou platí ustanovení občanského zákoníku. Smluvní strany se dohodly na tom, že při plnění této smlouvy nebudou mít obchodní zvyklosti přednost před dispozitivními ustanoveními zákona.</w:t>
      </w:r>
    </w:p>
    <w:p>
      <w:pPr>
        <w:pStyle w:val="Style15"/>
        <w:keepNext w:val="0"/>
        <w:keepLines w:val="0"/>
        <w:widowControl w:val="0"/>
        <w:numPr>
          <w:ilvl w:val="0"/>
          <w:numId w:val="17"/>
        </w:numPr>
        <w:shd w:val="clear" w:color="auto" w:fill="auto"/>
        <w:tabs>
          <w:tab w:pos="790" w:val="left"/>
        </w:tabs>
        <w:bidi w:val="0"/>
        <w:spacing w:before="0" w:line="233" w:lineRule="auto"/>
        <w:ind w:left="0" w:right="0" w:firstLine="0"/>
        <w:jc w:val="both"/>
      </w:pPr>
      <w:r>
        <w:rPr>
          <w:color w:val="000000"/>
          <w:spacing w:val="0"/>
          <w:w w:val="100"/>
          <w:position w:val="0"/>
          <w:sz w:val="24"/>
          <w:szCs w:val="24"/>
          <w:shd w:val="clear" w:color="auto" w:fill="auto"/>
          <w:lang w:val="cs-CZ" w:eastAsia="cs-CZ" w:bidi="cs-CZ"/>
        </w:rPr>
        <w:t>Smlouva o dílo je vyhotovena v elektronické podobě, přičemž obě smluvní strany obdrží její elektronický originál.</w:t>
      </w:r>
    </w:p>
    <w:p>
      <w:pPr>
        <w:pStyle w:val="Style15"/>
        <w:keepNext w:val="0"/>
        <w:keepLines w:val="0"/>
        <w:widowControl w:val="0"/>
        <w:numPr>
          <w:ilvl w:val="0"/>
          <w:numId w:val="17"/>
        </w:numPr>
        <w:shd w:val="clear" w:color="auto" w:fill="auto"/>
        <w:tabs>
          <w:tab w:pos="79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Smluvní strany prohlašují, že si smlouvu před podpisem přečetly, s jejím obsahem souhlasí a na důkaz svobodné a vážné vůle připojují své podpisy.</w:t>
      </w:r>
    </w:p>
    <w:p>
      <w:pPr>
        <w:pStyle w:val="Style15"/>
        <w:keepNext w:val="0"/>
        <w:keepLines w:val="0"/>
        <w:widowControl w:val="0"/>
        <w:numPr>
          <w:ilvl w:val="0"/>
          <w:numId w:val="17"/>
        </w:numPr>
        <w:shd w:val="clear" w:color="auto" w:fill="auto"/>
        <w:tabs>
          <w:tab w:pos="790" w:val="left"/>
        </w:tabs>
        <w:bidi w:val="0"/>
        <w:spacing w:before="0" w:after="500" w:line="240" w:lineRule="auto"/>
        <w:ind w:left="0" w:right="0" w:firstLine="0"/>
        <w:jc w:val="both"/>
      </w:pPr>
      <w:r>
        <w:rPr>
          <w:color w:val="000000"/>
          <w:spacing w:val="0"/>
          <w:w w:val="100"/>
          <w:position w:val="0"/>
          <w:sz w:val="24"/>
          <w:szCs w:val="24"/>
          <w:shd w:val="clear" w:color="auto" w:fill="auto"/>
          <w:lang w:val="cs-CZ" w:eastAsia="cs-CZ" w:bidi="cs-CZ"/>
        </w:rPr>
        <w:t>Tato smlouva nabývá platnosti dnem podpisu smlouvy oprávněnými zástupci obou smluvních stran.</w:t>
      </w:r>
    </w:p>
    <w:p>
      <w:pPr>
        <w:pStyle w:val="Style15"/>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Přílohy:</w:t>
      </w:r>
    </w:p>
    <w:p>
      <w:pPr>
        <w:pStyle w:val="Style15"/>
        <w:keepNext w:val="0"/>
        <w:keepLines w:val="0"/>
        <w:widowControl w:val="0"/>
        <w:shd w:val="clear" w:color="auto" w:fill="auto"/>
        <w:bidi w:val="0"/>
        <w:spacing w:before="0" w:after="500" w:line="240" w:lineRule="auto"/>
        <w:ind w:left="0" w:right="0" w:firstLine="0"/>
        <w:jc w:val="both"/>
      </w:pPr>
      <w:r>
        <w:rPr>
          <w:rFonts w:ascii="Arial" w:eastAsia="Arial" w:hAnsi="Arial" w:cs="Arial"/>
          <w:color w:val="000000"/>
          <w:spacing w:val="0"/>
          <w:w w:val="100"/>
          <w:position w:val="0"/>
          <w:sz w:val="13"/>
          <w:szCs w:val="13"/>
          <w:shd w:val="clear" w:color="auto" w:fill="auto"/>
          <w:lang w:val="cs-CZ" w:eastAsia="cs-CZ" w:bidi="cs-CZ"/>
        </w:rPr>
        <w:t xml:space="preserve">o </w:t>
      </w:r>
      <w:r>
        <w:rPr>
          <w:b/>
          <w:bCs/>
          <w:color w:val="000000"/>
          <w:spacing w:val="0"/>
          <w:w w:val="100"/>
          <w:position w:val="0"/>
          <w:sz w:val="24"/>
          <w:szCs w:val="24"/>
          <w:shd w:val="clear" w:color="auto" w:fill="auto"/>
          <w:lang w:val="cs-CZ" w:eastAsia="cs-CZ" w:bidi="cs-CZ"/>
        </w:rPr>
        <w:t>Příloha č. 1 - Kalkulace odměny TDS</w:t>
      </w:r>
    </w:p>
    <w:p>
      <w:pPr>
        <w:pStyle w:val="Style3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15"/>
        <w:keepNext w:val="0"/>
        <w:keepLines w:val="0"/>
        <w:widowControl w:val="0"/>
        <w:shd w:val="clear" w:color="auto" w:fill="auto"/>
        <w:bidi w:val="0"/>
        <w:spacing w:before="0" w:after="0" w:line="240" w:lineRule="auto"/>
        <w:ind w:left="0" w:right="0" w:firstLine="0"/>
        <w:jc w:val="center"/>
        <w:sectPr>
          <w:footerReference w:type="default" r:id="rId7"/>
          <w:footnotePr>
            <w:pos w:val="pageBottom"/>
            <w:numFmt w:val="decimal"/>
            <w:numRestart w:val="continuous"/>
          </w:footnotePr>
          <w:type w:val="continuous"/>
          <w:pgSz w:w="12240" w:h="15840"/>
          <w:pgMar w:top="23" w:left="1128" w:right="978" w:bottom="968" w:header="0" w:footer="3" w:gutter="0"/>
          <w:cols w:space="720"/>
          <w:noEndnote/>
          <w:rtlGutter w:val="0"/>
          <w:docGrid w:linePitch="360"/>
        </w:sectPr>
      </w:pPr>
      <w:r>
        <mc:AlternateContent>
          <mc:Choice Requires="wps">
            <w:drawing>
              <wp:anchor distT="0" distB="0" distL="114300" distR="114300" simplePos="0" relativeHeight="125829386" behindDoc="0" locked="0" layoutInCell="1" allowOverlap="1">
                <wp:simplePos x="0" y="0"/>
                <wp:positionH relativeFrom="page">
                  <wp:posOffset>731520</wp:posOffset>
                </wp:positionH>
                <wp:positionV relativeFrom="paragraph">
                  <wp:posOffset>12700</wp:posOffset>
                </wp:positionV>
                <wp:extent cx="377825" cy="201295"/>
                <wp:wrapSquare wrapText="bothSides"/>
                <wp:docPr id="25" name="Shape 25"/>
                <a:graphic xmlns:a="http://schemas.openxmlformats.org/drawingml/2006/main">
                  <a:graphicData uri="http://schemas.microsoft.com/office/word/2010/wordprocessingShape">
                    <wps:wsp>
                      <wps:cNvSpPr txBox="1"/>
                      <wps:spPr>
                        <a:xfrm>
                          <a:ext cx="377825" cy="201295"/>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TDS:</w:t>
                            </w:r>
                          </w:p>
                        </w:txbxContent>
                      </wps:txbx>
                      <wps:bodyPr wrap="none" lIns="0" tIns="0" rIns="0" bIns="0">
                        <a:noAutoFit/>
                      </wps:bodyPr>
                    </wps:wsp>
                  </a:graphicData>
                </a:graphic>
              </wp:anchor>
            </w:drawing>
          </mc:Choice>
          <mc:Fallback>
            <w:pict>
              <v:shape id="_x0000_s1051" type="#_x0000_t202" style="position:absolute;margin-left:57.600000000000001pt;margin-top:1.pt;width:29.75pt;height:15.85pt;z-index:-125829367;mso-wrap-distance-left:9.pt;mso-wrap-distance-right:9.pt;mso-position-horizontal-relative:page" filled="f" stroked="f">
                <v:textbox inset="0,0,0,0">
                  <w:txbxContent>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TDS:</w:t>
                      </w:r>
                    </w:p>
                  </w:txbxContent>
                </v:textbox>
                <w10:wrap type="square" anchorx="page"/>
              </v:shape>
            </w:pict>
          </mc:Fallback>
        </mc:AlternateContent>
      </w:r>
      <w:r>
        <w:rPr>
          <w:color w:val="000000"/>
          <w:spacing w:val="0"/>
          <w:w w:val="100"/>
          <w:position w:val="0"/>
          <w:sz w:val="24"/>
          <w:szCs w:val="24"/>
          <w:shd w:val="clear" w:color="auto" w:fill="auto"/>
          <w:lang w:val="cs-CZ" w:eastAsia="cs-CZ" w:bidi="cs-CZ"/>
        </w:rPr>
        <w:t>Objednatel:</w:t>
      </w:r>
    </w:p>
    <w:p>
      <w:pPr>
        <w:widowControl w:val="0"/>
        <w:spacing w:before="89" w:after="89" w:line="240" w:lineRule="exact"/>
        <w:rPr>
          <w:sz w:val="19"/>
          <w:szCs w:val="19"/>
        </w:rPr>
      </w:pPr>
    </w:p>
    <w:p>
      <w:pPr>
        <w:widowControl w:val="0"/>
        <w:spacing w:line="1" w:lineRule="exact"/>
        <w:sectPr>
          <w:footnotePr>
            <w:pos w:val="pageBottom"/>
            <w:numFmt w:val="decimal"/>
            <w:numRestart w:val="continuous"/>
          </w:footnotePr>
          <w:type w:val="continuous"/>
          <w:pgSz w:w="12240" w:h="15840"/>
          <w:pgMar w:top="91" w:left="0" w:right="0" w:bottom="1181" w:header="0" w:footer="3" w:gutter="0"/>
          <w:cols w:space="720"/>
          <w:noEndnote/>
          <w:rtlGutter w:val="0"/>
          <w:docGrid w:linePitch="360"/>
        </w:sectPr>
      </w:pPr>
    </w:p>
    <w:p>
      <w:pPr>
        <w:pStyle w:val="Style15"/>
        <w:keepNext w:val="0"/>
        <w:keepLines w:val="0"/>
        <w:framePr w:w="2338" w:h="317" w:wrap="none" w:vAnchor="text" w:hAnchor="page" w:x="1153" w:y="2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Praze dne: 10.2.2022</w:t>
      </w:r>
    </w:p>
    <w:p>
      <w:pPr>
        <w:pStyle w:val="Style15"/>
        <w:keepNext w:val="0"/>
        <w:keepLines w:val="0"/>
        <w:framePr w:w="3202" w:h="317" w:wrap="none" w:vAnchor="text" w:hAnchor="page" w:x="6184" w:y="21"/>
        <w:widowControl w:val="0"/>
        <w:shd w:val="clear" w:color="auto" w:fill="auto"/>
        <w:tabs>
          <w:tab w:leader="dot" w:pos="3125"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 xml:space="preserve">V Jihlavě dne: </w:t>
        <w:tab/>
      </w:r>
    </w:p>
    <w:p>
      <w:pPr>
        <w:widowControl w:val="0"/>
        <w:spacing w:after="321" w:line="1" w:lineRule="exact"/>
      </w:pPr>
    </w:p>
    <w:p>
      <w:pPr>
        <w:widowControl w:val="0"/>
        <w:spacing w:line="1" w:lineRule="exact"/>
        <w:sectPr>
          <w:footnotePr>
            <w:pos w:val="pageBottom"/>
            <w:numFmt w:val="decimal"/>
            <w:numRestart w:val="continuous"/>
          </w:footnotePr>
          <w:type w:val="continuous"/>
          <w:pgSz w:w="12240" w:h="15840"/>
          <w:pgMar w:top="91" w:left="1152" w:right="1003" w:bottom="1181" w:header="0" w:footer="3" w:gutter="0"/>
          <w:cols w:space="720"/>
          <w:noEndnote/>
          <w:rtlGutter w:val="0"/>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17" w:after="117" w:line="240" w:lineRule="exact"/>
        <w:rPr>
          <w:sz w:val="19"/>
          <w:szCs w:val="19"/>
        </w:rPr>
      </w:pPr>
    </w:p>
    <w:p>
      <w:pPr>
        <w:widowControl w:val="0"/>
        <w:spacing w:line="1" w:lineRule="exact"/>
        <w:sectPr>
          <w:footnotePr>
            <w:pos w:val="pageBottom"/>
            <w:numFmt w:val="decimal"/>
            <w:numRestart w:val="continuous"/>
          </w:footnotePr>
          <w:type w:val="continuous"/>
          <w:pgSz w:w="12240" w:h="15840"/>
          <w:pgMar w:top="91" w:left="0" w:right="0" w:bottom="1281" w:header="0" w:footer="3" w:gutter="0"/>
          <w:cols w:space="720"/>
          <w:noEndnote/>
          <w:rtlGutter w:val="0"/>
          <w:docGrid w:linePitch="360"/>
        </w:sectPr>
      </w:pPr>
    </w:p>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Daniel Balla, DiS.</w:t>
        <w:br/>
        <w:t>Jednatel společnosti</w:t>
      </w:r>
    </w:p>
    <w:p>
      <w:pPr>
        <w:pStyle w:val="Style15"/>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2240" w:h="15840"/>
          <w:pgMar w:top="91" w:left="2669" w:right="2607" w:bottom="1281" w:header="0" w:footer="3" w:gutter="0"/>
          <w:cols w:num="2" w:space="2962"/>
          <w:noEndnote/>
          <w:rtlGutter w:val="0"/>
          <w:docGrid w:linePitch="360"/>
        </w:sectPr>
      </w:pPr>
      <w:r>
        <w:rPr>
          <w:color w:val="000000"/>
          <w:spacing w:val="0"/>
          <w:w w:val="100"/>
          <w:position w:val="0"/>
          <w:sz w:val="24"/>
          <w:szCs w:val="24"/>
          <w:shd w:val="clear" w:color="auto" w:fill="auto"/>
          <w:lang w:val="cs-CZ" w:eastAsia="cs-CZ" w:bidi="cs-CZ"/>
        </w:rPr>
        <w:t>Ing. Radovan Necid</w:t>
        <w:br/>
        <w:t>ředitel</w:t>
      </w:r>
    </w:p>
    <w:p>
      <w:pPr>
        <w:rPr>
          <w:sz w:val="2"/>
          <w:szCs w:val="2"/>
        </w:rPr>
        <w:sectPr>
          <w:footnotePr>
            <w:pos w:val="pageBottom"/>
            <w:numFmt w:val="decimal"/>
            <w:numRestart w:val="continuous"/>
          </w:footnotePr>
          <w:type w:val="continuous"/>
          <w:pgSz w:w="12240" w:h="15840"/>
          <w:pgMar w:top="91" w:left="2669" w:right="2607" w:bottom="1281" w:header="0" w:footer="3" w:gutter="0"/>
          <w:cols w:num="2" w:space="2962"/>
          <w:noEndnote/>
          <w:rtlGutter w:val="0"/>
          <w:docGrid w:linePitch="360"/>
        </w:sectPr>
      </w:pPr>
    </w:p>
    <w:tbl>
      <w:tblPr>
        <w:tblOverlap w:val="never"/>
        <w:jc w:val="left"/>
        <w:tblLayout w:type="fixed"/>
      </w:tblPr>
      <w:tblGrid>
        <w:gridCol w:w="552"/>
        <w:gridCol w:w="5832"/>
        <w:gridCol w:w="1517"/>
        <w:gridCol w:w="1632"/>
      </w:tblGrid>
      <w:tr>
        <w:trPr>
          <w:trHeight w:val="499" w:hRule="exact"/>
        </w:trPr>
        <w:tc>
          <w:tcPr>
            <w:gridSpan w:val="4"/>
            <w:tcBorders>
              <w:top w:val="single" w:sz="4"/>
              <w:left w:val="single" w:sz="4"/>
              <w:right w:val="single" w:sz="4"/>
            </w:tcBorders>
            <w:shd w:val="clear" w:color="auto" w:fill="FFFFFF"/>
            <w:vAlign w:val="bottom"/>
          </w:tcPr>
          <w:p>
            <w:pPr>
              <w:pStyle w:val="Style11"/>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Příloha č. 1</w:t>
            </w:r>
          </w:p>
        </w:tc>
      </w:tr>
      <w:tr>
        <w:trPr>
          <w:trHeight w:val="557" w:hRule="exact"/>
        </w:trPr>
        <w:tc>
          <w:tcPr>
            <w:gridSpan w:val="4"/>
            <w:tcBorders>
              <w:top w:val="single" w:sz="4"/>
              <w:left w:val="single" w:sz="4"/>
              <w:right w:val="single" w:sz="4"/>
            </w:tcBorders>
            <w:shd w:val="clear" w:color="auto" w:fill="FFFFFF"/>
            <w:vAlign w:val="bottom"/>
          </w:tcPr>
          <w:p>
            <w:pPr>
              <w:pStyle w:val="Style11"/>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center"/>
              <w:rPr>
                <w:sz w:val="30"/>
                <w:szCs w:val="30"/>
              </w:rPr>
            </w:pPr>
            <w:r>
              <w:rPr>
                <w:b/>
                <w:bCs/>
                <w:color w:val="000000"/>
                <w:spacing w:val="0"/>
                <w:w w:val="100"/>
                <w:position w:val="0"/>
                <w:sz w:val="30"/>
                <w:szCs w:val="30"/>
                <w:shd w:val="clear" w:color="auto" w:fill="auto"/>
                <w:lang w:val="cs-CZ" w:eastAsia="cs-CZ" w:bidi="cs-CZ"/>
              </w:rPr>
              <w:t>Kalkulace odměny TDS</w:t>
            </w:r>
          </w:p>
        </w:tc>
      </w:tr>
      <w:tr>
        <w:trPr>
          <w:trHeight w:val="384" w:hRule="exact"/>
        </w:trPr>
        <w:tc>
          <w:tcPr>
            <w:gridSpan w:val="4"/>
            <w:tcBorders>
              <w:top w:val="single" w:sz="4"/>
              <w:left w:val="single" w:sz="4"/>
              <w:right w:val="single" w:sz="4"/>
            </w:tcBorders>
            <w:shd w:val="clear" w:color="auto" w:fill="FFFFFF"/>
            <w:vAlign w:val="bottom"/>
          </w:tcPr>
          <w:p>
            <w:pPr>
              <w:pStyle w:val="Style11"/>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Název akce: "III/01945 Rantířov, opěrná zeď u mostu ev.č. 01945-3 v km 4,624 - 4,642"</w:t>
            </w:r>
          </w:p>
        </w:tc>
      </w:tr>
      <w:tr>
        <w:trPr>
          <w:trHeight w:val="365" w:hRule="exact"/>
        </w:trPr>
        <w:tc>
          <w:tcPr>
            <w:vMerge w:val="restart"/>
            <w:tcBorders>
              <w:top w:val="single" w:sz="4"/>
              <w:left w:val="single" w:sz="4"/>
            </w:tcBorders>
            <w:shd w:val="clear" w:color="auto" w:fill="FFFFFF"/>
            <w:vAlign w:val="center"/>
          </w:tcPr>
          <w:p>
            <w:pPr>
              <w:pStyle w:val="Style11"/>
              <w:keepNext w:val="0"/>
              <w:keepLines w:val="0"/>
              <w:framePr w:w="9533" w:h="9821" w:hSpace="864" w:vSpace="307" w:wrap="notBeside" w:vAnchor="text" w:hAnchor="text" w:y="1"/>
              <w:widowControl w:val="0"/>
              <w:shd w:val="clear" w:color="auto" w:fill="auto"/>
              <w:bidi w:val="0"/>
              <w:spacing w:before="0" w:after="0" w:line="240" w:lineRule="auto"/>
              <w:ind w:left="0" w:right="0" w:firstLine="180"/>
              <w:jc w:val="both"/>
              <w:rPr>
                <w:sz w:val="18"/>
                <w:szCs w:val="18"/>
              </w:rPr>
            </w:pPr>
            <w:r>
              <w:rPr>
                <w:b/>
                <w:bCs/>
                <w:color w:val="000000"/>
                <w:spacing w:val="0"/>
                <w:w w:val="100"/>
                <w:position w:val="0"/>
                <w:sz w:val="18"/>
                <w:szCs w:val="18"/>
                <w:shd w:val="clear" w:color="auto" w:fill="auto"/>
                <w:lang w:val="cs-CZ" w:eastAsia="cs-CZ" w:bidi="cs-CZ"/>
              </w:rPr>
              <w:t>Č.</w:t>
            </w:r>
          </w:p>
        </w:tc>
        <w:tc>
          <w:tcPr>
            <w:vMerge w:val="restart"/>
            <w:tcBorders>
              <w:top w:val="single" w:sz="4"/>
              <w:left w:val="single" w:sz="4"/>
            </w:tcBorders>
            <w:shd w:val="clear" w:color="auto" w:fill="FFFFFF"/>
            <w:vAlign w:val="center"/>
          </w:tcPr>
          <w:p>
            <w:pPr>
              <w:pStyle w:val="Style11"/>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Popis prací</w:t>
            </w:r>
          </w:p>
        </w:tc>
        <w:tc>
          <w:tcPr>
            <w:gridSpan w:val="2"/>
            <w:tcBorders>
              <w:top w:val="single" w:sz="4"/>
              <w:left w:val="single" w:sz="4"/>
              <w:right w:val="single" w:sz="4"/>
            </w:tcBorders>
            <w:shd w:val="clear" w:color="auto" w:fill="FFFFFF"/>
            <w:vAlign w:val="bottom"/>
          </w:tcPr>
          <w:p>
            <w:pPr>
              <w:pStyle w:val="Style11"/>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Cena v Kč bez DPH</w:t>
            </w:r>
          </w:p>
        </w:tc>
      </w:tr>
      <w:tr>
        <w:trPr>
          <w:trHeight w:val="360" w:hRule="exact"/>
        </w:trPr>
        <w:tc>
          <w:tcPr>
            <w:vMerge/>
            <w:tcBorders>
              <w:left w:val="single" w:sz="4"/>
            </w:tcBorders>
            <w:shd w:val="clear" w:color="auto" w:fill="FFFFFF"/>
            <w:vAlign w:val="center"/>
          </w:tcPr>
          <w:p>
            <w:pPr>
              <w:framePr w:w="9533" w:h="9821" w:hSpace="864" w:vSpace="307" w:wrap="notBeside" w:vAnchor="text" w:hAnchor="text" w:y="1"/>
            </w:pPr>
          </w:p>
        </w:tc>
        <w:tc>
          <w:tcPr>
            <w:vMerge/>
            <w:tcBorders>
              <w:left w:val="single" w:sz="4"/>
            </w:tcBorders>
            <w:shd w:val="clear" w:color="auto" w:fill="FFFFFF"/>
            <w:vAlign w:val="center"/>
          </w:tcPr>
          <w:p>
            <w:pPr>
              <w:framePr w:w="9533" w:h="9821" w:hSpace="864" w:vSpace="307" w:wrap="notBeside" w:vAnchor="text" w:hAnchor="text" w:y="1"/>
            </w:pPr>
          </w:p>
        </w:tc>
        <w:tc>
          <w:tcPr>
            <w:tcBorders>
              <w:top w:val="single" w:sz="4"/>
              <w:left w:val="single" w:sz="4"/>
            </w:tcBorders>
            <w:shd w:val="clear" w:color="auto" w:fill="FFFFFF"/>
            <w:vAlign w:val="bottom"/>
          </w:tcPr>
          <w:p>
            <w:pPr>
              <w:pStyle w:val="Style11"/>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center"/>
              <w:rPr>
                <w:sz w:val="18"/>
                <w:szCs w:val="18"/>
              </w:rPr>
            </w:pPr>
            <w:r>
              <w:rPr>
                <w:b/>
                <w:bCs/>
                <w:i/>
                <w:iCs/>
                <w:color w:val="000000"/>
                <w:spacing w:val="0"/>
                <w:w w:val="100"/>
                <w:position w:val="0"/>
                <w:sz w:val="18"/>
                <w:szCs w:val="18"/>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1"/>
              <w:keepNext w:val="0"/>
              <w:keepLines w:val="0"/>
              <w:framePr w:w="9533" w:h="9821" w:hSpace="864" w:vSpace="307" w:wrap="notBeside" w:vAnchor="text" w:hAnchor="text" w:y="1"/>
              <w:widowControl w:val="0"/>
              <w:shd w:val="clear" w:color="auto" w:fill="auto"/>
              <w:bidi w:val="0"/>
              <w:spacing w:before="0" w:after="0" w:line="240" w:lineRule="auto"/>
              <w:ind w:left="0" w:right="0" w:firstLine="480"/>
              <w:jc w:val="left"/>
              <w:rPr>
                <w:sz w:val="18"/>
                <w:szCs w:val="18"/>
              </w:rPr>
            </w:pPr>
            <w:r>
              <w:rPr>
                <w:b/>
                <w:bCs/>
                <w:i/>
                <w:iCs/>
                <w:color w:val="000000"/>
                <w:spacing w:val="0"/>
                <w:w w:val="100"/>
                <w:position w:val="0"/>
                <w:sz w:val="18"/>
                <w:szCs w:val="18"/>
                <w:shd w:val="clear" w:color="auto" w:fill="auto"/>
                <w:lang w:val="cs-CZ" w:eastAsia="cs-CZ" w:bidi="cs-CZ"/>
              </w:rPr>
              <w:t>celkem</w:t>
            </w:r>
          </w:p>
        </w:tc>
      </w:tr>
      <w:tr>
        <w:trPr>
          <w:trHeight w:val="480" w:hRule="exact"/>
        </w:trPr>
        <w:tc>
          <w:tcPr>
            <w:gridSpan w:val="2"/>
            <w:tcBorders>
              <w:top w:val="single" w:sz="4"/>
              <w:left w:val="single" w:sz="4"/>
            </w:tcBorders>
            <w:shd w:val="clear" w:color="auto" w:fill="D8E4BD"/>
            <w:vAlign w:val="bottom"/>
          </w:tcPr>
          <w:p>
            <w:pPr>
              <w:pStyle w:val="Style11"/>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A. Výkon TDS - práce před zahájením a po dokončení stavby</w:t>
            </w:r>
          </w:p>
        </w:tc>
        <w:tc>
          <w:tcPr>
            <w:gridSpan w:val="2"/>
            <w:tcBorders>
              <w:top w:val="single" w:sz="4"/>
              <w:right w:val="single" w:sz="4"/>
            </w:tcBorders>
            <w:shd w:val="clear" w:color="auto" w:fill="FFFFFF"/>
            <w:vAlign w:val="top"/>
          </w:tcPr>
          <w:p>
            <w:pPr>
              <w:framePr w:w="9533" w:h="9821" w:hSpace="864" w:vSpace="307" w:wrap="notBeside" w:vAnchor="text" w:hAnchor="text" w:y="1"/>
              <w:widowControl w:val="0"/>
              <w:rPr>
                <w:sz w:val="10"/>
                <w:szCs w:val="10"/>
              </w:rPr>
            </w:pPr>
          </w:p>
        </w:tc>
      </w:tr>
      <w:tr>
        <w:trPr>
          <w:trHeight w:val="758" w:hRule="exact"/>
        </w:trPr>
        <w:tc>
          <w:tcPr>
            <w:tcBorders>
              <w:top w:val="single" w:sz="4"/>
              <w:left w:val="single" w:sz="4"/>
            </w:tcBorders>
            <w:shd w:val="clear" w:color="auto" w:fill="FFFFFF"/>
            <w:vAlign w:val="center"/>
          </w:tcPr>
          <w:p>
            <w:pPr>
              <w:pStyle w:val="Style11"/>
              <w:keepNext w:val="0"/>
              <w:keepLines w:val="0"/>
              <w:framePr w:w="9533" w:h="9821" w:hSpace="864" w:vSpace="307" w:wrap="notBeside" w:vAnchor="text" w:hAnchor="text" w:y="1"/>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1.</w:t>
            </w:r>
          </w:p>
        </w:tc>
        <w:tc>
          <w:tcPr>
            <w:tcBorders>
              <w:top w:val="single" w:sz="4"/>
              <w:left w:val="single" w:sz="4"/>
            </w:tcBorders>
            <w:shd w:val="clear" w:color="auto" w:fill="FFFFFF"/>
            <w:vAlign w:val="bottom"/>
          </w:tcPr>
          <w:p>
            <w:pPr>
              <w:pStyle w:val="Style11"/>
              <w:keepNext w:val="0"/>
              <w:keepLines w:val="0"/>
              <w:framePr w:w="9533" w:h="9821" w:hSpace="864" w:vSpace="307" w:wrap="notBeside" w:vAnchor="text" w:hAnchor="text" w:y="1"/>
              <w:widowControl w:val="0"/>
              <w:shd w:val="clear" w:color="auto" w:fill="auto"/>
              <w:bidi w:val="0"/>
              <w:spacing w:before="0" w:after="0" w:line="262"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Cena za práci před zahájením stavby</w:t>
            </w:r>
          </w:p>
          <w:p>
            <w:pPr>
              <w:pStyle w:val="Style11"/>
              <w:keepNext w:val="0"/>
              <w:keepLines w:val="0"/>
              <w:framePr w:w="9533" w:h="9821" w:hSpace="864" w:vSpace="307" w:wrap="notBeside" w:vAnchor="text" w:hAnchor="text" w:y="1"/>
              <w:widowControl w:val="0"/>
              <w:shd w:val="clear" w:color="auto" w:fill="auto"/>
              <w:bidi w:val="0"/>
              <w:spacing w:before="0" w:after="0" w:line="262"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Účastník uvede nabídkovou cenu TDS za práce spojené se zahájením stavby, dle specifikace v čl. 3.1 Smlouvy.</w:t>
            </w:r>
          </w:p>
        </w:tc>
        <w:tc>
          <w:tcPr>
            <w:tcBorders>
              <w:top w:val="single" w:sz="4"/>
              <w:left w:val="single" w:sz="4"/>
            </w:tcBorders>
            <w:shd w:val="clear" w:color="auto" w:fill="FFFFFF"/>
            <w:vAlign w:val="center"/>
          </w:tcPr>
          <w:p>
            <w:pPr>
              <w:pStyle w:val="Style11"/>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1"/>
              <w:keepNext w:val="0"/>
              <w:keepLines w:val="0"/>
              <w:framePr w:w="9533" w:h="9821" w:hSpace="864" w:vSpace="307" w:wrap="notBeside" w:vAnchor="text" w:hAnchor="text" w:y="1"/>
              <w:widowControl w:val="0"/>
              <w:shd w:val="clear" w:color="auto" w:fill="auto"/>
              <w:bidi w:val="0"/>
              <w:spacing w:before="0" w:after="0" w:line="240" w:lineRule="auto"/>
              <w:ind w:left="0" w:right="0" w:firstLine="580"/>
              <w:jc w:val="both"/>
              <w:rPr>
                <w:sz w:val="18"/>
                <w:szCs w:val="18"/>
              </w:rPr>
            </w:pPr>
            <w:r>
              <w:rPr>
                <w:color w:val="000000"/>
                <w:spacing w:val="0"/>
                <w:w w:val="100"/>
                <w:position w:val="0"/>
                <w:sz w:val="18"/>
                <w:szCs w:val="18"/>
                <w:shd w:val="clear" w:color="auto" w:fill="auto"/>
                <w:lang w:val="cs-CZ" w:eastAsia="cs-CZ" w:bidi="cs-CZ"/>
              </w:rPr>
              <w:t>15 000,00 Kč</w:t>
            </w:r>
          </w:p>
        </w:tc>
      </w:tr>
      <w:tr>
        <w:trPr>
          <w:trHeight w:val="782" w:hRule="exact"/>
        </w:trPr>
        <w:tc>
          <w:tcPr>
            <w:tcBorders>
              <w:top w:val="single" w:sz="4"/>
              <w:left w:val="single" w:sz="4"/>
            </w:tcBorders>
            <w:shd w:val="clear" w:color="auto" w:fill="FFFFFF"/>
            <w:vAlign w:val="center"/>
          </w:tcPr>
          <w:p>
            <w:pPr>
              <w:pStyle w:val="Style11"/>
              <w:keepNext w:val="0"/>
              <w:keepLines w:val="0"/>
              <w:framePr w:w="9533" w:h="9821" w:hSpace="864" w:vSpace="307" w:wrap="notBeside" w:vAnchor="text" w:hAnchor="text" w:y="1"/>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2.</w:t>
            </w:r>
          </w:p>
        </w:tc>
        <w:tc>
          <w:tcPr>
            <w:tcBorders>
              <w:top w:val="single" w:sz="4"/>
              <w:left w:val="single" w:sz="4"/>
            </w:tcBorders>
            <w:shd w:val="clear" w:color="auto" w:fill="FFFFFF"/>
            <w:vAlign w:val="bottom"/>
          </w:tcPr>
          <w:p>
            <w:pPr>
              <w:pStyle w:val="Style11"/>
              <w:keepNext w:val="0"/>
              <w:keepLines w:val="0"/>
              <w:framePr w:w="9533" w:h="9821" w:hSpace="864" w:vSpace="307" w:wrap="notBeside" w:vAnchor="text" w:hAnchor="text" w:y="1"/>
              <w:widowControl w:val="0"/>
              <w:shd w:val="clear" w:color="auto" w:fill="auto"/>
              <w:bidi w:val="0"/>
              <w:spacing w:before="0" w:after="0" w:line="262"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Cena za práci po dokončení stavby</w:t>
            </w:r>
          </w:p>
          <w:p>
            <w:pPr>
              <w:pStyle w:val="Style11"/>
              <w:keepNext w:val="0"/>
              <w:keepLines w:val="0"/>
              <w:framePr w:w="9533" w:h="9821" w:hSpace="864" w:vSpace="307" w:wrap="notBeside" w:vAnchor="text" w:hAnchor="text" w:y="1"/>
              <w:widowControl w:val="0"/>
              <w:shd w:val="clear" w:color="auto" w:fill="auto"/>
              <w:bidi w:val="0"/>
              <w:spacing w:before="0" w:after="0" w:line="262"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Účastník uvede nabídkovou cenu TDS za práce spojené s dokončením stavby, dle specifikace v čl. 3.3. Smlouvy.</w:t>
            </w:r>
          </w:p>
        </w:tc>
        <w:tc>
          <w:tcPr>
            <w:tcBorders>
              <w:top w:val="single" w:sz="4"/>
              <w:left w:val="single" w:sz="4"/>
            </w:tcBorders>
            <w:shd w:val="clear" w:color="auto" w:fill="FFFFFF"/>
            <w:vAlign w:val="center"/>
          </w:tcPr>
          <w:p>
            <w:pPr>
              <w:pStyle w:val="Style11"/>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1"/>
              <w:keepNext w:val="0"/>
              <w:keepLines w:val="0"/>
              <w:framePr w:w="9533" w:h="9821" w:hSpace="864" w:vSpace="307" w:wrap="notBeside" w:vAnchor="text" w:hAnchor="text" w:y="1"/>
              <w:widowControl w:val="0"/>
              <w:shd w:val="clear" w:color="auto" w:fill="auto"/>
              <w:bidi w:val="0"/>
              <w:spacing w:before="0" w:after="0" w:line="240" w:lineRule="auto"/>
              <w:ind w:left="0" w:right="0" w:firstLine="580"/>
              <w:jc w:val="both"/>
              <w:rPr>
                <w:sz w:val="18"/>
                <w:szCs w:val="18"/>
              </w:rPr>
            </w:pPr>
            <w:r>
              <w:rPr>
                <w:color w:val="000000"/>
                <w:spacing w:val="0"/>
                <w:w w:val="100"/>
                <w:position w:val="0"/>
                <w:sz w:val="18"/>
                <w:szCs w:val="18"/>
                <w:shd w:val="clear" w:color="auto" w:fill="auto"/>
                <w:lang w:val="cs-CZ" w:eastAsia="cs-CZ" w:bidi="cs-CZ"/>
              </w:rPr>
              <w:t>19 000,00 Kč</w:t>
            </w:r>
          </w:p>
        </w:tc>
      </w:tr>
      <w:tr>
        <w:trPr>
          <w:trHeight w:val="283" w:hRule="exact"/>
        </w:trPr>
        <w:tc>
          <w:tcPr>
            <w:gridSpan w:val="2"/>
            <w:tcBorders>
              <w:top w:val="single" w:sz="4"/>
              <w:left w:val="single" w:sz="4"/>
            </w:tcBorders>
            <w:shd w:val="clear" w:color="auto" w:fill="FFFFFF"/>
            <w:vAlign w:val="bottom"/>
          </w:tcPr>
          <w:p>
            <w:pPr>
              <w:pStyle w:val="Style11"/>
              <w:keepNext w:val="0"/>
              <w:keepLines w:val="0"/>
              <w:framePr w:w="9533" w:h="9821" w:hSpace="864" w:vSpace="307" w:wrap="notBeside" w:vAnchor="text" w:hAnchor="text" w:y="1"/>
              <w:widowControl w:val="0"/>
              <w:shd w:val="clear" w:color="auto" w:fill="auto"/>
              <w:bidi w:val="0"/>
              <w:spacing w:before="0" w:after="0" w:line="240" w:lineRule="auto"/>
              <w:ind w:left="0" w:right="0" w:firstLine="560"/>
              <w:jc w:val="left"/>
              <w:rPr>
                <w:sz w:val="18"/>
                <w:szCs w:val="18"/>
              </w:rPr>
            </w:pPr>
            <w:r>
              <w:rPr>
                <w:b/>
                <w:bCs/>
                <w:color w:val="000000"/>
                <w:spacing w:val="0"/>
                <w:w w:val="100"/>
                <w:position w:val="0"/>
                <w:sz w:val="18"/>
                <w:szCs w:val="18"/>
                <w:shd w:val="clear" w:color="auto" w:fill="auto"/>
                <w:lang w:val="cs-CZ" w:eastAsia="cs-CZ" w:bidi="cs-CZ"/>
              </w:rPr>
              <w:t>A. Cena za výkon TDS před zahájením a po dokončení stavby celkem</w:t>
            </w:r>
          </w:p>
        </w:tc>
        <w:tc>
          <w:tcPr>
            <w:tcBorders>
              <w:top w:val="single" w:sz="4"/>
              <w:left w:val="single" w:sz="4"/>
            </w:tcBorders>
            <w:shd w:val="clear" w:color="auto" w:fill="D8E4BD"/>
            <w:vAlign w:val="bottom"/>
          </w:tcPr>
          <w:p>
            <w:pPr>
              <w:pStyle w:val="Style11"/>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x</w:t>
            </w:r>
          </w:p>
        </w:tc>
        <w:tc>
          <w:tcPr>
            <w:tcBorders>
              <w:top w:val="single" w:sz="4"/>
              <w:left w:val="single" w:sz="4"/>
              <w:right w:val="single" w:sz="4"/>
            </w:tcBorders>
            <w:shd w:val="clear" w:color="auto" w:fill="D8E4BD"/>
            <w:vAlign w:val="bottom"/>
          </w:tcPr>
          <w:p>
            <w:pPr>
              <w:pStyle w:val="Style11"/>
              <w:keepNext w:val="0"/>
              <w:keepLines w:val="0"/>
              <w:framePr w:w="9533" w:h="9821" w:hSpace="864" w:vSpace="307" w:wrap="notBeside" w:vAnchor="text" w:hAnchor="text" w:y="1"/>
              <w:widowControl w:val="0"/>
              <w:shd w:val="clear" w:color="auto" w:fill="auto"/>
              <w:bidi w:val="0"/>
              <w:spacing w:before="0" w:after="0" w:line="240" w:lineRule="auto"/>
              <w:ind w:left="0" w:right="0" w:firstLine="580"/>
              <w:jc w:val="both"/>
              <w:rPr>
                <w:sz w:val="18"/>
                <w:szCs w:val="18"/>
              </w:rPr>
            </w:pPr>
            <w:r>
              <w:rPr>
                <w:b/>
                <w:bCs/>
                <w:color w:val="000000"/>
                <w:spacing w:val="0"/>
                <w:w w:val="100"/>
                <w:position w:val="0"/>
                <w:sz w:val="18"/>
                <w:szCs w:val="18"/>
                <w:shd w:val="clear" w:color="auto" w:fill="auto"/>
                <w:lang w:val="cs-CZ" w:eastAsia="cs-CZ" w:bidi="cs-CZ"/>
              </w:rPr>
              <w:t>34 000,00 Kč</w:t>
            </w:r>
          </w:p>
        </w:tc>
      </w:tr>
      <w:tr>
        <w:trPr>
          <w:trHeight w:val="792" w:hRule="exact"/>
        </w:trPr>
        <w:tc>
          <w:tcPr>
            <w:gridSpan w:val="2"/>
            <w:tcBorders>
              <w:top w:val="single" w:sz="4"/>
              <w:left w:val="single" w:sz="4"/>
            </w:tcBorders>
            <w:shd w:val="clear" w:color="auto" w:fill="D8E4BD"/>
            <w:vAlign w:val="bottom"/>
          </w:tcPr>
          <w:p>
            <w:pPr>
              <w:pStyle w:val="Style11"/>
              <w:keepNext w:val="0"/>
              <w:keepLines w:val="0"/>
              <w:framePr w:w="9533" w:h="9821" w:hSpace="864" w:vSpace="307" w:wrap="notBeside" w:vAnchor="text" w:hAnchor="text" w:y="1"/>
              <w:widowControl w:val="0"/>
              <w:shd w:val="clear" w:color="auto" w:fill="auto"/>
              <w:bidi w:val="0"/>
              <w:spacing w:before="0" w:after="0" w:line="266"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B. Výkon TDS - práce spojené s prováděním stavby</w:t>
            </w:r>
          </w:p>
          <w:p>
            <w:pPr>
              <w:pStyle w:val="Style11"/>
              <w:keepNext w:val="0"/>
              <w:keepLines w:val="0"/>
              <w:framePr w:w="9533" w:h="9821" w:hSpace="864" w:vSpace="307" w:wrap="notBeside" w:vAnchor="text" w:hAnchor="text" w:y="1"/>
              <w:widowControl w:val="0"/>
              <w:shd w:val="clear" w:color="auto" w:fill="auto"/>
              <w:bidi w:val="0"/>
              <w:spacing w:before="0" w:after="0" w:line="266"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Účastník uvede nabídkovou cenu TDS za práce spojené s prováděním stavby, dle specifikace v čl. 3.2 Smlouvy.</w:t>
            </w:r>
          </w:p>
        </w:tc>
        <w:tc>
          <w:tcPr>
            <w:tcBorders>
              <w:top w:val="single" w:sz="4"/>
              <w:left w:val="single" w:sz="4"/>
            </w:tcBorders>
            <w:shd w:val="clear" w:color="auto" w:fill="FFFFFF"/>
            <w:vAlign w:val="bottom"/>
          </w:tcPr>
          <w:p>
            <w:pPr>
              <w:pStyle w:val="Style11"/>
              <w:keepNext w:val="0"/>
              <w:keepLines w:val="0"/>
              <w:framePr w:w="9533" w:h="9821" w:hSpace="864" w:vSpace="307" w:wrap="notBeside" w:vAnchor="text" w:hAnchor="text" w:y="1"/>
              <w:widowControl w:val="0"/>
              <w:shd w:val="clear" w:color="auto" w:fill="auto"/>
              <w:bidi w:val="0"/>
              <w:spacing w:before="0" w:after="0" w:line="262" w:lineRule="auto"/>
              <w:ind w:left="0" w:right="0" w:firstLine="0"/>
              <w:jc w:val="center"/>
              <w:rPr>
                <w:sz w:val="18"/>
                <w:szCs w:val="18"/>
              </w:rPr>
            </w:pPr>
            <w:r>
              <w:rPr>
                <w:b/>
                <w:bCs/>
                <w:i/>
                <w:iCs/>
                <w:color w:val="000000"/>
                <w:spacing w:val="0"/>
                <w:w w:val="100"/>
                <w:position w:val="0"/>
                <w:sz w:val="18"/>
                <w:szCs w:val="18"/>
                <w:shd w:val="clear" w:color="auto" w:fill="auto"/>
                <w:lang w:val="cs-CZ" w:eastAsia="cs-CZ" w:bidi="cs-CZ"/>
              </w:rPr>
              <w:t>za 1 hodinu (60 minut)</w:t>
            </w:r>
          </w:p>
        </w:tc>
        <w:tc>
          <w:tcPr>
            <w:tcBorders>
              <w:top w:val="single" w:sz="4"/>
              <w:left w:val="single" w:sz="4"/>
              <w:right w:val="single" w:sz="4"/>
            </w:tcBorders>
            <w:shd w:val="clear" w:color="auto" w:fill="FFFFFF"/>
            <w:vAlign w:val="center"/>
          </w:tcPr>
          <w:p>
            <w:pPr>
              <w:pStyle w:val="Style11"/>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right"/>
              <w:rPr>
                <w:sz w:val="18"/>
                <w:szCs w:val="18"/>
              </w:rPr>
            </w:pPr>
            <w:r>
              <w:rPr>
                <w:b/>
                <w:bCs/>
                <w:i/>
                <w:iCs/>
                <w:color w:val="000000"/>
                <w:spacing w:val="0"/>
                <w:w w:val="100"/>
                <w:position w:val="0"/>
                <w:sz w:val="18"/>
                <w:szCs w:val="18"/>
                <w:shd w:val="clear" w:color="auto" w:fill="auto"/>
                <w:lang w:val="cs-CZ" w:eastAsia="cs-CZ" w:bidi="cs-CZ"/>
              </w:rPr>
              <w:t>celkem za 20 hodin</w:t>
            </w:r>
          </w:p>
          <w:p>
            <w:pPr>
              <w:pStyle w:val="Style11"/>
              <w:keepNext w:val="0"/>
              <w:keepLines w:val="0"/>
              <w:framePr w:w="9533" w:h="9821" w:hSpace="864" w:vSpace="307" w:wrap="notBeside" w:vAnchor="text" w:hAnchor="text" w:y="1"/>
              <w:widowControl w:val="0"/>
              <w:shd w:val="clear" w:color="auto" w:fill="auto"/>
              <w:bidi w:val="0"/>
              <w:spacing w:before="0" w:after="0" w:line="187" w:lineRule="auto"/>
              <w:ind w:left="0" w:right="0" w:firstLine="0"/>
              <w:jc w:val="center"/>
              <w:rPr>
                <w:sz w:val="18"/>
                <w:szCs w:val="18"/>
              </w:rPr>
            </w:pPr>
            <w:r>
              <w:rPr>
                <w:b/>
                <w:bCs/>
                <w:i/>
                <w:iCs/>
                <w:color w:val="000000"/>
                <w:spacing w:val="0"/>
                <w:w w:val="100"/>
                <w:position w:val="0"/>
                <w:sz w:val="18"/>
                <w:szCs w:val="18"/>
                <w:shd w:val="clear" w:color="auto" w:fill="auto"/>
                <w:vertAlign w:val="subscript"/>
                <w:lang w:val="cs-CZ" w:eastAsia="cs-CZ" w:bidi="cs-CZ"/>
              </w:rPr>
              <w:t>*</w:t>
            </w:r>
          </w:p>
        </w:tc>
      </w:tr>
      <w:tr>
        <w:trPr>
          <w:trHeight w:val="883" w:hRule="exact"/>
        </w:trPr>
        <w:tc>
          <w:tcPr>
            <w:tcBorders>
              <w:top w:val="single" w:sz="4"/>
              <w:left w:val="single" w:sz="4"/>
            </w:tcBorders>
            <w:shd w:val="clear" w:color="auto" w:fill="FFFFFF"/>
            <w:vAlign w:val="center"/>
          </w:tcPr>
          <w:p>
            <w:pPr>
              <w:pStyle w:val="Style11"/>
              <w:keepNext w:val="0"/>
              <w:keepLines w:val="0"/>
              <w:framePr w:w="9533" w:h="9821" w:hSpace="864" w:vSpace="307" w:wrap="notBeside" w:vAnchor="text" w:hAnchor="text" w:y="1"/>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3.</w:t>
            </w:r>
          </w:p>
        </w:tc>
        <w:tc>
          <w:tcPr>
            <w:tcBorders>
              <w:top w:val="single" w:sz="4"/>
              <w:left w:val="single" w:sz="4"/>
            </w:tcBorders>
            <w:shd w:val="clear" w:color="auto" w:fill="FFFFFF"/>
            <w:vAlign w:val="center"/>
          </w:tcPr>
          <w:p>
            <w:pPr>
              <w:pStyle w:val="Style11"/>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Práce spojené s výkonem TDS v kanceláři</w:t>
            </w:r>
          </w:p>
          <w:p>
            <w:pPr>
              <w:pStyle w:val="Style11"/>
              <w:keepNext w:val="0"/>
              <w:keepLines w:val="0"/>
              <w:framePr w:w="9533" w:h="9821" w:hSpace="864" w:vSpace="307" w:wrap="notBeside" w:vAnchor="text" w:hAnchor="text" w:y="1"/>
              <w:widowControl w:val="0"/>
              <w:numPr>
                <w:ilvl w:val="0"/>
                <w:numId w:val="19"/>
              </w:numPr>
              <w:shd w:val="clear" w:color="auto" w:fill="auto"/>
              <w:tabs>
                <w:tab w:pos="106" w:val="left"/>
              </w:tabs>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předpokládané </w:t>
            </w:r>
            <w:r>
              <w:rPr>
                <w:b/>
                <w:bCs/>
                <w:color w:val="000000"/>
                <w:spacing w:val="0"/>
                <w:w w:val="100"/>
                <w:position w:val="0"/>
                <w:sz w:val="18"/>
                <w:szCs w:val="18"/>
                <w:shd w:val="clear" w:color="auto" w:fill="auto"/>
                <w:lang w:val="cs-CZ" w:eastAsia="cs-CZ" w:bidi="cs-CZ"/>
              </w:rPr>
              <w:t>náklady bez nároku na cestovné</w:t>
            </w:r>
          </w:p>
          <w:p>
            <w:pPr>
              <w:pStyle w:val="Style11"/>
              <w:keepNext w:val="0"/>
              <w:keepLines w:val="0"/>
              <w:framePr w:w="9533" w:h="9821" w:hSpace="864" w:vSpace="307" w:wrap="notBeside" w:vAnchor="text" w:hAnchor="text" w:y="1"/>
              <w:widowControl w:val="0"/>
              <w:numPr>
                <w:ilvl w:val="0"/>
                <w:numId w:val="19"/>
              </w:numPr>
              <w:shd w:val="clear" w:color="auto" w:fill="auto"/>
              <w:tabs>
                <w:tab w:pos="110" w:val="left"/>
              </w:tabs>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v předpokládaném rozsahu </w:t>
            </w:r>
            <w:r>
              <w:rPr>
                <w:b/>
                <w:bCs/>
                <w:color w:val="000000"/>
                <w:spacing w:val="0"/>
                <w:w w:val="100"/>
                <w:position w:val="0"/>
                <w:sz w:val="18"/>
                <w:szCs w:val="18"/>
                <w:shd w:val="clear" w:color="auto" w:fill="auto"/>
                <w:lang w:val="cs-CZ" w:eastAsia="cs-CZ" w:bidi="cs-CZ"/>
              </w:rPr>
              <w:t>20 hodin</w:t>
            </w:r>
          </w:p>
        </w:tc>
        <w:tc>
          <w:tcPr>
            <w:tcBorders>
              <w:top w:val="single" w:sz="4"/>
              <w:left w:val="single" w:sz="4"/>
            </w:tcBorders>
            <w:shd w:val="clear" w:color="auto" w:fill="FFFFFF"/>
            <w:vAlign w:val="center"/>
          </w:tcPr>
          <w:p>
            <w:pPr>
              <w:pStyle w:val="Style11"/>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520,00 Kč</w:t>
            </w:r>
          </w:p>
        </w:tc>
        <w:tc>
          <w:tcPr>
            <w:tcBorders>
              <w:top w:val="single" w:sz="4"/>
              <w:left w:val="single" w:sz="4"/>
              <w:right w:val="single" w:sz="4"/>
            </w:tcBorders>
            <w:shd w:val="clear" w:color="auto" w:fill="FFFFFF"/>
            <w:vAlign w:val="center"/>
          </w:tcPr>
          <w:p>
            <w:pPr>
              <w:pStyle w:val="Style11"/>
              <w:keepNext w:val="0"/>
              <w:keepLines w:val="0"/>
              <w:framePr w:w="9533" w:h="9821" w:hSpace="864" w:vSpace="307" w:wrap="notBeside" w:vAnchor="text" w:hAnchor="text" w:y="1"/>
              <w:widowControl w:val="0"/>
              <w:shd w:val="clear" w:color="auto" w:fill="auto"/>
              <w:bidi w:val="0"/>
              <w:spacing w:before="0" w:after="0" w:line="240" w:lineRule="auto"/>
              <w:ind w:left="0" w:right="0" w:firstLine="580"/>
              <w:jc w:val="both"/>
              <w:rPr>
                <w:sz w:val="18"/>
                <w:szCs w:val="18"/>
              </w:rPr>
            </w:pPr>
            <w:r>
              <w:rPr>
                <w:color w:val="000000"/>
                <w:spacing w:val="0"/>
                <w:w w:val="100"/>
                <w:position w:val="0"/>
                <w:sz w:val="18"/>
                <w:szCs w:val="18"/>
                <w:shd w:val="clear" w:color="auto" w:fill="auto"/>
                <w:lang w:val="cs-CZ" w:eastAsia="cs-CZ" w:bidi="cs-CZ"/>
              </w:rPr>
              <w:t>10 400,00 Kč</w:t>
            </w:r>
          </w:p>
        </w:tc>
      </w:tr>
      <w:tr>
        <w:trPr>
          <w:trHeight w:val="566" w:hRule="exact"/>
        </w:trPr>
        <w:tc>
          <w:tcPr>
            <w:vMerge w:val="restart"/>
            <w:tcBorders>
              <w:top w:val="single" w:sz="4"/>
              <w:left w:val="single" w:sz="4"/>
            </w:tcBorders>
            <w:shd w:val="clear" w:color="auto" w:fill="FFFFFF"/>
            <w:vAlign w:val="center"/>
          </w:tcPr>
          <w:p>
            <w:pPr>
              <w:pStyle w:val="Style11"/>
              <w:keepNext w:val="0"/>
              <w:keepLines w:val="0"/>
              <w:framePr w:w="9533" w:h="9821" w:hSpace="864" w:vSpace="307" w:wrap="notBeside" w:vAnchor="text" w:hAnchor="text" w:y="1"/>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4.</w:t>
            </w:r>
          </w:p>
        </w:tc>
        <w:tc>
          <w:tcPr>
            <w:vMerge w:val="restart"/>
            <w:tcBorders>
              <w:top w:val="single" w:sz="4"/>
              <w:left w:val="single" w:sz="4"/>
            </w:tcBorders>
            <w:shd w:val="clear" w:color="auto" w:fill="FFFFFF"/>
            <w:vAlign w:val="top"/>
          </w:tcPr>
          <w:p>
            <w:pPr>
              <w:pStyle w:val="Style11"/>
              <w:keepNext w:val="0"/>
              <w:keepLines w:val="0"/>
              <w:framePr w:w="9533" w:h="9821" w:hSpace="864" w:vSpace="307" w:wrap="notBeside" w:vAnchor="text" w:hAnchor="text" w:y="1"/>
              <w:widowControl w:val="0"/>
              <w:shd w:val="clear" w:color="auto" w:fill="auto"/>
              <w:bidi w:val="0"/>
              <w:spacing w:before="0" w:after="0" w:line="262"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Práce spojené s výkonem TDS na staveništi</w:t>
            </w:r>
          </w:p>
          <w:p>
            <w:pPr>
              <w:pStyle w:val="Style11"/>
              <w:keepNext w:val="0"/>
              <w:keepLines w:val="0"/>
              <w:framePr w:w="9533" w:h="9821" w:hSpace="864" w:vSpace="307" w:wrap="notBeside" w:vAnchor="text" w:hAnchor="text" w:y="1"/>
              <w:widowControl w:val="0"/>
              <w:numPr>
                <w:ilvl w:val="0"/>
                <w:numId w:val="21"/>
              </w:numPr>
              <w:shd w:val="clear" w:color="auto" w:fill="auto"/>
              <w:tabs>
                <w:tab w:pos="106" w:val="left"/>
              </w:tabs>
              <w:bidi w:val="0"/>
              <w:spacing w:before="0" w:after="0" w:line="262"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předpokládané náklady </w:t>
            </w:r>
            <w:r>
              <w:rPr>
                <w:b/>
                <w:bCs/>
                <w:color w:val="000000"/>
                <w:spacing w:val="0"/>
                <w:w w:val="100"/>
                <w:position w:val="0"/>
                <w:sz w:val="18"/>
                <w:szCs w:val="18"/>
                <w:shd w:val="clear" w:color="auto" w:fill="auto"/>
                <w:lang w:val="cs-CZ" w:eastAsia="cs-CZ" w:bidi="cs-CZ"/>
              </w:rPr>
              <w:t>včetně cestovného</w:t>
            </w:r>
          </w:p>
          <w:p>
            <w:pPr>
              <w:pStyle w:val="Style11"/>
              <w:keepNext w:val="0"/>
              <w:keepLines w:val="0"/>
              <w:framePr w:w="9533" w:h="9821" w:hSpace="864" w:vSpace="307" w:wrap="notBeside" w:vAnchor="text" w:hAnchor="text" w:y="1"/>
              <w:widowControl w:val="0"/>
              <w:numPr>
                <w:ilvl w:val="0"/>
                <w:numId w:val="21"/>
              </w:numPr>
              <w:shd w:val="clear" w:color="auto" w:fill="auto"/>
              <w:tabs>
                <w:tab w:pos="106" w:val="left"/>
              </w:tabs>
              <w:bidi w:val="0"/>
              <w:spacing w:before="0" w:after="0" w:line="262"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v předpokládaném rozsahu </w:t>
            </w:r>
            <w:r>
              <w:rPr>
                <w:b/>
                <w:bCs/>
                <w:color w:val="000000"/>
                <w:spacing w:val="0"/>
                <w:w w:val="100"/>
                <w:position w:val="0"/>
                <w:sz w:val="18"/>
                <w:szCs w:val="18"/>
                <w:shd w:val="clear" w:color="auto" w:fill="auto"/>
                <w:lang w:val="cs-CZ" w:eastAsia="cs-CZ" w:bidi="cs-CZ"/>
              </w:rPr>
              <w:t>2 návštěvy/týden á 3 hodiny, celkem 20 týdnů</w:t>
            </w:r>
          </w:p>
          <w:p>
            <w:pPr>
              <w:pStyle w:val="Style11"/>
              <w:keepNext w:val="0"/>
              <w:keepLines w:val="0"/>
              <w:framePr w:w="9533" w:h="9821" w:hSpace="864" w:vSpace="307" w:wrap="notBeside" w:vAnchor="text" w:hAnchor="text" w:y="1"/>
              <w:widowControl w:val="0"/>
              <w:shd w:val="clear" w:color="auto" w:fill="auto"/>
              <w:bidi w:val="0"/>
              <w:spacing w:before="0" w:after="0" w:line="262"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 xml:space="preserve">(vzorec pro výpočet hodin : </w:t>
            </w:r>
            <w:r>
              <w:rPr>
                <w:b/>
                <w:bCs/>
                <w:i/>
                <w:iCs/>
                <w:color w:val="000000"/>
                <w:spacing w:val="0"/>
                <w:w w:val="100"/>
                <w:position w:val="0"/>
                <w:sz w:val="18"/>
                <w:szCs w:val="18"/>
                <w:shd w:val="clear" w:color="auto" w:fill="auto"/>
                <w:lang w:val="cs-CZ" w:eastAsia="cs-CZ" w:bidi="cs-CZ"/>
              </w:rPr>
              <w:t xml:space="preserve">2 </w:t>
            </w:r>
            <w:r>
              <w:rPr>
                <w:i/>
                <w:iCs/>
                <w:color w:val="000000"/>
                <w:spacing w:val="0"/>
                <w:w w:val="100"/>
                <w:position w:val="0"/>
                <w:sz w:val="18"/>
                <w:szCs w:val="18"/>
                <w:shd w:val="clear" w:color="auto" w:fill="auto"/>
                <w:lang w:val="cs-CZ" w:eastAsia="cs-CZ" w:bidi="cs-CZ"/>
              </w:rPr>
              <w:t xml:space="preserve">návštěvy x </w:t>
            </w:r>
            <w:r>
              <w:rPr>
                <w:b/>
                <w:bCs/>
                <w:i/>
                <w:iCs/>
                <w:color w:val="000000"/>
                <w:spacing w:val="0"/>
                <w:w w:val="100"/>
                <w:position w:val="0"/>
                <w:sz w:val="18"/>
                <w:szCs w:val="18"/>
                <w:shd w:val="clear" w:color="auto" w:fill="auto"/>
                <w:lang w:val="cs-CZ" w:eastAsia="cs-CZ" w:bidi="cs-CZ"/>
              </w:rPr>
              <w:t xml:space="preserve">3 </w:t>
            </w:r>
            <w:r>
              <w:rPr>
                <w:i/>
                <w:iCs/>
                <w:color w:val="000000"/>
                <w:spacing w:val="0"/>
                <w:w w:val="100"/>
                <w:position w:val="0"/>
                <w:sz w:val="18"/>
                <w:szCs w:val="18"/>
                <w:shd w:val="clear" w:color="auto" w:fill="auto"/>
                <w:lang w:val="cs-CZ" w:eastAsia="cs-CZ" w:bidi="cs-CZ"/>
              </w:rPr>
              <w:t xml:space="preserve">hod. výkonu TDS x 20 týdnů = 120 </w:t>
            </w:r>
            <w:r>
              <w:rPr>
                <w:b/>
                <w:bCs/>
                <w:i/>
                <w:iCs/>
                <w:color w:val="000000"/>
                <w:spacing w:val="0"/>
                <w:w w:val="100"/>
                <w:position w:val="0"/>
                <w:sz w:val="18"/>
                <w:szCs w:val="18"/>
                <w:shd w:val="clear" w:color="auto" w:fill="auto"/>
                <w:lang w:val="cs-CZ" w:eastAsia="cs-CZ" w:bidi="cs-CZ"/>
              </w:rPr>
              <w:t xml:space="preserve">hodin výkonu TDS celkem </w:t>
            </w:r>
            <w:r>
              <w:rPr>
                <w:i/>
                <w:iCs/>
                <w:color w:val="000000"/>
                <w:spacing w:val="0"/>
                <w:w w:val="100"/>
                <w:position w:val="0"/>
                <w:sz w:val="18"/>
                <w:szCs w:val="18"/>
                <w:shd w:val="clear" w:color="auto" w:fill="auto"/>
                <w:lang w:val="cs-CZ" w:eastAsia="cs-CZ" w:bidi="cs-CZ"/>
              </w:rPr>
              <w:t>)</w:t>
            </w:r>
          </w:p>
        </w:tc>
        <w:tc>
          <w:tcPr>
            <w:vMerge w:val="restart"/>
            <w:tcBorders>
              <w:top w:val="single" w:sz="4"/>
              <w:left w:val="single" w:sz="4"/>
            </w:tcBorders>
            <w:shd w:val="clear" w:color="auto" w:fill="FFFFFF"/>
            <w:vAlign w:val="center"/>
          </w:tcPr>
          <w:p>
            <w:pPr>
              <w:pStyle w:val="Style11"/>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670 ,00 Kč</w:t>
            </w:r>
          </w:p>
        </w:tc>
        <w:tc>
          <w:tcPr>
            <w:tcBorders>
              <w:top w:val="single" w:sz="4"/>
              <w:left w:val="single" w:sz="4"/>
              <w:right w:val="single" w:sz="4"/>
            </w:tcBorders>
            <w:shd w:val="clear" w:color="auto" w:fill="FFFFFF"/>
            <w:vAlign w:val="center"/>
          </w:tcPr>
          <w:p>
            <w:pPr>
              <w:pStyle w:val="Style11"/>
              <w:keepNext w:val="0"/>
              <w:keepLines w:val="0"/>
              <w:framePr w:w="9533" w:h="9821" w:hSpace="864" w:vSpace="307" w:wrap="notBeside" w:vAnchor="text" w:hAnchor="text" w:y="1"/>
              <w:widowControl w:val="0"/>
              <w:shd w:val="clear" w:color="auto" w:fill="auto"/>
              <w:bidi w:val="0"/>
              <w:spacing w:before="0" w:after="0" w:line="262" w:lineRule="auto"/>
              <w:ind w:left="0" w:right="0" w:firstLine="0"/>
              <w:jc w:val="center"/>
              <w:rPr>
                <w:sz w:val="18"/>
                <w:szCs w:val="18"/>
              </w:rPr>
            </w:pPr>
            <w:r>
              <w:rPr>
                <w:b/>
                <w:bCs/>
                <w:i/>
                <w:iCs/>
                <w:color w:val="000000"/>
                <w:spacing w:val="0"/>
                <w:w w:val="100"/>
                <w:position w:val="0"/>
                <w:sz w:val="18"/>
                <w:szCs w:val="18"/>
                <w:shd w:val="clear" w:color="auto" w:fill="auto"/>
                <w:lang w:val="cs-CZ" w:eastAsia="cs-CZ" w:bidi="cs-CZ"/>
              </w:rPr>
              <w:t xml:space="preserve">celkem za 12 0 hodin </w:t>
            </w:r>
            <w:r>
              <w:rPr>
                <w:b/>
                <w:bCs/>
                <w:i/>
                <w:iCs/>
                <w:color w:val="000000"/>
                <w:spacing w:val="0"/>
                <w:w w:val="100"/>
                <w:position w:val="0"/>
                <w:sz w:val="18"/>
                <w:szCs w:val="18"/>
                <w:shd w:val="clear" w:color="auto" w:fill="auto"/>
                <w:lang w:val="cs-CZ" w:eastAsia="cs-CZ" w:bidi="cs-CZ"/>
              </w:rPr>
              <w:footnoteReference w:id="2"/>
            </w:r>
          </w:p>
        </w:tc>
      </w:tr>
      <w:tr>
        <w:trPr>
          <w:trHeight w:val="917" w:hRule="exact"/>
        </w:trPr>
        <w:tc>
          <w:tcPr>
            <w:vMerge/>
            <w:tcBorders>
              <w:left w:val="single" w:sz="4"/>
            </w:tcBorders>
            <w:shd w:val="clear" w:color="auto" w:fill="FFFFFF"/>
            <w:vAlign w:val="center"/>
          </w:tcPr>
          <w:p>
            <w:pPr>
              <w:framePr w:w="9533" w:h="9821" w:hSpace="864" w:vSpace="307" w:wrap="notBeside" w:vAnchor="text" w:hAnchor="text" w:y="1"/>
            </w:pPr>
          </w:p>
        </w:tc>
        <w:tc>
          <w:tcPr>
            <w:vMerge/>
            <w:tcBorders>
              <w:left w:val="single" w:sz="4"/>
            </w:tcBorders>
            <w:shd w:val="clear" w:color="auto" w:fill="FFFFFF"/>
            <w:vAlign w:val="top"/>
          </w:tcPr>
          <w:p>
            <w:pPr>
              <w:framePr w:w="9533" w:h="9821" w:hSpace="864" w:vSpace="307" w:wrap="notBeside" w:vAnchor="text" w:hAnchor="text" w:y="1"/>
            </w:pPr>
          </w:p>
        </w:tc>
        <w:tc>
          <w:tcPr>
            <w:vMerge/>
            <w:tcBorders>
              <w:left w:val="single" w:sz="4"/>
            </w:tcBorders>
            <w:shd w:val="clear" w:color="auto" w:fill="FFFFFF"/>
            <w:vAlign w:val="center"/>
          </w:tcPr>
          <w:p>
            <w:pPr>
              <w:framePr w:w="9533" w:h="9821" w:hSpace="864" w:vSpace="307" w:wrap="notBeside" w:vAnchor="text" w:hAnchor="text" w:y="1"/>
            </w:pPr>
          </w:p>
        </w:tc>
        <w:tc>
          <w:tcPr>
            <w:tcBorders>
              <w:top w:val="single" w:sz="4"/>
              <w:left w:val="single" w:sz="4"/>
              <w:right w:val="single" w:sz="4"/>
            </w:tcBorders>
            <w:shd w:val="clear" w:color="auto" w:fill="FFFFFF"/>
            <w:vAlign w:val="center"/>
          </w:tcPr>
          <w:p>
            <w:pPr>
              <w:pStyle w:val="Style11"/>
              <w:keepNext w:val="0"/>
              <w:keepLines w:val="0"/>
              <w:framePr w:w="9533" w:h="9821" w:hSpace="864" w:vSpace="307" w:wrap="notBeside" w:vAnchor="text" w:hAnchor="text" w:y="1"/>
              <w:widowControl w:val="0"/>
              <w:shd w:val="clear" w:color="auto" w:fill="auto"/>
              <w:bidi w:val="0"/>
              <w:spacing w:before="0" w:after="0" w:line="240" w:lineRule="auto"/>
              <w:ind w:left="0" w:right="0" w:firstLine="580"/>
              <w:jc w:val="both"/>
              <w:rPr>
                <w:sz w:val="18"/>
                <w:szCs w:val="18"/>
              </w:rPr>
            </w:pPr>
            <w:r>
              <w:rPr>
                <w:color w:val="000000"/>
                <w:spacing w:val="0"/>
                <w:w w:val="100"/>
                <w:position w:val="0"/>
                <w:sz w:val="18"/>
                <w:szCs w:val="18"/>
                <w:shd w:val="clear" w:color="auto" w:fill="auto"/>
                <w:lang w:val="cs-CZ" w:eastAsia="cs-CZ" w:bidi="cs-CZ"/>
              </w:rPr>
              <w:t>8 0 4 0 0 , 0 0 K č</w:t>
            </w:r>
          </w:p>
        </w:tc>
      </w:tr>
      <w:tr>
        <w:trPr>
          <w:trHeight w:val="518" w:hRule="exact"/>
        </w:trPr>
        <w:tc>
          <w:tcPr>
            <w:gridSpan w:val="2"/>
            <w:tcBorders>
              <w:top w:val="single" w:sz="4"/>
              <w:left w:val="single" w:sz="4"/>
            </w:tcBorders>
            <w:shd w:val="clear" w:color="auto" w:fill="FFFFFF"/>
            <w:vAlign w:val="center"/>
          </w:tcPr>
          <w:p>
            <w:pPr>
              <w:pStyle w:val="Style11"/>
              <w:keepNext w:val="0"/>
              <w:keepLines w:val="0"/>
              <w:framePr w:w="9533" w:h="9821" w:hSpace="864" w:vSpace="307" w:wrap="notBeside" w:vAnchor="text" w:hAnchor="text" w:y="1"/>
              <w:widowControl w:val="0"/>
              <w:shd w:val="clear" w:color="auto" w:fill="auto"/>
              <w:bidi w:val="0"/>
              <w:spacing w:before="0" w:after="0" w:line="240" w:lineRule="auto"/>
              <w:ind w:left="0" w:right="0" w:firstLine="560"/>
              <w:jc w:val="left"/>
              <w:rPr>
                <w:sz w:val="18"/>
                <w:szCs w:val="18"/>
              </w:rPr>
            </w:pPr>
            <w:r>
              <w:rPr>
                <w:b/>
                <w:bCs/>
                <w:color w:val="000000"/>
                <w:spacing w:val="0"/>
                <w:w w:val="100"/>
                <w:position w:val="0"/>
                <w:sz w:val="18"/>
                <w:szCs w:val="18"/>
                <w:shd w:val="clear" w:color="auto" w:fill="auto"/>
                <w:lang w:val="cs-CZ" w:eastAsia="cs-CZ" w:bidi="cs-CZ"/>
              </w:rPr>
              <w:t>B. Cena za výkon TDS při provádění stavby celkem</w:t>
            </w:r>
          </w:p>
        </w:tc>
        <w:tc>
          <w:tcPr>
            <w:tcBorders>
              <w:top w:val="single" w:sz="4"/>
              <w:left w:val="single" w:sz="4"/>
            </w:tcBorders>
            <w:shd w:val="clear" w:color="auto" w:fill="D8E4BD"/>
            <w:vAlign w:val="center"/>
          </w:tcPr>
          <w:p>
            <w:pPr>
              <w:pStyle w:val="Style11"/>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x</w:t>
            </w:r>
          </w:p>
        </w:tc>
        <w:tc>
          <w:tcPr>
            <w:tcBorders>
              <w:top w:val="single" w:sz="4"/>
              <w:left w:val="single" w:sz="4"/>
              <w:right w:val="single" w:sz="4"/>
            </w:tcBorders>
            <w:shd w:val="clear" w:color="auto" w:fill="D8E4BD"/>
            <w:vAlign w:val="center"/>
          </w:tcPr>
          <w:p>
            <w:pPr>
              <w:pStyle w:val="Style11"/>
              <w:keepNext w:val="0"/>
              <w:keepLines w:val="0"/>
              <w:framePr w:w="9533" w:h="9821" w:hSpace="864" w:vSpace="307" w:wrap="notBeside" w:vAnchor="text" w:hAnchor="text" w:y="1"/>
              <w:widowControl w:val="0"/>
              <w:shd w:val="clear" w:color="auto" w:fill="auto"/>
              <w:bidi w:val="0"/>
              <w:spacing w:before="0" w:after="0" w:line="240" w:lineRule="auto"/>
              <w:ind w:left="0" w:right="0" w:firstLine="580"/>
              <w:jc w:val="both"/>
              <w:rPr>
                <w:sz w:val="18"/>
                <w:szCs w:val="18"/>
              </w:rPr>
            </w:pPr>
            <w:r>
              <w:rPr>
                <w:b/>
                <w:bCs/>
                <w:color w:val="000000"/>
                <w:spacing w:val="0"/>
                <w:w w:val="100"/>
                <w:position w:val="0"/>
                <w:sz w:val="18"/>
                <w:szCs w:val="18"/>
                <w:shd w:val="clear" w:color="auto" w:fill="auto"/>
                <w:lang w:val="cs-CZ" w:eastAsia="cs-CZ" w:bidi="cs-CZ"/>
              </w:rPr>
              <w:t>90 800,00 Kč</w:t>
            </w:r>
          </w:p>
        </w:tc>
      </w:tr>
      <w:tr>
        <w:trPr>
          <w:trHeight w:val="523" w:hRule="exact"/>
        </w:trPr>
        <w:tc>
          <w:tcPr>
            <w:gridSpan w:val="2"/>
            <w:tcBorders>
              <w:top w:val="single" w:sz="4"/>
              <w:left w:val="single" w:sz="4"/>
            </w:tcBorders>
            <w:shd w:val="clear" w:color="auto" w:fill="C3D79A"/>
            <w:vAlign w:val="bottom"/>
          </w:tcPr>
          <w:p>
            <w:pPr>
              <w:pStyle w:val="Style11"/>
              <w:keepNext w:val="0"/>
              <w:keepLines w:val="0"/>
              <w:framePr w:w="9533" w:h="9821" w:hSpace="864" w:vSpace="307" w:wrap="notBeside" w:vAnchor="text" w:hAnchor="text" w:y="1"/>
              <w:widowControl w:val="0"/>
              <w:shd w:val="clear" w:color="auto" w:fill="auto"/>
              <w:bidi w:val="0"/>
              <w:spacing w:before="0" w:after="0" w:line="240" w:lineRule="auto"/>
              <w:ind w:left="0" w:right="0" w:firstLine="560"/>
              <w:jc w:val="left"/>
              <w:rPr>
                <w:sz w:val="18"/>
                <w:szCs w:val="18"/>
              </w:rPr>
            </w:pPr>
            <w:r>
              <w:rPr>
                <w:b/>
                <w:bCs/>
                <w:color w:val="000000"/>
                <w:spacing w:val="0"/>
                <w:w w:val="100"/>
                <w:position w:val="0"/>
                <w:sz w:val="18"/>
                <w:szCs w:val="18"/>
                <w:shd w:val="clear" w:color="auto" w:fill="auto"/>
                <w:lang w:val="cs-CZ" w:eastAsia="cs-CZ" w:bidi="cs-CZ"/>
              </w:rPr>
              <w:t>CENA CELKEM BEZ DPH (A + B)</w:t>
            </w:r>
          </w:p>
        </w:tc>
        <w:tc>
          <w:tcPr>
            <w:tcBorders>
              <w:top w:val="single" w:sz="4"/>
              <w:left w:val="single" w:sz="4"/>
            </w:tcBorders>
            <w:shd w:val="clear" w:color="auto" w:fill="C3D79A"/>
            <w:vAlign w:val="center"/>
          </w:tcPr>
          <w:p>
            <w:pPr>
              <w:pStyle w:val="Style11"/>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x</w:t>
            </w:r>
          </w:p>
        </w:tc>
        <w:tc>
          <w:tcPr>
            <w:tcBorders>
              <w:top w:val="single" w:sz="4"/>
              <w:left w:val="single" w:sz="4"/>
              <w:right w:val="single" w:sz="4"/>
            </w:tcBorders>
            <w:shd w:val="clear" w:color="auto" w:fill="C3D79A"/>
            <w:vAlign w:val="center"/>
          </w:tcPr>
          <w:p>
            <w:pPr>
              <w:pStyle w:val="Style11"/>
              <w:keepNext w:val="0"/>
              <w:keepLines w:val="0"/>
              <w:framePr w:w="9533" w:h="9821" w:hSpace="864" w:vSpace="307" w:wrap="notBeside" w:vAnchor="text" w:hAnchor="text" w:y="1"/>
              <w:widowControl w:val="0"/>
              <w:shd w:val="clear" w:color="auto" w:fill="auto"/>
              <w:bidi w:val="0"/>
              <w:spacing w:before="0" w:after="0" w:line="240" w:lineRule="auto"/>
              <w:ind w:left="0" w:right="0" w:firstLine="480"/>
              <w:jc w:val="both"/>
              <w:rPr>
                <w:sz w:val="18"/>
                <w:szCs w:val="18"/>
              </w:rPr>
            </w:pPr>
            <w:r>
              <w:rPr>
                <w:b/>
                <w:bCs/>
                <w:color w:val="000000"/>
                <w:spacing w:val="0"/>
                <w:w w:val="100"/>
                <w:position w:val="0"/>
                <w:sz w:val="18"/>
                <w:szCs w:val="18"/>
                <w:shd w:val="clear" w:color="auto" w:fill="auto"/>
                <w:lang w:val="cs-CZ" w:eastAsia="cs-CZ" w:bidi="cs-CZ"/>
              </w:rPr>
              <w:t>124 800,00 Kč</w:t>
            </w:r>
          </w:p>
        </w:tc>
      </w:tr>
      <w:tr>
        <w:trPr>
          <w:trHeight w:val="485" w:hRule="exact"/>
        </w:trPr>
        <w:tc>
          <w:tcPr>
            <w:gridSpan w:val="2"/>
            <w:tcBorders>
              <w:top w:val="single" w:sz="4"/>
              <w:left w:val="single" w:sz="4"/>
            </w:tcBorders>
            <w:shd w:val="clear" w:color="auto" w:fill="C3D79A"/>
            <w:vAlign w:val="center"/>
          </w:tcPr>
          <w:p>
            <w:pPr>
              <w:pStyle w:val="Style11"/>
              <w:keepNext w:val="0"/>
              <w:keepLines w:val="0"/>
              <w:framePr w:w="9533" w:h="9821" w:hSpace="864" w:vSpace="307" w:wrap="notBeside" w:vAnchor="text" w:hAnchor="text" w:y="1"/>
              <w:widowControl w:val="0"/>
              <w:shd w:val="clear" w:color="auto" w:fill="auto"/>
              <w:bidi w:val="0"/>
              <w:spacing w:before="0" w:after="0" w:line="240" w:lineRule="auto"/>
              <w:ind w:left="0" w:right="0" w:firstLine="560"/>
              <w:jc w:val="left"/>
              <w:rPr>
                <w:sz w:val="18"/>
                <w:szCs w:val="18"/>
              </w:rPr>
            </w:pPr>
            <w:r>
              <w:rPr>
                <w:b/>
                <w:bCs/>
                <w:color w:val="000000"/>
                <w:spacing w:val="0"/>
                <w:w w:val="100"/>
                <w:position w:val="0"/>
                <w:sz w:val="18"/>
                <w:szCs w:val="18"/>
                <w:shd w:val="clear" w:color="auto" w:fill="auto"/>
                <w:lang w:val="cs-CZ" w:eastAsia="cs-CZ" w:bidi="cs-CZ"/>
              </w:rPr>
              <w:t>DPH 21 %</w:t>
            </w:r>
          </w:p>
        </w:tc>
        <w:tc>
          <w:tcPr>
            <w:tcBorders>
              <w:top w:val="single" w:sz="4"/>
              <w:left w:val="single" w:sz="4"/>
            </w:tcBorders>
            <w:shd w:val="clear" w:color="auto" w:fill="C3D79A"/>
            <w:vAlign w:val="center"/>
          </w:tcPr>
          <w:p>
            <w:pPr>
              <w:pStyle w:val="Style11"/>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x</w:t>
            </w:r>
          </w:p>
        </w:tc>
        <w:tc>
          <w:tcPr>
            <w:tcBorders>
              <w:top w:val="single" w:sz="4"/>
              <w:left w:val="single" w:sz="4"/>
              <w:right w:val="single" w:sz="4"/>
            </w:tcBorders>
            <w:shd w:val="clear" w:color="auto" w:fill="C3D79A"/>
            <w:vAlign w:val="center"/>
          </w:tcPr>
          <w:p>
            <w:pPr>
              <w:pStyle w:val="Style11"/>
              <w:keepNext w:val="0"/>
              <w:keepLines w:val="0"/>
              <w:framePr w:w="9533" w:h="9821" w:hSpace="864" w:vSpace="307" w:wrap="notBeside" w:vAnchor="text" w:hAnchor="text" w:y="1"/>
              <w:widowControl w:val="0"/>
              <w:shd w:val="clear" w:color="auto" w:fill="auto"/>
              <w:bidi w:val="0"/>
              <w:spacing w:before="0" w:after="0" w:line="240" w:lineRule="auto"/>
              <w:ind w:left="0" w:right="0" w:firstLine="580"/>
              <w:jc w:val="both"/>
              <w:rPr>
                <w:sz w:val="18"/>
                <w:szCs w:val="18"/>
              </w:rPr>
            </w:pPr>
            <w:r>
              <w:rPr>
                <w:b/>
                <w:bCs/>
                <w:color w:val="000000"/>
                <w:spacing w:val="0"/>
                <w:w w:val="100"/>
                <w:position w:val="0"/>
                <w:sz w:val="18"/>
                <w:szCs w:val="18"/>
                <w:shd w:val="clear" w:color="auto" w:fill="auto"/>
                <w:lang w:val="cs-CZ" w:eastAsia="cs-CZ" w:bidi="cs-CZ"/>
              </w:rPr>
              <w:t>26 208,00 Kč</w:t>
            </w:r>
          </w:p>
        </w:tc>
      </w:tr>
      <w:tr>
        <w:trPr>
          <w:trHeight w:val="667" w:hRule="exact"/>
        </w:trPr>
        <w:tc>
          <w:tcPr>
            <w:gridSpan w:val="2"/>
            <w:tcBorders>
              <w:top w:val="single" w:sz="4"/>
              <w:left w:val="single" w:sz="4"/>
              <w:bottom w:val="single" w:sz="4"/>
            </w:tcBorders>
            <w:shd w:val="clear" w:color="auto" w:fill="C3D79A"/>
            <w:vAlign w:val="center"/>
          </w:tcPr>
          <w:p>
            <w:pPr>
              <w:pStyle w:val="Style11"/>
              <w:keepNext w:val="0"/>
              <w:keepLines w:val="0"/>
              <w:framePr w:w="9533" w:h="9821" w:hSpace="864" w:vSpace="307" w:wrap="notBeside" w:vAnchor="text" w:hAnchor="text" w:y="1"/>
              <w:widowControl w:val="0"/>
              <w:shd w:val="clear" w:color="auto" w:fill="auto"/>
              <w:bidi w:val="0"/>
              <w:spacing w:before="0" w:after="0" w:line="240" w:lineRule="auto"/>
              <w:ind w:left="0" w:right="0" w:firstLine="560"/>
              <w:jc w:val="left"/>
              <w:rPr>
                <w:sz w:val="18"/>
                <w:szCs w:val="18"/>
              </w:rPr>
            </w:pPr>
            <w:r>
              <w:rPr>
                <w:b/>
                <w:bCs/>
                <w:color w:val="000000"/>
                <w:spacing w:val="0"/>
                <w:w w:val="100"/>
                <w:position w:val="0"/>
                <w:sz w:val="18"/>
                <w:szCs w:val="18"/>
                <w:shd w:val="clear" w:color="auto" w:fill="auto"/>
                <w:lang w:val="cs-CZ" w:eastAsia="cs-CZ" w:bidi="cs-CZ"/>
              </w:rPr>
              <w:t>CENA CELKEM VČETNĚ DPH</w:t>
            </w:r>
          </w:p>
        </w:tc>
        <w:tc>
          <w:tcPr>
            <w:tcBorders>
              <w:top w:val="single" w:sz="4"/>
              <w:left w:val="single" w:sz="4"/>
              <w:bottom w:val="single" w:sz="4"/>
            </w:tcBorders>
            <w:shd w:val="clear" w:color="auto" w:fill="C3D79A"/>
            <w:vAlign w:val="center"/>
          </w:tcPr>
          <w:p>
            <w:pPr>
              <w:pStyle w:val="Style11"/>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x</w:t>
            </w:r>
          </w:p>
        </w:tc>
        <w:tc>
          <w:tcPr>
            <w:tcBorders>
              <w:top w:val="single" w:sz="4"/>
              <w:left w:val="single" w:sz="4"/>
              <w:bottom w:val="single" w:sz="4"/>
              <w:right w:val="single" w:sz="4"/>
            </w:tcBorders>
            <w:shd w:val="clear" w:color="auto" w:fill="C3D79A"/>
            <w:vAlign w:val="center"/>
          </w:tcPr>
          <w:p>
            <w:pPr>
              <w:pStyle w:val="Style11"/>
              <w:keepNext w:val="0"/>
              <w:keepLines w:val="0"/>
              <w:framePr w:w="9533" w:h="9821" w:hSpace="864" w:vSpace="307" w:wrap="notBeside" w:vAnchor="text" w:hAnchor="text" w:y="1"/>
              <w:widowControl w:val="0"/>
              <w:shd w:val="clear" w:color="auto" w:fill="auto"/>
              <w:bidi w:val="0"/>
              <w:spacing w:before="0" w:after="0" w:line="240" w:lineRule="auto"/>
              <w:ind w:left="0" w:right="0" w:firstLine="480"/>
              <w:jc w:val="both"/>
              <w:rPr>
                <w:sz w:val="18"/>
                <w:szCs w:val="18"/>
              </w:rPr>
            </w:pPr>
            <w:r>
              <w:rPr>
                <w:b/>
                <w:bCs/>
                <w:color w:val="000000"/>
                <w:spacing w:val="0"/>
                <w:w w:val="100"/>
                <w:position w:val="0"/>
                <w:sz w:val="18"/>
                <w:szCs w:val="18"/>
                <w:shd w:val="clear" w:color="auto" w:fill="auto"/>
                <w:lang w:val="cs-CZ" w:eastAsia="cs-CZ" w:bidi="cs-CZ"/>
              </w:rPr>
              <w:t>151 008,00 Kč</w:t>
            </w:r>
          </w:p>
        </w:tc>
      </w:tr>
    </w:tbl>
    <w:p>
      <w:pPr>
        <w:pStyle w:val="Style13"/>
        <w:keepNext w:val="0"/>
        <w:keepLines w:val="0"/>
        <w:framePr w:w="8208" w:h="230" w:hSpace="2189" w:wrap="notBeside" w:vAnchor="text" w:hAnchor="text" w:x="654" w:y="9899"/>
        <w:widowControl w:val="0"/>
        <w:shd w:val="clear" w:color="auto" w:fill="auto"/>
        <w:bidi w:val="0"/>
        <w:spacing w:before="0" w:after="0" w:line="240" w:lineRule="auto"/>
        <w:ind w:left="0" w:right="0" w:firstLine="0"/>
        <w:jc w:val="left"/>
        <w:rPr>
          <w:sz w:val="16"/>
          <w:szCs w:val="16"/>
        </w:rPr>
      </w:pPr>
      <w:r>
        <w:rPr>
          <w:b/>
          <w:bCs/>
          <w:i/>
          <w:iCs/>
          <w:color w:val="000000"/>
          <w:spacing w:val="0"/>
          <w:w w:val="100"/>
          <w:position w:val="0"/>
          <w:sz w:val="16"/>
          <w:szCs w:val="16"/>
          <w:shd w:val="clear" w:color="auto" w:fill="auto"/>
          <w:lang w:val="cs-CZ" w:eastAsia="cs-CZ" w:bidi="cs-CZ"/>
        </w:rPr>
        <w:t>Tabulka pro zpracování ceny plnění bude jako příloha nedílnou součástí Smlouvy o zajištění výkonu TDS na staveništi.</w:t>
      </w:r>
    </w:p>
    <w:p>
      <w:pPr>
        <w:pStyle w:val="Style13"/>
        <w:keepNext w:val="0"/>
        <w:keepLines w:val="0"/>
        <w:framePr w:w="883" w:h="461" w:hSpace="9514" w:wrap="notBeside" w:vAnchor="text" w:hAnchor="text" w:x="9515" w:y="5487"/>
        <w:widowControl w:val="0"/>
        <w:shd w:val="clear" w:color="auto" w:fill="auto"/>
        <w:bidi w:val="0"/>
        <w:spacing w:before="0" w:after="0" w:line="276" w:lineRule="auto"/>
        <w:ind w:left="0" w:right="0" w:firstLine="0"/>
        <w:jc w:val="left"/>
        <w:rPr>
          <w:sz w:val="16"/>
          <w:szCs w:val="16"/>
        </w:rPr>
      </w:pPr>
      <w:r>
        <w:rPr>
          <w:i/>
          <w:iCs/>
          <w:color w:val="000000"/>
          <w:spacing w:val="0"/>
          <w:w w:val="100"/>
          <w:position w:val="0"/>
          <w:sz w:val="16"/>
          <w:szCs w:val="16"/>
          <w:shd w:val="clear" w:color="auto" w:fill="auto"/>
          <w:lang w:val="cs-CZ" w:eastAsia="cs-CZ" w:bidi="cs-CZ"/>
        </w:rPr>
        <w:t>n e p o č í t á automaticky</w:t>
      </w:r>
    </w:p>
    <w:p>
      <w:pPr>
        <w:pStyle w:val="Style13"/>
        <w:keepNext w:val="0"/>
        <w:keepLines w:val="0"/>
        <w:framePr w:w="883" w:h="451" w:hSpace="9514" w:wrap="notBeside" w:vAnchor="text" w:hAnchor="text" w:x="9515" w:y="6956"/>
        <w:widowControl w:val="0"/>
        <w:shd w:val="clear" w:color="auto" w:fill="auto"/>
        <w:bidi w:val="0"/>
        <w:spacing w:before="0" w:after="0" w:line="269" w:lineRule="auto"/>
        <w:ind w:left="0" w:right="0" w:firstLine="0"/>
        <w:jc w:val="left"/>
        <w:rPr>
          <w:sz w:val="16"/>
          <w:szCs w:val="16"/>
        </w:rPr>
      </w:pPr>
      <w:r>
        <w:rPr>
          <w:i/>
          <w:iCs/>
          <w:color w:val="000000"/>
          <w:spacing w:val="0"/>
          <w:w w:val="100"/>
          <w:position w:val="0"/>
          <w:sz w:val="16"/>
          <w:szCs w:val="16"/>
          <w:shd w:val="clear" w:color="auto" w:fill="auto"/>
          <w:lang w:val="cs-CZ" w:eastAsia="cs-CZ" w:bidi="cs-CZ"/>
        </w:rPr>
        <w:t>nepočítá a u t o m a t i c k y</w:t>
      </w:r>
    </w:p>
    <w:p>
      <w:pPr>
        <w:pStyle w:val="Style13"/>
        <w:keepNext w:val="0"/>
        <w:keepLines w:val="0"/>
        <w:framePr w:w="883" w:h="461" w:hSpace="9514" w:wrap="notBeside" w:vAnchor="text" w:hAnchor="text" w:x="9515" w:y="8699"/>
        <w:widowControl w:val="0"/>
        <w:shd w:val="clear" w:color="auto" w:fill="auto"/>
        <w:bidi w:val="0"/>
        <w:spacing w:before="0" w:after="0" w:line="276" w:lineRule="auto"/>
        <w:ind w:left="0" w:right="0" w:firstLine="0"/>
        <w:jc w:val="left"/>
        <w:rPr>
          <w:sz w:val="16"/>
          <w:szCs w:val="16"/>
        </w:rPr>
      </w:pPr>
      <w:r>
        <w:rPr>
          <w:i/>
          <w:iCs/>
          <w:color w:val="000000"/>
          <w:spacing w:val="0"/>
          <w:w w:val="100"/>
          <w:position w:val="0"/>
          <w:sz w:val="16"/>
          <w:szCs w:val="16"/>
          <w:shd w:val="clear" w:color="auto" w:fill="auto"/>
          <w:lang w:val="cs-CZ" w:eastAsia="cs-CZ" w:bidi="cs-CZ"/>
        </w:rPr>
        <w:t>nepočítá automaticky</w:t>
      </w:r>
    </w:p>
    <w:p>
      <w:pPr>
        <w:pStyle w:val="Style13"/>
        <w:keepNext w:val="0"/>
        <w:keepLines w:val="0"/>
        <w:framePr w:w="883" w:h="461" w:hSpace="9514" w:wrap="notBeside" w:vAnchor="text" w:hAnchor="text" w:x="9515" w:y="9265"/>
        <w:widowControl w:val="0"/>
        <w:shd w:val="clear" w:color="auto" w:fill="auto"/>
        <w:bidi w:val="0"/>
        <w:spacing w:before="0" w:after="0" w:line="276" w:lineRule="auto"/>
        <w:ind w:left="0" w:right="0" w:firstLine="0"/>
        <w:jc w:val="left"/>
        <w:rPr>
          <w:sz w:val="16"/>
          <w:szCs w:val="16"/>
        </w:rPr>
      </w:pPr>
      <w:r>
        <w:rPr>
          <w:i/>
          <w:iCs/>
          <w:color w:val="000000"/>
          <w:spacing w:val="0"/>
          <w:w w:val="100"/>
          <w:position w:val="0"/>
          <w:sz w:val="16"/>
          <w:szCs w:val="16"/>
          <w:shd w:val="clear" w:color="auto" w:fill="auto"/>
          <w:lang w:val="cs-CZ" w:eastAsia="cs-CZ" w:bidi="cs-CZ"/>
        </w:rPr>
        <w:t>nepočítá automaticky</w:t>
      </w:r>
    </w:p>
    <w:p>
      <w:pPr>
        <w:widowControl w:val="0"/>
        <w:spacing w:line="1" w:lineRule="exact"/>
      </w:pPr>
    </w:p>
    <w:p>
      <w:pPr>
        <w:pStyle w:val="Style48"/>
        <w:keepNext w:val="0"/>
        <w:keepLines w:val="0"/>
        <w:widowControl w:val="0"/>
        <w:shd w:val="clear" w:color="auto" w:fill="auto"/>
        <w:bidi w:val="0"/>
        <w:spacing w:before="0" w:after="0"/>
        <w:ind w:left="0" w:right="0" w:firstLine="0"/>
        <w:jc w:val="left"/>
      </w:pPr>
      <w:r>
        <w:rPr>
          <w:b w:val="0"/>
          <w:bCs w:val="0"/>
          <w:color w:val="000000"/>
          <w:spacing w:val="0"/>
          <w:w w:val="100"/>
          <w:position w:val="0"/>
          <w:shd w:val="clear" w:color="auto" w:fill="auto"/>
          <w:lang w:val="cs-CZ" w:eastAsia="cs-CZ" w:bidi="cs-CZ"/>
        </w:rPr>
        <w:t xml:space="preserve">Položka č. 1 - </w:t>
      </w:r>
      <w:r>
        <w:rPr>
          <w:b w:val="0"/>
          <w:bCs w:val="0"/>
          <w:color w:val="000000"/>
          <w:spacing w:val="0"/>
          <w:w w:val="100"/>
          <w:position w:val="0"/>
          <w:u w:val="single"/>
          <w:shd w:val="clear" w:color="auto" w:fill="auto"/>
          <w:lang w:val="cs-CZ" w:eastAsia="cs-CZ" w:bidi="cs-CZ"/>
        </w:rPr>
        <w:t>Cena za práci před zahájením stavby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zajištění výkonu TDS.</w:t>
      </w:r>
    </w:p>
    <w:p>
      <w:pPr>
        <w:pStyle w:val="Style48"/>
        <w:keepNext w:val="0"/>
        <w:keepLines w:val="0"/>
        <w:widowControl w:val="0"/>
        <w:shd w:val="clear" w:color="auto" w:fill="auto"/>
        <w:bidi w:val="0"/>
        <w:spacing w:before="0" w:after="0"/>
        <w:ind w:left="0" w:right="0" w:firstLine="0"/>
        <w:jc w:val="left"/>
      </w:pPr>
      <w:r>
        <w:rPr>
          <w:b w:val="0"/>
          <w:bCs w:val="0"/>
          <w:color w:val="000000"/>
          <w:spacing w:val="0"/>
          <w:w w:val="100"/>
          <w:position w:val="0"/>
          <w:shd w:val="clear" w:color="auto" w:fill="auto"/>
          <w:lang w:val="cs-CZ" w:eastAsia="cs-CZ" w:bidi="cs-CZ"/>
        </w:rPr>
        <w:t xml:space="preserve">Položka č. 2 - </w:t>
      </w:r>
      <w:r>
        <w:rPr>
          <w:b w:val="0"/>
          <w:bCs w:val="0"/>
          <w:color w:val="000000"/>
          <w:spacing w:val="0"/>
          <w:w w:val="100"/>
          <w:position w:val="0"/>
          <w:u w:val="single"/>
          <w:shd w:val="clear" w:color="auto" w:fill="auto"/>
          <w:lang w:val="cs-CZ" w:eastAsia="cs-CZ" w:bidi="cs-CZ"/>
        </w:rPr>
        <w:t>Cena za práci po dokončení stavby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zajištění výkonu TDS.</w:t>
      </w:r>
    </w:p>
    <w:p>
      <w:pPr>
        <w:pStyle w:val="Style48"/>
        <w:keepNext w:val="0"/>
        <w:keepLines w:val="0"/>
        <w:widowControl w:val="0"/>
        <w:shd w:val="clear" w:color="auto" w:fill="auto"/>
        <w:bidi w:val="0"/>
        <w:spacing w:before="0" w:after="0"/>
        <w:ind w:left="0" w:right="0" w:firstLine="0"/>
        <w:jc w:val="left"/>
      </w:pPr>
      <w:r>
        <w:rPr>
          <w:b w:val="0"/>
          <w:bCs w:val="0"/>
          <w:color w:val="000000"/>
          <w:spacing w:val="0"/>
          <w:w w:val="100"/>
          <w:position w:val="0"/>
          <w:shd w:val="clear" w:color="auto" w:fill="auto"/>
          <w:lang w:val="cs-CZ" w:eastAsia="cs-CZ" w:bidi="cs-CZ"/>
        </w:rPr>
        <w:t xml:space="preserve">Položka č. 3 - </w:t>
      </w:r>
      <w:r>
        <w:rPr>
          <w:b w:val="0"/>
          <w:bCs w:val="0"/>
          <w:color w:val="000000"/>
          <w:spacing w:val="0"/>
          <w:w w:val="100"/>
          <w:position w:val="0"/>
          <w:u w:val="single"/>
          <w:shd w:val="clear" w:color="auto" w:fill="auto"/>
          <w:lang w:val="cs-CZ" w:eastAsia="cs-CZ" w:bidi="cs-CZ"/>
        </w:rPr>
        <w:t>Cena za práci v kanceláři při provádění stavby v rozsahu 1 hodiny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bude uvedena ve Smlouvě o zajištění výkonu TDS a bude sloužit pro fakturaci výkonu TDS </w:t>
      </w:r>
      <w:r>
        <w:rPr>
          <w:b w:val="0"/>
          <w:bCs w:val="0"/>
          <w:color w:val="000000"/>
          <w:spacing w:val="0"/>
          <w:w w:val="100"/>
          <w:position w:val="0"/>
          <w:shd w:val="clear" w:color="auto" w:fill="auto"/>
          <w:lang w:val="cs-CZ" w:eastAsia="cs-CZ" w:bidi="cs-CZ"/>
        </w:rPr>
        <w:t>dle skutečnosti.</w:t>
      </w:r>
    </w:p>
    <w:p>
      <w:pPr>
        <w:pStyle w:val="Style48"/>
        <w:keepNext w:val="0"/>
        <w:keepLines w:val="0"/>
        <w:widowControl w:val="0"/>
        <w:shd w:val="clear" w:color="auto" w:fill="auto"/>
        <w:bidi w:val="0"/>
        <w:spacing w:before="0" w:after="0"/>
        <w:ind w:left="0" w:right="0" w:firstLine="0"/>
        <w:jc w:val="left"/>
      </w:pPr>
      <w:r>
        <w:drawing>
          <wp:anchor distT="0" distB="155575" distL="114300" distR="114300" simplePos="0" relativeHeight="125829388" behindDoc="0" locked="0" layoutInCell="1" allowOverlap="1">
            <wp:simplePos x="0" y="0"/>
            <wp:positionH relativeFrom="page">
              <wp:posOffset>5073650</wp:posOffset>
            </wp:positionH>
            <wp:positionV relativeFrom="paragraph">
              <wp:posOffset>1003300</wp:posOffset>
            </wp:positionV>
            <wp:extent cx="1566545" cy="609600"/>
            <wp:wrapSquare wrapText="left"/>
            <wp:docPr id="27" name="Shape 27"/>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8"/>
                    <a:stretch/>
                  </pic:blipFill>
                  <pic:spPr>
                    <a:xfrm>
                      <a:ext cx="1566545" cy="609600"/>
                    </a:xfrm>
                    <a:prstGeom prst="rect"/>
                  </pic:spPr>
                </pic:pic>
              </a:graphicData>
            </a:graphic>
          </wp:anchor>
        </w:drawing>
      </w:r>
      <w:r>
        <mc:AlternateContent>
          <mc:Choice Requires="wps">
            <w:drawing>
              <wp:anchor distT="0" distB="0" distL="0" distR="0" simplePos="0" relativeHeight="503316486" behindDoc="0" locked="0" layoutInCell="1" allowOverlap="1">
                <wp:simplePos x="0" y="0"/>
                <wp:positionH relativeFrom="page">
                  <wp:posOffset>5622290</wp:posOffset>
                </wp:positionH>
                <wp:positionV relativeFrom="paragraph">
                  <wp:posOffset>1619250</wp:posOffset>
                </wp:positionV>
                <wp:extent cx="341630" cy="146050"/>
                <wp:wrapNone/>
                <wp:docPr id="29" name="Shape 29"/>
                <a:graphic xmlns:a="http://schemas.openxmlformats.org/drawingml/2006/main">
                  <a:graphicData uri="http://schemas.microsoft.com/office/word/2010/wordprocessingShape">
                    <wps:wsp>
                      <wps:cNvSpPr txBox="1"/>
                      <wps:spPr>
                        <a:xfrm>
                          <a:ext cx="341630" cy="14605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Podpis</w:t>
                            </w:r>
                          </w:p>
                        </w:txbxContent>
                      </wps:txbx>
                      <wps:bodyPr lIns="0" tIns="0" rIns="0" bIns="0">
                        <a:noAutoFit/>
                      </wps:bodyPr>
                    </wps:wsp>
                  </a:graphicData>
                </a:graphic>
              </wp:anchor>
            </w:drawing>
          </mc:Choice>
          <mc:Fallback>
            <w:pict>
              <v:shape id="_x0000_s1055" type="#_x0000_t202" style="position:absolute;margin-left:442.69999999999999pt;margin-top:127.5pt;width:26.899999999999999pt;height:11.5pt;z-index:251657733;mso-wrap-distance-left:0;mso-wrap-distance-right:0;mso-position-horizontal-relative:page" filled="f" stroked="f">
                <v:textbox inset="0,0,0,0">
                  <w:txbxContent>
                    <w:p>
                      <w:pPr>
                        <w:pStyle w:val="Style38"/>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Podpis</w:t>
                      </w:r>
                    </w:p>
                  </w:txbxContent>
                </v:textbox>
                <w10:wrap anchorx="page"/>
              </v:shape>
            </w:pict>
          </mc:Fallback>
        </mc:AlternateContent>
      </w:r>
      <w:r>
        <w:rPr>
          <w:b w:val="0"/>
          <w:bCs w:val="0"/>
          <w:color w:val="000000"/>
          <w:spacing w:val="0"/>
          <w:w w:val="100"/>
          <w:position w:val="0"/>
          <w:shd w:val="clear" w:color="auto" w:fill="auto"/>
          <w:lang w:val="cs-CZ" w:eastAsia="cs-CZ" w:bidi="cs-CZ"/>
        </w:rPr>
        <w:t xml:space="preserve">Položka č. 4 - </w:t>
      </w:r>
      <w:r>
        <w:rPr>
          <w:b w:val="0"/>
          <w:bCs w:val="0"/>
          <w:color w:val="000000"/>
          <w:spacing w:val="0"/>
          <w:w w:val="100"/>
          <w:position w:val="0"/>
          <w:u w:val="single"/>
          <w:shd w:val="clear" w:color="auto" w:fill="auto"/>
          <w:lang w:val="cs-CZ" w:eastAsia="cs-CZ" w:bidi="cs-CZ"/>
        </w:rPr>
        <w:t>Cena za práci na staveništi při provádění stavby v rozsahu 1 hodiny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zajištění výkonu TDS a bude sloužit pro fakturaci výkonu TDS dle doložené skutečnosti.</w:t>
      </w:r>
    </w:p>
    <w:sectPr>
      <w:footerReference w:type="default" r:id="rId10"/>
      <w:footnotePr>
        <w:pos w:val="pageBottom"/>
        <w:numFmt w:val="chicago"/>
        <w:numStart w:val="1"/>
        <w:numRestart w:val="continuous"/>
        <w15:footnoteColumns w:val="1"/>
      </w:footnotePr>
      <w:pgSz w:w="12240" w:h="15840"/>
      <w:pgMar w:top="666" w:left="1178" w:right="664" w:bottom="666" w:header="238" w:footer="238"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756285</wp:posOffset>
              </wp:positionH>
              <wp:positionV relativeFrom="page">
                <wp:posOffset>9507220</wp:posOffset>
              </wp:positionV>
              <wp:extent cx="6351905" cy="113030"/>
              <wp:wrapNone/>
              <wp:docPr id="1" name="Shape 1"/>
              <a:graphic xmlns:a="http://schemas.openxmlformats.org/drawingml/2006/main">
                <a:graphicData uri="http://schemas.microsoft.com/office/word/2010/wordprocessingShape">
                  <wps:wsp>
                    <wps:cNvSpPr txBox="1"/>
                    <wps:spPr>
                      <a:xfrm>
                        <a:ext cx="6351905" cy="11303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Smlouva o zajištění výkonu TDS na staveništi 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9.549999999999997pt;margin-top:748.60000000000002pt;width:500.14999999999998pt;height:8.9000000000000004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Smlouva o zajištění výkonu TDS na staveništi 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8</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762000</wp:posOffset>
              </wp:positionH>
              <wp:positionV relativeFrom="page">
                <wp:posOffset>9812020</wp:posOffset>
              </wp:positionV>
              <wp:extent cx="4093210" cy="121920"/>
              <wp:wrapNone/>
              <wp:docPr id="3" name="Shape 3"/>
              <a:graphic xmlns:a="http://schemas.openxmlformats.org/drawingml/2006/main">
                <a:graphicData uri="http://schemas.microsoft.com/office/word/2010/wordprocessingShape">
                  <wps:wsp>
                    <wps:cNvSpPr txBox="1"/>
                    <wps:spPr>
                      <a:xfrm>
                        <a:ext cx="4093210" cy="12192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 xml:space="preserve">akce: </w:t>
                          </w:r>
                          <w:r>
                            <w:rPr>
                              <w:color w:val="000000"/>
                              <w:spacing w:val="0"/>
                              <w:w w:val="100"/>
                              <w:position w:val="0"/>
                              <w:shd w:val="clear" w:color="auto" w:fill="auto"/>
                              <w:lang w:val="cs-CZ" w:eastAsia="cs-CZ" w:bidi="cs-CZ"/>
                            </w:rPr>
                            <w:t>III/01945 Rantířov, opěrná zeď u mostu ev.č. 01945-3 v km 4,624 - 4,642</w:t>
                          </w:r>
                        </w:p>
                      </w:txbxContent>
                    </wps:txbx>
                    <wps:bodyPr wrap="none" lIns="0" tIns="0" rIns="0" bIns="0">
                      <a:spAutoFit/>
                    </wps:bodyPr>
                  </wps:wsp>
                </a:graphicData>
              </a:graphic>
            </wp:anchor>
          </w:drawing>
        </mc:Choice>
        <mc:Fallback>
          <w:pict>
            <v:shape id="_x0000_s1029" type="#_x0000_t202" style="position:absolute;margin-left:60.pt;margin-top:772.60000000000002pt;width:322.30000000000001pt;height:9.5999999999999996pt;z-index:-18874406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 xml:space="preserve">akce: </w:t>
                    </w:r>
                    <w:r>
                      <w:rPr>
                        <w:color w:val="000000"/>
                        <w:spacing w:val="0"/>
                        <w:w w:val="100"/>
                        <w:position w:val="0"/>
                        <w:shd w:val="clear" w:color="auto" w:fill="auto"/>
                        <w:lang w:val="cs-CZ" w:eastAsia="cs-CZ" w:bidi="cs-CZ"/>
                      </w:rPr>
                      <w:t>III/01945 Rantířov, opěrná zeď u mostu ev.č. 01945-3 v km 4,624 - 4,642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734695</wp:posOffset>
              </wp:positionH>
              <wp:positionV relativeFrom="page">
                <wp:posOffset>9460230</wp:posOffset>
              </wp:positionV>
              <wp:extent cx="6397625" cy="0"/>
              <wp:wrapNone/>
              <wp:docPr id="5" name="Shape 5"/>
              <a:graphic xmlns:a="http://schemas.openxmlformats.org/drawingml/2006/main">
                <a:graphicData uri="http://schemas.microsoft.com/office/word/2010/wordprocessingShape">
                  <wps:wsp>
                    <wps:cNvCnPr/>
                    <wps:spPr>
                      <a:xfrm>
                        <a:ext cx="6397625" cy="0"/>
                      </a:xfrm>
                      <a:prstGeom prst="straightConnector1"/>
                      <a:ln w="12700">
                        <a:solidFill/>
                      </a:ln>
                    </wps:spPr>
                    <wps:bodyPr/>
                  </wps:wsp>
                </a:graphicData>
              </a:graphic>
            </wp:anchor>
          </w:drawing>
        </mc:Choice>
        <mc:Fallback>
          <w:pict>
            <v:shape o:spt="32" o:oned="true" path="m,l21600,21600e" style="position:absolute;margin-left:57.850000000000001pt;margin-top:744.89999999999998pt;width:503.75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757555</wp:posOffset>
              </wp:positionH>
              <wp:positionV relativeFrom="page">
                <wp:posOffset>9499600</wp:posOffset>
              </wp:positionV>
              <wp:extent cx="4102735" cy="140335"/>
              <wp:wrapNone/>
              <wp:docPr id="18" name="Shape 18"/>
              <a:graphic xmlns:a="http://schemas.openxmlformats.org/drawingml/2006/main">
                <a:graphicData uri="http://schemas.microsoft.com/office/word/2010/wordprocessingShape">
                  <wps:wsp>
                    <wps:cNvSpPr txBox="1"/>
                    <wps:spPr>
                      <a:xfrm>
                        <a:ext cx="4102735" cy="14033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 xml:space="preserve">akce: </w:t>
                          </w:r>
                          <w:r>
                            <w:rPr>
                              <w:color w:val="000000"/>
                              <w:spacing w:val="0"/>
                              <w:w w:val="100"/>
                              <w:position w:val="0"/>
                              <w:shd w:val="clear" w:color="auto" w:fill="auto"/>
                              <w:lang w:val="cs-CZ" w:eastAsia="cs-CZ" w:bidi="cs-CZ"/>
                            </w:rPr>
                            <w:t>III/01945 Rantířov, opěrná zeď u mostu ev.č. 01945-3 v km 4,624 - 4,642</w:t>
                          </w:r>
                        </w:p>
                      </w:txbxContent>
                    </wps:txbx>
                    <wps:bodyPr wrap="none" lIns="0" tIns="0" rIns="0" bIns="0">
                      <a:spAutoFit/>
                    </wps:bodyPr>
                  </wps:wsp>
                </a:graphicData>
              </a:graphic>
            </wp:anchor>
          </w:drawing>
        </mc:Choice>
        <mc:Fallback>
          <w:pict>
            <v:shape id="_x0000_s1044" type="#_x0000_t202" style="position:absolute;margin-left:59.649999999999999pt;margin-top:748.pt;width:323.05000000000001pt;height:11.050000000000001pt;z-index:-18874405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 xml:space="preserve">akce: </w:t>
                    </w:r>
                    <w:r>
                      <w:rPr>
                        <w:color w:val="000000"/>
                        <w:spacing w:val="0"/>
                        <w:w w:val="100"/>
                        <w:position w:val="0"/>
                        <w:shd w:val="clear" w:color="auto" w:fill="auto"/>
                        <w:lang w:val="cs-CZ" w:eastAsia="cs-CZ" w:bidi="cs-CZ"/>
                      </w:rPr>
                      <w:t>III/01945 Rantířov, opěrná zeď u mostu ev.č. 01945-3 v km 4,624 - 4,642</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754380</wp:posOffset>
              </wp:positionH>
              <wp:positionV relativeFrom="page">
                <wp:posOffset>9510395</wp:posOffset>
              </wp:positionV>
              <wp:extent cx="6351905" cy="113030"/>
              <wp:wrapNone/>
              <wp:docPr id="20" name="Shape 20"/>
              <a:graphic xmlns:a="http://schemas.openxmlformats.org/drawingml/2006/main">
                <a:graphicData uri="http://schemas.microsoft.com/office/word/2010/wordprocessingShape">
                  <wps:wsp>
                    <wps:cNvSpPr txBox="1"/>
                    <wps:spPr>
                      <a:xfrm>
                        <a:ext cx="6351905" cy="11303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Smlouva o zajištění výkonu TDS na staveništi 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8</w:t>
                          </w:r>
                        </w:p>
                      </w:txbxContent>
                    </wps:txbx>
                    <wps:bodyPr wrap="none" lIns="0" tIns="0" rIns="0" bIns="0">
                      <a:spAutoFit/>
                    </wps:bodyPr>
                  </wps:wsp>
                </a:graphicData>
              </a:graphic>
            </wp:anchor>
          </w:drawing>
        </mc:Choice>
        <mc:Fallback>
          <w:pict>
            <v:shape id="_x0000_s1046" type="#_x0000_t202" style="position:absolute;margin-left:59.399999999999999pt;margin-top:748.85000000000002pt;width:500.14999999999998pt;height:8.9000000000000004pt;z-index:-188744057;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Smlouva o zajištění výkonu TDS na staveništi 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8</w:t>
                    </w:r>
                  </w:p>
                </w:txbxContent>
              </v:textbox>
              <w10:wrap anchorx="page" anchory="page"/>
            </v:shape>
          </w:pict>
        </mc:Fallback>
      </mc:AlternateContent>
    </w:r>
    <w:r>
      <mc:AlternateContent>
        <mc:Choice Requires="wps">
          <w:drawing>
            <wp:anchor distT="0" distB="0" distL="0" distR="0" simplePos="0" relativeHeight="62914698" behindDoc="1" locked="0" layoutInCell="1" allowOverlap="1">
              <wp:simplePos x="0" y="0"/>
              <wp:positionH relativeFrom="page">
                <wp:posOffset>760730</wp:posOffset>
              </wp:positionH>
              <wp:positionV relativeFrom="page">
                <wp:posOffset>9815195</wp:posOffset>
              </wp:positionV>
              <wp:extent cx="4093210" cy="121920"/>
              <wp:wrapNone/>
              <wp:docPr id="22" name="Shape 22"/>
              <a:graphic xmlns:a="http://schemas.openxmlformats.org/drawingml/2006/main">
                <a:graphicData uri="http://schemas.microsoft.com/office/word/2010/wordprocessingShape">
                  <wps:wsp>
                    <wps:cNvSpPr txBox="1"/>
                    <wps:spPr>
                      <a:xfrm>
                        <a:ext cx="4093210" cy="12192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 xml:space="preserve">akce: </w:t>
                          </w:r>
                          <w:r>
                            <w:rPr>
                              <w:color w:val="000000"/>
                              <w:spacing w:val="0"/>
                              <w:w w:val="100"/>
                              <w:position w:val="0"/>
                              <w:shd w:val="clear" w:color="auto" w:fill="auto"/>
                              <w:lang w:val="cs-CZ" w:eastAsia="cs-CZ" w:bidi="cs-CZ"/>
                            </w:rPr>
                            <w:t>III/01945 Rantířov, opěrná zeď u mostu ev.č. 01945-3 v km 4,624 - 4,642</w:t>
                          </w:r>
                        </w:p>
                      </w:txbxContent>
                    </wps:txbx>
                    <wps:bodyPr wrap="none" lIns="0" tIns="0" rIns="0" bIns="0">
                      <a:spAutoFit/>
                    </wps:bodyPr>
                  </wps:wsp>
                </a:graphicData>
              </a:graphic>
            </wp:anchor>
          </w:drawing>
        </mc:Choice>
        <mc:Fallback>
          <w:pict>
            <v:shape id="_x0000_s1048" type="#_x0000_t202" style="position:absolute;margin-left:59.899999999999999pt;margin-top:772.85000000000002pt;width:322.30000000000001pt;height:9.5999999999999996pt;z-index:-188744055;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 xml:space="preserve">akce: </w:t>
                    </w:r>
                    <w:r>
                      <w:rPr>
                        <w:color w:val="000000"/>
                        <w:spacing w:val="0"/>
                        <w:w w:val="100"/>
                        <w:position w:val="0"/>
                        <w:shd w:val="clear" w:color="auto" w:fill="auto"/>
                        <w:lang w:val="cs-CZ" w:eastAsia="cs-CZ" w:bidi="cs-CZ"/>
                      </w:rPr>
                      <w:t>III/01945 Rantířov, opěrná zeď u mostu ev.č. 01945-3 v km 4,624 - 4,642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733425</wp:posOffset>
              </wp:positionH>
              <wp:positionV relativeFrom="page">
                <wp:posOffset>9460230</wp:posOffset>
              </wp:positionV>
              <wp:extent cx="6397625" cy="0"/>
              <wp:wrapNone/>
              <wp:docPr id="24" name="Shape 24"/>
              <a:graphic xmlns:a="http://schemas.openxmlformats.org/drawingml/2006/main">
                <a:graphicData uri="http://schemas.microsoft.com/office/word/2010/wordprocessingShape">
                  <wps:wsp>
                    <wps:cNvCnPr/>
                    <wps:spPr>
                      <a:xfrm>
                        <a:ext cx="6397625" cy="0"/>
                      </a:xfrm>
                      <a:prstGeom prst="straightConnector1"/>
                      <a:ln w="12700">
                        <a:solidFill/>
                      </a:ln>
                    </wps:spPr>
                    <wps:bodyPr/>
                  </wps:wsp>
                </a:graphicData>
              </a:graphic>
            </wp:anchor>
          </w:drawing>
        </mc:Choice>
        <mc:Fallback>
          <w:pict>
            <v:shape o:spt="32" o:oned="true" path="m,l21600,21600e" style="position:absolute;margin-left:57.75pt;margin-top:744.89999999999998pt;width:503.75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 w:id="2">
    <w:p>
      <w:pPr>
        <w:pStyle w:val="Style2"/>
        <w:keepNext w:val="0"/>
        <w:keepLines w:val="0"/>
        <w:widowControl w:val="0"/>
        <w:shd w:val="clear" w:color="auto" w:fill="auto"/>
        <w:tabs>
          <w:tab w:pos="158" w:val="left"/>
        </w:tabs>
        <w:bidi w:val="0"/>
        <w:spacing w:before="0"/>
        <w:ind w:left="0" w:right="0" w:firstLine="0"/>
        <w:jc w:val="left"/>
      </w:pPr>
      <w:r>
        <w:rPr>
          <w:b/>
          <w:bCs/>
          <w:color w:val="000000"/>
          <w:spacing w:val="0"/>
          <w:w w:val="100"/>
          <w:position w:val="0"/>
          <w:shd w:val="clear" w:color="auto" w:fill="auto"/>
          <w:lang w:val="cs-CZ" w:eastAsia="cs-CZ" w:bidi="cs-CZ"/>
        </w:rPr>
        <w:footnoteRef/>
      </w:r>
      <w:r>
        <w:rPr>
          <w:b/>
          <w:bCs/>
          <w:color w:val="000000"/>
          <w:spacing w:val="0"/>
          <w:w w:val="100"/>
          <w:position w:val="0"/>
          <w:shd w:val="clear" w:color="auto" w:fill="auto"/>
          <w:lang w:val="cs-CZ" w:eastAsia="cs-CZ" w:bidi="cs-CZ"/>
        </w:rPr>
        <w:tab/>
      </w:r>
      <w:r>
        <w:rPr>
          <w:color w:val="000000"/>
          <w:spacing w:val="0"/>
          <w:w w:val="100"/>
          <w:position w:val="0"/>
          <w:shd w:val="clear" w:color="auto" w:fill="auto"/>
          <w:lang w:val="cs-CZ" w:eastAsia="cs-CZ" w:bidi="cs-CZ"/>
        </w:rPr>
        <w:t xml:space="preserve">Cena za práci na staveništi při provádění stavby (pol. č. 3 a č. 4) </w:t>
      </w:r>
      <w:r>
        <w:rPr>
          <w:b/>
          <w:bCs/>
          <w:color w:val="000000"/>
          <w:spacing w:val="0"/>
          <w:w w:val="100"/>
          <w:position w:val="0"/>
          <w:shd w:val="clear" w:color="auto" w:fill="auto"/>
          <w:lang w:val="cs-CZ" w:eastAsia="cs-CZ" w:bidi="cs-CZ"/>
        </w:rPr>
        <w:t xml:space="preserve">v celkovém předpokládaném rozsahu 10 hodin v kanceláři a 78 hodin na staveništi </w:t>
      </w:r>
      <w:r>
        <w:rPr>
          <w:color w:val="000000"/>
          <w:spacing w:val="0"/>
          <w:w w:val="100"/>
          <w:position w:val="0"/>
          <w:shd w:val="clear" w:color="auto" w:fill="auto"/>
          <w:lang w:val="cs-CZ" w:eastAsia="cs-CZ" w:bidi="cs-CZ"/>
        </w:rPr>
        <w:t xml:space="preserve">je uvedena pouze pro rovnocenné hodnocení podaných nabídek. </w:t>
      </w:r>
      <w:r>
        <w:rPr>
          <w:b/>
          <w:bCs/>
          <w:color w:val="000000"/>
          <w:spacing w:val="0"/>
          <w:w w:val="100"/>
          <w:position w:val="0"/>
          <w:shd w:val="clear" w:color="auto" w:fill="auto"/>
          <w:lang w:val="cs-CZ" w:eastAsia="cs-CZ" w:bidi="cs-CZ"/>
        </w:rPr>
        <w:t>Ve Smlouvě o zajištění výkonu TDS uvedena nebude.</w:t>
      </w:r>
    </w:p>
    <w:p>
      <w:pPr>
        <w:pStyle w:val="Style2"/>
        <w:keepNext w:val="0"/>
        <w:keepLines w:val="0"/>
        <w:widowControl w:val="0"/>
        <w:numPr>
          <w:ilvl w:val="0"/>
          <w:numId w:val="1"/>
        </w:numPr>
        <w:shd w:val="clear" w:color="auto" w:fill="auto"/>
        <w:tabs>
          <w:tab w:pos="86" w:val="left"/>
        </w:tabs>
        <w:bidi w:val="0"/>
        <w:spacing w:before="0" w:after="400"/>
        <w:ind w:left="0" w:right="0" w:firstLine="0"/>
        <w:jc w:val="both"/>
      </w:pPr>
      <w:r>
        <w:rPr>
          <w:b/>
          <w:bCs/>
          <w:color w:val="000000"/>
          <w:spacing w:val="0"/>
          <w:w w:val="100"/>
          <w:position w:val="0"/>
          <w:shd w:val="clear" w:color="auto" w:fill="auto"/>
          <w:lang w:val="cs-CZ" w:eastAsia="cs-CZ" w:bidi="cs-CZ"/>
        </w:rPr>
        <w:t xml:space="preserve">* </w:t>
      </w:r>
      <w:r>
        <w:rPr>
          <w:color w:val="000000"/>
          <w:spacing w:val="0"/>
          <w:w w:val="100"/>
          <w:position w:val="0"/>
          <w:u w:val="single"/>
          <w:shd w:val="clear" w:color="auto" w:fill="auto"/>
          <w:lang w:val="cs-CZ" w:eastAsia="cs-CZ" w:bidi="cs-CZ"/>
        </w:rPr>
        <w:t>Cena celkem (vč. DPH)</w:t>
      </w:r>
      <w:r>
        <w:rPr>
          <w:color w:val="000000"/>
          <w:spacing w:val="0"/>
          <w:w w:val="100"/>
          <w:position w:val="0"/>
          <w:shd w:val="clear" w:color="auto" w:fill="auto"/>
          <w:lang w:val="cs-CZ" w:eastAsia="cs-CZ" w:bidi="cs-CZ"/>
        </w:rPr>
        <w:t xml:space="preserve"> </w:t>
      </w:r>
      <w:r>
        <w:rPr>
          <w:b/>
          <w:bCs/>
          <w:color w:val="000000"/>
          <w:spacing w:val="0"/>
          <w:w w:val="100"/>
          <w:position w:val="0"/>
          <w:shd w:val="clear" w:color="auto" w:fill="auto"/>
          <w:lang w:val="cs-CZ" w:eastAsia="cs-CZ" w:bidi="cs-CZ"/>
        </w:rPr>
        <w:t xml:space="preserve">bude použita k hodnocení podaných nabídek, </w:t>
      </w:r>
      <w:r>
        <w:rPr>
          <w:color w:val="000000"/>
          <w:spacing w:val="0"/>
          <w:w w:val="100"/>
          <w:position w:val="0"/>
          <w:shd w:val="clear" w:color="auto" w:fill="auto"/>
          <w:lang w:val="cs-CZ" w:eastAsia="cs-CZ" w:bidi="cs-CZ"/>
        </w:rPr>
        <w:t>ve Smlouvě o zajištění výkonu TDS uvedena nebude.</w:t>
      </w:r>
    </w:p>
    <w:p>
      <w:pPr>
        <w:pStyle w:val="Style2"/>
        <w:keepNext w:val="0"/>
        <w:keepLines w:val="0"/>
        <w:widowControl w:val="0"/>
        <w:shd w:val="clear" w:color="auto" w:fill="auto"/>
        <w:bidi w:val="0"/>
        <w:spacing w:before="0" w:after="0"/>
        <w:ind w:left="0" w:right="0" w:firstLine="0"/>
        <w:jc w:val="both"/>
      </w:pPr>
      <w:r>
        <w:rPr>
          <w:i w:val="0"/>
          <w:iCs w:val="0"/>
          <w:color w:val="000000"/>
          <w:spacing w:val="0"/>
          <w:w w:val="100"/>
          <w:position w:val="0"/>
          <w:shd w:val="clear" w:color="auto" w:fill="auto"/>
          <w:lang w:val="cs-CZ" w:eastAsia="cs-CZ" w:bidi="cs-CZ"/>
        </w:rPr>
        <w:t>V Praze, dne 1.2.2022</w:t>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Times New Roman" w:eastAsia="Times New Roman" w:hAnsi="Times New Roman" w:cs="Times New Roman"/>
        <w:b/>
        <w:bCs/>
        <w:i/>
        <w:iCs/>
        <w:smallCaps w:val="0"/>
        <w:strike w:val="0"/>
        <w:color w:val="000000"/>
        <w:spacing w:val="0"/>
        <w:w w:val="100"/>
        <w:position w:val="0"/>
        <w:sz w:val="16"/>
        <w:szCs w:val="16"/>
        <w:u w:val="none"/>
        <w:shd w:val="clear" w:color="auto" w:fill="auto"/>
        <w:lang w:val="cs-CZ" w:eastAsia="cs-CZ" w:bidi="cs-CZ"/>
      </w:rPr>
    </w:lvl>
  </w:abstractNum>
  <w:abstractNum w:abstractNumId="2">
    <w:multiLevelType w:val="multilevel"/>
    <w:lvl w:ilvl="0">
      <w:start w:val="1"/>
      <w:numFmt w:val="decimal"/>
      <w:lvlText w:val="2.%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decimal"/>
      <w:lvlText w:val="4.%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5.%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6.%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7.%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8.%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9.%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3"/>
      <w:numFmt w:val="decimal"/>
      <w:lvlText w:val="10.%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bullet"/>
      <w:lvlText w:val="-"/>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cs-CZ" w:eastAsia="cs-CZ" w:bidi="cs-CZ"/>
      </w:rPr>
    </w:lvl>
  </w:abstractNum>
  <w:abstractNum w:abstractNumId="2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Poznámka pod čarou_"/>
    <w:basedOn w:val="DefaultParagraphFont"/>
    <w:link w:val="Style2"/>
    <w:rPr>
      <w:rFonts w:ascii="Times New Roman" w:eastAsia="Times New Roman" w:hAnsi="Times New Roman" w:cs="Times New Roman"/>
      <w:b w:val="0"/>
      <w:bCs w:val="0"/>
      <w:i/>
      <w:iCs/>
      <w:smallCaps w:val="0"/>
      <w:strike w:val="0"/>
      <w:sz w:val="16"/>
      <w:szCs w:val="16"/>
      <w:u w:val="none"/>
    </w:rPr>
  </w:style>
  <w:style w:type="character" w:customStyle="1" w:styleId="CharStyle8">
    <w:name w:val="Záhlaví nebo zápatí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2">
    <w:name w:val="Jiné_"/>
    <w:basedOn w:val="DefaultParagraphFont"/>
    <w:link w:val="Style11"/>
    <w:rPr>
      <w:rFonts w:ascii="Times New Roman" w:eastAsia="Times New Roman" w:hAnsi="Times New Roman" w:cs="Times New Roman"/>
      <w:b w:val="0"/>
      <w:bCs w:val="0"/>
      <w:i w:val="0"/>
      <w:iCs w:val="0"/>
      <w:smallCaps w:val="0"/>
      <w:strike w:val="0"/>
      <w:u w:val="none"/>
    </w:rPr>
  </w:style>
  <w:style w:type="character" w:customStyle="1" w:styleId="CharStyle14">
    <w:name w:val="Titulek tabulky_"/>
    <w:basedOn w:val="DefaultParagraphFont"/>
    <w:link w:val="Style13"/>
    <w:rPr>
      <w:rFonts w:ascii="Times New Roman" w:eastAsia="Times New Roman" w:hAnsi="Times New Roman" w:cs="Times New Roman"/>
      <w:b w:val="0"/>
      <w:bCs w:val="0"/>
      <w:i w:val="0"/>
      <w:iCs w:val="0"/>
      <w:smallCaps w:val="0"/>
      <w:strike w:val="0"/>
      <w:u w:val="none"/>
    </w:rPr>
  </w:style>
  <w:style w:type="character" w:customStyle="1" w:styleId="CharStyle16">
    <w:name w:val="Základní text_"/>
    <w:basedOn w:val="DefaultParagraphFont"/>
    <w:link w:val="Style15"/>
    <w:rPr>
      <w:rFonts w:ascii="Times New Roman" w:eastAsia="Times New Roman" w:hAnsi="Times New Roman" w:cs="Times New Roman"/>
      <w:b w:val="0"/>
      <w:bCs w:val="0"/>
      <w:i w:val="0"/>
      <w:iCs w:val="0"/>
      <w:smallCaps w:val="0"/>
      <w:strike w:val="0"/>
      <w:u w:val="none"/>
    </w:rPr>
  </w:style>
  <w:style w:type="character" w:customStyle="1" w:styleId="CharStyle20">
    <w:name w:val="Nadpis #1_"/>
    <w:basedOn w:val="DefaultParagraphFont"/>
    <w:link w:val="Style19"/>
    <w:rPr>
      <w:rFonts w:ascii="Arial" w:eastAsia="Arial" w:hAnsi="Arial" w:cs="Arial"/>
      <w:b/>
      <w:bCs/>
      <w:i w:val="0"/>
      <w:iCs w:val="0"/>
      <w:smallCaps w:val="0"/>
      <w:strike w:val="0"/>
      <w:color w:val="385573"/>
      <w:sz w:val="58"/>
      <w:szCs w:val="58"/>
      <w:u w:val="none"/>
    </w:rPr>
  </w:style>
  <w:style w:type="character" w:customStyle="1" w:styleId="CharStyle22">
    <w:name w:val="Základní text (4)_"/>
    <w:basedOn w:val="DefaultParagraphFont"/>
    <w:link w:val="Style21"/>
    <w:rPr>
      <w:rFonts w:ascii="Arial" w:eastAsia="Arial" w:hAnsi="Arial" w:cs="Arial"/>
      <w:b w:val="0"/>
      <w:bCs w:val="0"/>
      <w:i w:val="0"/>
      <w:iCs w:val="0"/>
      <w:smallCaps w:val="0"/>
      <w:strike w:val="0"/>
      <w:color w:val="385573"/>
      <w:sz w:val="13"/>
      <w:szCs w:val="13"/>
      <w:u w:val="none"/>
    </w:rPr>
  </w:style>
  <w:style w:type="character" w:customStyle="1" w:styleId="CharStyle28">
    <w:name w:val="Nadpis #2_"/>
    <w:basedOn w:val="DefaultParagraphFont"/>
    <w:link w:val="Style27"/>
    <w:rPr>
      <w:rFonts w:ascii="Times New Roman" w:eastAsia="Times New Roman" w:hAnsi="Times New Roman" w:cs="Times New Roman"/>
      <w:b/>
      <w:bCs/>
      <w:i w:val="0"/>
      <w:iCs w:val="0"/>
      <w:smallCaps w:val="0"/>
      <w:strike w:val="0"/>
      <w:u w:val="none"/>
    </w:rPr>
  </w:style>
  <w:style w:type="character" w:customStyle="1" w:styleId="CharStyle35">
    <w:name w:val="Základní text (3)_"/>
    <w:basedOn w:val="DefaultParagraphFont"/>
    <w:link w:val="Style34"/>
    <w:rPr>
      <w:rFonts w:ascii="Times New Roman" w:eastAsia="Times New Roman" w:hAnsi="Times New Roman" w:cs="Times New Roman"/>
      <w:b w:val="0"/>
      <w:bCs w:val="0"/>
      <w:i w:val="0"/>
      <w:iCs w:val="0"/>
      <w:smallCaps w:val="0"/>
      <w:strike w:val="0"/>
      <w:sz w:val="20"/>
      <w:szCs w:val="20"/>
      <w:u w:val="none"/>
    </w:rPr>
  </w:style>
  <w:style w:type="character" w:customStyle="1" w:styleId="CharStyle39">
    <w:name w:val="Titulek obrázku_"/>
    <w:basedOn w:val="DefaultParagraphFont"/>
    <w:link w:val="Style38"/>
    <w:rPr>
      <w:rFonts w:ascii="Times New Roman" w:eastAsia="Times New Roman" w:hAnsi="Times New Roman" w:cs="Times New Roman"/>
      <w:b w:val="0"/>
      <w:bCs w:val="0"/>
      <w:i/>
      <w:iCs/>
      <w:smallCaps w:val="0"/>
      <w:strike w:val="0"/>
      <w:sz w:val="16"/>
      <w:szCs w:val="16"/>
      <w:u w:val="none"/>
    </w:rPr>
  </w:style>
  <w:style w:type="character" w:customStyle="1" w:styleId="CharStyle49">
    <w:name w:val="Základní text (2)_"/>
    <w:basedOn w:val="DefaultParagraphFont"/>
    <w:link w:val="Style48"/>
    <w:rPr>
      <w:rFonts w:ascii="Times New Roman" w:eastAsia="Times New Roman" w:hAnsi="Times New Roman" w:cs="Times New Roman"/>
      <w:b/>
      <w:bCs/>
      <w:i/>
      <w:iCs/>
      <w:smallCaps w:val="0"/>
      <w:strike w:val="0"/>
      <w:sz w:val="16"/>
      <w:szCs w:val="16"/>
      <w:u w:val="none"/>
    </w:rPr>
  </w:style>
  <w:style w:type="paragraph" w:customStyle="1" w:styleId="Style2">
    <w:name w:val="Poznámka pod čarou"/>
    <w:basedOn w:val="Normal"/>
    <w:link w:val="CharStyle3"/>
    <w:pPr>
      <w:widowControl w:val="0"/>
      <w:shd w:val="clear" w:color="auto" w:fill="FFFFFF"/>
      <w:spacing w:after="280" w:line="276" w:lineRule="auto"/>
    </w:pPr>
    <w:rPr>
      <w:rFonts w:ascii="Times New Roman" w:eastAsia="Times New Roman" w:hAnsi="Times New Roman" w:cs="Times New Roman"/>
      <w:b w:val="0"/>
      <w:bCs w:val="0"/>
      <w:i/>
      <w:iCs/>
      <w:smallCaps w:val="0"/>
      <w:strike w:val="0"/>
      <w:sz w:val="16"/>
      <w:szCs w:val="16"/>
      <w:u w:val="none"/>
    </w:rPr>
  </w:style>
  <w:style w:type="paragraph" w:customStyle="1" w:styleId="Style7">
    <w:name w:val="Záhlaví nebo zápatí (2)"/>
    <w:basedOn w:val="Normal"/>
    <w:link w:val="CharStyle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1">
    <w:name w:val="Jiné"/>
    <w:basedOn w:val="Normal"/>
    <w:link w:val="CharStyle12"/>
    <w:pPr>
      <w:widowControl w:val="0"/>
      <w:shd w:val="clear" w:color="auto" w:fill="FFFFFF"/>
      <w:spacing w:after="120"/>
    </w:pPr>
    <w:rPr>
      <w:rFonts w:ascii="Times New Roman" w:eastAsia="Times New Roman" w:hAnsi="Times New Roman" w:cs="Times New Roman"/>
      <w:b w:val="0"/>
      <w:bCs w:val="0"/>
      <w:i w:val="0"/>
      <w:iCs w:val="0"/>
      <w:smallCaps w:val="0"/>
      <w:strike w:val="0"/>
      <w:u w:val="none"/>
    </w:rPr>
  </w:style>
  <w:style w:type="paragraph" w:customStyle="1" w:styleId="Style13">
    <w:name w:val="Titulek tabulky"/>
    <w:basedOn w:val="Normal"/>
    <w:link w:val="CharStyle14"/>
    <w:pPr>
      <w:widowControl w:val="0"/>
      <w:shd w:val="clear" w:color="auto" w:fill="FFFFFF"/>
    </w:pPr>
    <w:rPr>
      <w:rFonts w:ascii="Times New Roman" w:eastAsia="Times New Roman" w:hAnsi="Times New Roman" w:cs="Times New Roman"/>
      <w:b w:val="0"/>
      <w:bCs w:val="0"/>
      <w:i w:val="0"/>
      <w:iCs w:val="0"/>
      <w:smallCaps w:val="0"/>
      <w:strike w:val="0"/>
      <w:u w:val="none"/>
    </w:rPr>
  </w:style>
  <w:style w:type="paragraph" w:customStyle="1" w:styleId="Style15">
    <w:name w:val="Základní text"/>
    <w:basedOn w:val="Normal"/>
    <w:link w:val="CharStyle16"/>
    <w:pPr>
      <w:widowControl w:val="0"/>
      <w:shd w:val="clear" w:color="auto" w:fill="FFFFFF"/>
      <w:spacing w:after="120"/>
    </w:pPr>
    <w:rPr>
      <w:rFonts w:ascii="Times New Roman" w:eastAsia="Times New Roman" w:hAnsi="Times New Roman" w:cs="Times New Roman"/>
      <w:b w:val="0"/>
      <w:bCs w:val="0"/>
      <w:i w:val="0"/>
      <w:iCs w:val="0"/>
      <w:smallCaps w:val="0"/>
      <w:strike w:val="0"/>
      <w:u w:val="none"/>
    </w:rPr>
  </w:style>
  <w:style w:type="paragraph" w:customStyle="1" w:styleId="Style19">
    <w:name w:val="Nadpis #1"/>
    <w:basedOn w:val="Normal"/>
    <w:link w:val="CharStyle20"/>
    <w:pPr>
      <w:widowControl w:val="0"/>
      <w:shd w:val="clear" w:color="auto" w:fill="FFFFFF"/>
      <w:jc w:val="center"/>
      <w:outlineLvl w:val="0"/>
    </w:pPr>
    <w:rPr>
      <w:rFonts w:ascii="Arial" w:eastAsia="Arial" w:hAnsi="Arial" w:cs="Arial"/>
      <w:b/>
      <w:bCs/>
      <w:i w:val="0"/>
      <w:iCs w:val="0"/>
      <w:smallCaps w:val="0"/>
      <w:strike w:val="0"/>
      <w:color w:val="385573"/>
      <w:sz w:val="58"/>
      <w:szCs w:val="58"/>
      <w:u w:val="none"/>
    </w:rPr>
  </w:style>
  <w:style w:type="paragraph" w:customStyle="1" w:styleId="Style21">
    <w:name w:val="Základní text (4)"/>
    <w:basedOn w:val="Normal"/>
    <w:link w:val="CharStyle22"/>
    <w:pPr>
      <w:widowControl w:val="0"/>
      <w:shd w:val="clear" w:color="auto" w:fill="FFFFFF"/>
      <w:spacing w:after="60"/>
      <w:ind w:left="4200" w:firstLine="20"/>
    </w:pPr>
    <w:rPr>
      <w:rFonts w:ascii="Arial" w:eastAsia="Arial" w:hAnsi="Arial" w:cs="Arial"/>
      <w:b w:val="0"/>
      <w:bCs w:val="0"/>
      <w:i w:val="0"/>
      <w:iCs w:val="0"/>
      <w:smallCaps w:val="0"/>
      <w:strike w:val="0"/>
      <w:color w:val="385573"/>
      <w:sz w:val="13"/>
      <w:szCs w:val="13"/>
      <w:u w:val="none"/>
    </w:rPr>
  </w:style>
  <w:style w:type="paragraph" w:customStyle="1" w:styleId="Style27">
    <w:name w:val="Nadpis #2"/>
    <w:basedOn w:val="Normal"/>
    <w:link w:val="CharStyle28"/>
    <w:pPr>
      <w:widowControl w:val="0"/>
      <w:shd w:val="clear" w:color="auto" w:fill="FFFFFF"/>
      <w:spacing w:after="110"/>
      <w:jc w:val="center"/>
      <w:outlineLvl w:val="1"/>
    </w:pPr>
    <w:rPr>
      <w:rFonts w:ascii="Times New Roman" w:eastAsia="Times New Roman" w:hAnsi="Times New Roman" w:cs="Times New Roman"/>
      <w:b/>
      <w:bCs/>
      <w:i w:val="0"/>
      <w:iCs w:val="0"/>
      <w:smallCaps w:val="0"/>
      <w:strike w:val="0"/>
      <w:u w:val="none"/>
    </w:rPr>
  </w:style>
  <w:style w:type="paragraph" w:customStyle="1" w:styleId="Style34">
    <w:name w:val="Základní text (3)"/>
    <w:basedOn w:val="Normal"/>
    <w:link w:val="CharStyle35"/>
    <w:pPr>
      <w:widowControl w:val="0"/>
      <w:shd w:val="clear" w:color="auto" w:fill="FFFFFF"/>
      <w:spacing w:after="240"/>
    </w:pPr>
    <w:rPr>
      <w:rFonts w:ascii="Times New Roman" w:eastAsia="Times New Roman" w:hAnsi="Times New Roman" w:cs="Times New Roman"/>
      <w:b w:val="0"/>
      <w:bCs w:val="0"/>
      <w:i w:val="0"/>
      <w:iCs w:val="0"/>
      <w:smallCaps w:val="0"/>
      <w:strike w:val="0"/>
      <w:sz w:val="20"/>
      <w:szCs w:val="20"/>
      <w:u w:val="none"/>
    </w:rPr>
  </w:style>
  <w:style w:type="paragraph" w:customStyle="1" w:styleId="Style38">
    <w:name w:val="Titulek obrázku"/>
    <w:basedOn w:val="Normal"/>
    <w:link w:val="CharStyle39"/>
    <w:pPr>
      <w:widowControl w:val="0"/>
      <w:shd w:val="clear" w:color="auto" w:fill="FFFFFF"/>
      <w:jc w:val="right"/>
    </w:pPr>
    <w:rPr>
      <w:rFonts w:ascii="Times New Roman" w:eastAsia="Times New Roman" w:hAnsi="Times New Roman" w:cs="Times New Roman"/>
      <w:b w:val="0"/>
      <w:bCs w:val="0"/>
      <w:i/>
      <w:iCs/>
      <w:smallCaps w:val="0"/>
      <w:strike w:val="0"/>
      <w:sz w:val="16"/>
      <w:szCs w:val="16"/>
      <w:u w:val="none"/>
    </w:rPr>
  </w:style>
  <w:style w:type="paragraph" w:customStyle="1" w:styleId="Style48">
    <w:name w:val="Základní text (2)"/>
    <w:basedOn w:val="Normal"/>
    <w:link w:val="CharStyle49"/>
    <w:pPr>
      <w:widowControl w:val="0"/>
      <w:shd w:val="clear" w:color="auto" w:fill="FFFFFF"/>
      <w:spacing w:line="276" w:lineRule="auto"/>
    </w:pPr>
    <w:rPr>
      <w:rFonts w:ascii="Times New Roman" w:eastAsia="Times New Roman" w:hAnsi="Times New Roman" w:cs="Times New Roman"/>
      <w:b/>
      <w:bCs/>
      <w:i/>
      <w:iCs/>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image" Target="media/image1.jpeg"/><Relationship Id="rId9" Type="http://schemas.openxmlformats.org/officeDocument/2006/relationships/image" Target="media/image1.jpeg" TargetMode="External"/><Relationship Id="rId10" Type="http://schemas.openxmlformats.org/officeDocument/2006/relationships/footer" Target="footer4.xml"/></Relationships>
</file>

<file path=docProps/core.xml><?xml version="1.0" encoding="utf-8"?>
<cp:coreProperties xmlns:cp="http://schemas.openxmlformats.org/package/2006/metadata/core-properties" xmlns:dc="http://purl.org/dc/elements/1.1/">
  <dc:title/>
  <dc:subject/>
  <dc:creator>D3 kvalita</dc:creator>
  <cp:keywords/>
</cp:coreProperties>
</file>