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6626"/>
      </w:tblGrid>
      <w:tr w:rsidR="00516B57" w:rsidRPr="00003716" w:rsidTr="00B22B0A">
        <w:tc>
          <w:tcPr>
            <w:tcW w:w="2552" w:type="dxa"/>
          </w:tcPr>
          <w:p w:rsidR="00003716" w:rsidRPr="00003716" w:rsidRDefault="00003716" w:rsidP="00516B5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003716">
              <w:rPr>
                <w:rFonts w:eastAsia="Times New Roman"/>
                <w:sz w:val="20"/>
                <w:szCs w:val="20"/>
                <w:lang w:eastAsia="cs-CZ"/>
              </w:rPr>
              <w:t>Společnost:</w:t>
            </w:r>
            <w:r w:rsidR="00516B57"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626" w:type="dxa"/>
          </w:tcPr>
          <w:p w:rsidR="00003716" w:rsidRPr="00003716" w:rsidRDefault="00516B57" w:rsidP="00003716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MEDITRADE spol. s.r.o.</w:t>
            </w:r>
          </w:p>
        </w:tc>
      </w:tr>
      <w:tr w:rsidR="00516B57" w:rsidRPr="00003716" w:rsidTr="00B22B0A">
        <w:tc>
          <w:tcPr>
            <w:tcW w:w="2552" w:type="dxa"/>
          </w:tcPr>
          <w:p w:rsidR="00003716" w:rsidRPr="00003716" w:rsidRDefault="00003716" w:rsidP="0000371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003716">
              <w:rPr>
                <w:rFonts w:eastAsia="Times New Roman"/>
                <w:sz w:val="20"/>
                <w:szCs w:val="20"/>
                <w:lang w:eastAsia="cs-CZ"/>
              </w:rPr>
              <w:t>IČ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O</w:t>
            </w:r>
            <w:r w:rsidRPr="00003716">
              <w:rPr>
                <w:rFonts w:eastAsia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626" w:type="dxa"/>
          </w:tcPr>
          <w:p w:rsidR="00003716" w:rsidRPr="00003716" w:rsidRDefault="00516B57" w:rsidP="0000371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48390186</w:t>
            </w:r>
          </w:p>
        </w:tc>
      </w:tr>
      <w:tr w:rsidR="00516B57" w:rsidRPr="00003716" w:rsidTr="00B22B0A">
        <w:tc>
          <w:tcPr>
            <w:tcW w:w="2552" w:type="dxa"/>
          </w:tcPr>
          <w:p w:rsidR="00003716" w:rsidRPr="00003716" w:rsidRDefault="00003716" w:rsidP="0000371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626" w:type="dxa"/>
          </w:tcPr>
          <w:p w:rsidR="00003716" w:rsidRPr="00003716" w:rsidRDefault="00516B57" w:rsidP="0000371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CZ48390186</w:t>
            </w:r>
          </w:p>
        </w:tc>
      </w:tr>
      <w:tr w:rsidR="00516B57" w:rsidRPr="00003716" w:rsidTr="00B22B0A">
        <w:tc>
          <w:tcPr>
            <w:tcW w:w="2552" w:type="dxa"/>
          </w:tcPr>
          <w:p w:rsidR="00003716" w:rsidRPr="00003716" w:rsidRDefault="00003716" w:rsidP="0000371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Se sídlem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626" w:type="dxa"/>
          </w:tcPr>
          <w:p w:rsidR="00003716" w:rsidRPr="00003716" w:rsidRDefault="00516B57" w:rsidP="0000371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Příbramská 1337/9, 710 00 Ostrava – Sl. Ostrava</w:t>
            </w:r>
          </w:p>
        </w:tc>
      </w:tr>
      <w:tr w:rsidR="00516B57" w:rsidRPr="00003716" w:rsidTr="00B22B0A">
        <w:tc>
          <w:tcPr>
            <w:tcW w:w="2552" w:type="dxa"/>
          </w:tcPr>
          <w:p w:rsidR="00003716" w:rsidRPr="00003716" w:rsidRDefault="00003716" w:rsidP="0000371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003716">
              <w:rPr>
                <w:rFonts w:eastAsia="Times New Roman"/>
                <w:sz w:val="20"/>
                <w:szCs w:val="20"/>
                <w:lang w:eastAsia="cs-CZ"/>
              </w:rPr>
              <w:t>Zastoupen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á</w:t>
            </w:r>
            <w:r w:rsidRPr="00003716">
              <w:rPr>
                <w:rFonts w:eastAsia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626" w:type="dxa"/>
          </w:tcPr>
          <w:p w:rsidR="00003716" w:rsidRPr="00003716" w:rsidRDefault="00003716" w:rsidP="0000371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516B57" w:rsidRPr="00003716" w:rsidTr="00B22B0A">
        <w:tc>
          <w:tcPr>
            <w:tcW w:w="2552" w:type="dxa"/>
          </w:tcPr>
          <w:p w:rsidR="00003716" w:rsidRPr="00003716" w:rsidRDefault="00003716" w:rsidP="0000371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003716">
              <w:rPr>
                <w:rFonts w:eastAsia="Times New Roman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626" w:type="dxa"/>
          </w:tcPr>
          <w:p w:rsidR="00003716" w:rsidRPr="00003716" w:rsidRDefault="00516B57" w:rsidP="0000371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Citibank</w:t>
            </w:r>
            <w:proofErr w:type="spellEnd"/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Ostrava</w:t>
            </w:r>
          </w:p>
        </w:tc>
      </w:tr>
      <w:tr w:rsidR="00516B57" w:rsidRPr="00003716" w:rsidTr="00B22B0A">
        <w:tc>
          <w:tcPr>
            <w:tcW w:w="2552" w:type="dxa"/>
          </w:tcPr>
          <w:p w:rsidR="00003716" w:rsidRPr="00003716" w:rsidRDefault="00003716" w:rsidP="0000371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003716">
              <w:rPr>
                <w:rFonts w:eastAsia="Times New Roman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626" w:type="dxa"/>
          </w:tcPr>
          <w:p w:rsidR="00003716" w:rsidRPr="00003716" w:rsidRDefault="00516B57" w:rsidP="0000371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2046920100/2600</w:t>
            </w:r>
          </w:p>
        </w:tc>
      </w:tr>
      <w:tr w:rsidR="00003716" w:rsidRPr="00003716" w:rsidTr="00B22B0A">
        <w:tc>
          <w:tcPr>
            <w:tcW w:w="9178" w:type="dxa"/>
            <w:gridSpan w:val="2"/>
          </w:tcPr>
          <w:p w:rsidR="00003716" w:rsidRPr="00003716" w:rsidRDefault="00003716" w:rsidP="00516B5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003716">
              <w:rPr>
                <w:rFonts w:eastAsia="Times New Roman"/>
                <w:sz w:val="20"/>
                <w:szCs w:val="20"/>
                <w:lang w:eastAsia="cs-CZ"/>
              </w:rPr>
              <w:t xml:space="preserve">Zapsaná v obchodním rejstříku </w:t>
            </w:r>
            <w:r w:rsidR="00516B57">
              <w:rPr>
                <w:rFonts w:eastAsia="Times New Roman"/>
                <w:sz w:val="20"/>
                <w:szCs w:val="20"/>
                <w:lang w:eastAsia="cs-CZ"/>
              </w:rPr>
              <w:t>Krajského</w:t>
            </w:r>
            <w:r w:rsidRPr="00003716">
              <w:rPr>
                <w:rFonts w:eastAsia="Times New Roman"/>
                <w:sz w:val="20"/>
                <w:szCs w:val="20"/>
                <w:lang w:eastAsia="cs-CZ"/>
              </w:rPr>
              <w:t xml:space="preserve"> soudu v </w:t>
            </w:r>
            <w:r w:rsidR="00516B57">
              <w:rPr>
                <w:rFonts w:eastAsia="Times New Roman"/>
                <w:sz w:val="20"/>
                <w:szCs w:val="20"/>
                <w:lang w:eastAsia="cs-CZ"/>
              </w:rPr>
              <w:t>Ostravě</w:t>
            </w:r>
            <w:r w:rsidRPr="00003716">
              <w:rPr>
                <w:rFonts w:eastAsia="Times New Roman"/>
                <w:sz w:val="20"/>
                <w:szCs w:val="20"/>
                <w:lang w:eastAsia="cs-CZ"/>
              </w:rPr>
              <w:t xml:space="preserve">, oddíl </w:t>
            </w:r>
            <w:r w:rsidR="00516B57">
              <w:rPr>
                <w:rFonts w:eastAsia="Times New Roman"/>
                <w:sz w:val="20"/>
                <w:szCs w:val="20"/>
                <w:lang w:eastAsia="cs-CZ"/>
              </w:rPr>
              <w:t>C</w:t>
            </w:r>
            <w:r w:rsidRPr="00003716">
              <w:rPr>
                <w:rFonts w:eastAsia="Times New Roman"/>
                <w:sz w:val="20"/>
                <w:szCs w:val="20"/>
                <w:lang w:eastAsia="cs-CZ"/>
              </w:rPr>
              <w:t xml:space="preserve">, vložka </w:t>
            </w:r>
            <w:r w:rsidR="00516B57">
              <w:rPr>
                <w:rFonts w:eastAsia="Times New Roman"/>
                <w:sz w:val="20"/>
                <w:szCs w:val="20"/>
                <w:lang w:eastAsia="cs-CZ"/>
              </w:rPr>
              <w:t>6007</w:t>
            </w:r>
          </w:p>
        </w:tc>
      </w:tr>
    </w:tbl>
    <w:p w:rsidR="00003716" w:rsidRDefault="00003716" w:rsidP="00403340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515C4F" w:rsidRPr="0016146E" w:rsidRDefault="00515C4F" w:rsidP="00403340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403340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403340">
        <w:rPr>
          <w:rFonts w:eastAsia="Times New Roman"/>
          <w:b/>
          <w:sz w:val="20"/>
          <w:szCs w:val="20"/>
          <w:lang w:eastAsia="cs-CZ"/>
        </w:rPr>
        <w:t>p</w:t>
      </w:r>
      <w:r w:rsidR="00D72DAC">
        <w:rPr>
          <w:rFonts w:eastAsia="Times New Roman"/>
          <w:b/>
          <w:sz w:val="20"/>
          <w:szCs w:val="20"/>
          <w:lang w:eastAsia="cs-CZ"/>
        </w:rPr>
        <w:t>oskytovatel</w:t>
      </w:r>
      <w:r w:rsidRPr="0016146E">
        <w:rPr>
          <w:rFonts w:eastAsia="Times New Roman"/>
          <w:sz w:val="20"/>
          <w:szCs w:val="20"/>
          <w:lang w:eastAsia="cs-CZ"/>
        </w:rPr>
        <w:t>“ na straně jedné,</w:t>
      </w:r>
    </w:p>
    <w:p w:rsidR="00515C4F" w:rsidRPr="0016146E" w:rsidRDefault="00515C4F" w:rsidP="00A3660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515C4F" w:rsidRPr="0016146E" w:rsidRDefault="00515C4F" w:rsidP="00A36608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:rsidR="00515C4F" w:rsidRPr="0016146E" w:rsidRDefault="00515C4F" w:rsidP="00A366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:rsidR="00F56C56" w:rsidRPr="0016146E" w:rsidRDefault="00F56C56" w:rsidP="00A36608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:rsidR="00F56C56" w:rsidRPr="0016146E" w:rsidRDefault="00F56C56" w:rsidP="00A366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 w:rsidR="007229D8"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:rsidR="00F56C56" w:rsidRPr="0016146E" w:rsidRDefault="00003716" w:rsidP="00A366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="00F56C56"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:rsidR="00F56C56" w:rsidRPr="0016146E" w:rsidRDefault="00F56C56" w:rsidP="00A366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:rsidR="00D72DAC" w:rsidRPr="00D72DAC" w:rsidRDefault="00D72DAC" w:rsidP="00D72DAC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D72DAC">
        <w:rPr>
          <w:rFonts w:eastAsia="Times New Roman"/>
          <w:sz w:val="20"/>
          <w:szCs w:val="20"/>
          <w:lang w:eastAsia="cs-CZ"/>
        </w:rPr>
        <w:t>Zastoupená:</w:t>
      </w:r>
      <w:r w:rsidRPr="00D72DAC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:rsidR="00D72DAC" w:rsidRPr="00D72DAC" w:rsidRDefault="00B22B0A" w:rsidP="00D72DAC">
      <w:pPr>
        <w:spacing w:after="0" w:line="240" w:lineRule="auto"/>
        <w:ind w:left="1844" w:firstLine="708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Mgr. Daniel Marek</w:t>
      </w:r>
      <w:r w:rsidR="00D72DAC" w:rsidRPr="00D72DAC">
        <w:rPr>
          <w:rFonts w:eastAsia="Times New Roman"/>
          <w:sz w:val="20"/>
          <w:szCs w:val="20"/>
          <w:lang w:eastAsia="cs-CZ"/>
        </w:rPr>
        <w:t>, místopředseda představenstva</w:t>
      </w:r>
    </w:p>
    <w:p w:rsidR="000D0159" w:rsidRPr="000D0159" w:rsidRDefault="000D0159" w:rsidP="00A366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:rsidR="000D0159" w:rsidRDefault="000D0159" w:rsidP="00A366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  <w:t>35-3525450227/0100</w:t>
      </w:r>
    </w:p>
    <w:p w:rsidR="00B0382B" w:rsidRPr="0016146E" w:rsidRDefault="00B0382B" w:rsidP="00A366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:rsidR="00403340" w:rsidRDefault="00403340" w:rsidP="00403340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:rsidR="00F56C56" w:rsidRPr="0016146E" w:rsidRDefault="00F56C56" w:rsidP="00403340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403340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403340">
        <w:rPr>
          <w:rFonts w:eastAsia="Times New Roman"/>
          <w:b/>
          <w:sz w:val="20"/>
          <w:szCs w:val="20"/>
          <w:lang w:eastAsia="cs-CZ"/>
        </w:rPr>
        <w:t>p</w:t>
      </w:r>
      <w:r w:rsidR="00D72DAC">
        <w:rPr>
          <w:rFonts w:eastAsia="Times New Roman"/>
          <w:b/>
          <w:sz w:val="20"/>
          <w:szCs w:val="20"/>
          <w:lang w:eastAsia="cs-CZ"/>
        </w:rPr>
        <w:t>říjemce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 w:rsidR="00515C4F" w:rsidRPr="0016146E">
        <w:rPr>
          <w:rFonts w:eastAsia="Times New Roman"/>
          <w:sz w:val="20"/>
          <w:szCs w:val="20"/>
          <w:lang w:eastAsia="cs-CZ"/>
        </w:rPr>
        <w:t>druhé,</w:t>
      </w:r>
    </w:p>
    <w:p w:rsidR="00F56C56" w:rsidRDefault="00F56C56" w:rsidP="00A3660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CB268A" w:rsidRPr="0016146E" w:rsidRDefault="00CB268A" w:rsidP="00A3660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F56C56" w:rsidRPr="0016146E" w:rsidRDefault="00403340" w:rsidP="00A3660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proofErr w:type="gramStart"/>
      <w:r w:rsidRPr="00403340">
        <w:rPr>
          <w:rFonts w:eastAsia="Times New Roman"/>
          <w:sz w:val="20"/>
          <w:szCs w:val="20"/>
          <w:lang w:eastAsia="cs-CZ"/>
        </w:rPr>
        <w:t>se</w:t>
      </w:r>
      <w:proofErr w:type="gramEnd"/>
      <w:r w:rsidRPr="00403340">
        <w:rPr>
          <w:rFonts w:eastAsia="Times New Roman"/>
          <w:sz w:val="20"/>
          <w:szCs w:val="20"/>
          <w:lang w:eastAsia="cs-CZ"/>
        </w:rPr>
        <w:t xml:space="preserve"> níže uvedeného dne, měsíce a roku dohodli v souladu s ustanovením § </w:t>
      </w:r>
      <w:r>
        <w:rPr>
          <w:rFonts w:eastAsia="Times New Roman"/>
          <w:sz w:val="20"/>
          <w:szCs w:val="20"/>
          <w:lang w:eastAsia="cs-CZ"/>
        </w:rPr>
        <w:t>1746 odst. 2</w:t>
      </w:r>
      <w:r w:rsidRPr="00403340">
        <w:rPr>
          <w:rFonts w:eastAsia="Times New Roman"/>
          <w:sz w:val="20"/>
          <w:szCs w:val="20"/>
          <w:lang w:eastAsia="cs-CZ"/>
        </w:rPr>
        <w:t xml:space="preserve"> zákona č. 89/2012, občanský zákoník, jak stanoví tato:</w:t>
      </w:r>
    </w:p>
    <w:p w:rsidR="00F56C56" w:rsidRDefault="00F56C56" w:rsidP="00A3660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CB268A" w:rsidRDefault="00CB268A" w:rsidP="00A3660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FB58DC" w:rsidRPr="0016146E" w:rsidRDefault="00FB58DC" w:rsidP="00A3660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FB58DC" w:rsidRPr="00FB58DC" w:rsidRDefault="00D72DAC" w:rsidP="00A36608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smlouva o </w:t>
      </w:r>
      <w:r w:rsidR="00F80207">
        <w:rPr>
          <w:rFonts w:eastAsia="Times New Roman"/>
          <w:b/>
          <w:caps/>
          <w:snapToGrid w:val="0"/>
          <w:sz w:val="24"/>
          <w:szCs w:val="20"/>
          <w:lang w:eastAsia="cs-CZ"/>
        </w:rPr>
        <w:t>poskytnutí finančního bonusu</w:t>
      </w:r>
    </w:p>
    <w:p w:rsidR="00F56C56" w:rsidRDefault="00515C4F" w:rsidP="00A36608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</w:t>
      </w:r>
      <w:r w:rsidR="00F56C56" w:rsidRPr="0016146E">
        <w:rPr>
          <w:rFonts w:eastAsia="Times New Roman"/>
          <w:snapToGrid w:val="0"/>
          <w:sz w:val="20"/>
          <w:szCs w:val="20"/>
          <w:lang w:eastAsia="cs-CZ"/>
        </w:rPr>
        <w:t>“</w:t>
      </w:r>
    </w:p>
    <w:p w:rsidR="00CB268A" w:rsidRDefault="00CB268A" w:rsidP="00A36608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F56C56" w:rsidRPr="0016146E" w:rsidRDefault="00D72DAC" w:rsidP="00403340">
      <w:pPr>
        <w:pStyle w:val="Nadpis1"/>
        <w:keepNext w:val="0"/>
        <w:keepLines w:val="0"/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Úvodní ustanovení</w:t>
      </w:r>
    </w:p>
    <w:p w:rsidR="002544D2" w:rsidRDefault="002544D2" w:rsidP="00A3660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Poskytovatel </w:t>
      </w:r>
      <w:r w:rsidRPr="002544D2">
        <w:rPr>
          <w:rFonts w:ascii="Verdana" w:hAnsi="Verdana"/>
          <w:sz w:val="20"/>
          <w:lang w:eastAsia="cs-CZ"/>
        </w:rPr>
        <w:t xml:space="preserve">dodává na základě </w:t>
      </w:r>
      <w:r>
        <w:rPr>
          <w:rFonts w:ascii="Verdana" w:hAnsi="Verdana"/>
          <w:sz w:val="20"/>
          <w:lang w:eastAsia="cs-CZ"/>
        </w:rPr>
        <w:t xml:space="preserve">uzavřené </w:t>
      </w:r>
      <w:r w:rsidRPr="002544D2">
        <w:rPr>
          <w:rFonts w:ascii="Verdana" w:hAnsi="Verdana"/>
          <w:sz w:val="20"/>
          <w:lang w:eastAsia="cs-CZ"/>
        </w:rPr>
        <w:t xml:space="preserve">rámcové kupní smlouvy </w:t>
      </w:r>
      <w:r>
        <w:rPr>
          <w:rFonts w:ascii="Verdana" w:hAnsi="Verdana"/>
          <w:sz w:val="20"/>
          <w:lang w:eastAsia="cs-CZ"/>
        </w:rPr>
        <w:t>příjemci</w:t>
      </w:r>
      <w:r w:rsidRPr="002544D2">
        <w:rPr>
          <w:rFonts w:ascii="Verdana" w:hAnsi="Verdana"/>
          <w:sz w:val="20"/>
          <w:lang w:eastAsia="cs-CZ"/>
        </w:rPr>
        <w:t xml:space="preserve"> zdravotnické prostředky pro intervenční radiologii (dále jen „</w:t>
      </w:r>
      <w:r>
        <w:rPr>
          <w:rFonts w:ascii="Verdana" w:hAnsi="Verdana"/>
          <w:b/>
          <w:sz w:val="20"/>
          <w:lang w:eastAsia="cs-CZ"/>
        </w:rPr>
        <w:t>kupní smlouva</w:t>
      </w:r>
      <w:r w:rsidRPr="002544D2">
        <w:rPr>
          <w:rFonts w:ascii="Verdana" w:hAnsi="Verdana"/>
          <w:sz w:val="20"/>
          <w:lang w:eastAsia="cs-CZ"/>
        </w:rPr>
        <w:t>“).</w:t>
      </w:r>
    </w:p>
    <w:p w:rsidR="00D72DAC" w:rsidRDefault="00D72DAC" w:rsidP="00A3660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Příjemce je poskytovatelem zdravotních služeb, provozovatelem </w:t>
      </w:r>
      <w:r w:rsidR="00F80207">
        <w:rPr>
          <w:rFonts w:ascii="Verdana" w:hAnsi="Verdana"/>
          <w:sz w:val="20"/>
          <w:lang w:eastAsia="cs-CZ"/>
        </w:rPr>
        <w:t>Klaudiánovy</w:t>
      </w:r>
      <w:r>
        <w:rPr>
          <w:rFonts w:ascii="Verdana" w:hAnsi="Verdana"/>
          <w:sz w:val="20"/>
          <w:lang w:eastAsia="cs-CZ"/>
        </w:rPr>
        <w:t xml:space="preserve"> nemocnice v Mladé Boleslavi. V rá</w:t>
      </w:r>
      <w:r w:rsidR="008D7562">
        <w:rPr>
          <w:rFonts w:ascii="Verdana" w:hAnsi="Verdana"/>
          <w:sz w:val="20"/>
          <w:lang w:eastAsia="cs-CZ"/>
        </w:rPr>
        <w:t>mci své činnosti nakupuje zdravotnické</w:t>
      </w:r>
      <w:r>
        <w:rPr>
          <w:rFonts w:ascii="Verdana" w:hAnsi="Verdana"/>
          <w:sz w:val="20"/>
          <w:lang w:eastAsia="cs-CZ"/>
        </w:rPr>
        <w:t xml:space="preserve"> p</w:t>
      </w:r>
      <w:r w:rsidR="00465340">
        <w:rPr>
          <w:rFonts w:ascii="Verdana" w:hAnsi="Verdana"/>
          <w:sz w:val="20"/>
          <w:lang w:eastAsia="cs-CZ"/>
        </w:rPr>
        <w:t>rostředky</w:t>
      </w:r>
      <w:r>
        <w:rPr>
          <w:rFonts w:ascii="Verdana" w:hAnsi="Verdana"/>
          <w:sz w:val="20"/>
          <w:lang w:eastAsia="cs-CZ"/>
        </w:rPr>
        <w:t xml:space="preserve"> a to podle svých potřeb a uvážení.</w:t>
      </w:r>
      <w:r w:rsidR="00910BD7">
        <w:rPr>
          <w:rFonts w:ascii="Verdana" w:hAnsi="Verdana"/>
          <w:sz w:val="20"/>
          <w:lang w:eastAsia="cs-CZ"/>
        </w:rPr>
        <w:t xml:space="preserve"> Příjemce nakupuje </w:t>
      </w:r>
      <w:r w:rsidR="008D7562">
        <w:rPr>
          <w:rFonts w:ascii="Verdana" w:hAnsi="Verdana"/>
          <w:sz w:val="20"/>
          <w:lang w:eastAsia="cs-CZ"/>
        </w:rPr>
        <w:t>tyto zdravotnické</w:t>
      </w:r>
      <w:r w:rsidR="00465340">
        <w:rPr>
          <w:rFonts w:ascii="Verdana" w:hAnsi="Verdana"/>
          <w:sz w:val="20"/>
          <w:lang w:eastAsia="cs-CZ"/>
        </w:rPr>
        <w:t xml:space="preserve"> prostředky </w:t>
      </w:r>
      <w:r w:rsidR="00910BD7">
        <w:rPr>
          <w:rFonts w:ascii="Verdana" w:hAnsi="Verdana"/>
          <w:sz w:val="20"/>
          <w:lang w:eastAsia="cs-CZ"/>
        </w:rPr>
        <w:t>od různých prodejců působících v ČR.</w:t>
      </w:r>
    </w:p>
    <w:p w:rsidR="00762F8E" w:rsidRDefault="00D72DAC" w:rsidP="00A3660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Poskytovatel se </w:t>
      </w:r>
      <w:r w:rsidR="00F80207">
        <w:rPr>
          <w:rFonts w:ascii="Verdana" w:hAnsi="Verdana"/>
          <w:sz w:val="20"/>
          <w:lang w:eastAsia="cs-CZ"/>
        </w:rPr>
        <w:t xml:space="preserve">v rámci své podnikatelské činnosti </w:t>
      </w:r>
      <w:r>
        <w:rPr>
          <w:rFonts w:ascii="Verdana" w:hAnsi="Verdana"/>
          <w:sz w:val="20"/>
          <w:lang w:eastAsia="cs-CZ"/>
        </w:rPr>
        <w:t xml:space="preserve">zabývá vývojem, výrobou </w:t>
      </w:r>
      <w:r w:rsidR="00F80207">
        <w:rPr>
          <w:rFonts w:ascii="Verdana" w:hAnsi="Verdana"/>
          <w:sz w:val="20"/>
          <w:lang w:eastAsia="cs-CZ"/>
        </w:rPr>
        <w:t>nebo</w:t>
      </w:r>
      <w:r w:rsidR="008D7562">
        <w:rPr>
          <w:rFonts w:ascii="Verdana" w:hAnsi="Verdana"/>
          <w:sz w:val="20"/>
          <w:lang w:eastAsia="cs-CZ"/>
        </w:rPr>
        <w:t xml:space="preserve"> distribucí zdravotnických prostředků</w:t>
      </w:r>
      <w:r>
        <w:rPr>
          <w:rFonts w:ascii="Verdana" w:hAnsi="Verdana"/>
          <w:sz w:val="20"/>
          <w:lang w:eastAsia="cs-CZ"/>
        </w:rPr>
        <w:t>.</w:t>
      </w:r>
    </w:p>
    <w:p w:rsidR="00D72DAC" w:rsidRDefault="008D7562" w:rsidP="0057081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Podmínky nákupu zdravotnických</w:t>
      </w:r>
      <w:r w:rsidR="00D72DAC">
        <w:rPr>
          <w:rFonts w:ascii="Verdana" w:hAnsi="Verdana"/>
          <w:sz w:val="20"/>
          <w:lang w:eastAsia="cs-CZ"/>
        </w:rPr>
        <w:t xml:space="preserve"> prostředků jsou předmětem samostatných kupních</w:t>
      </w:r>
      <w:r w:rsidR="00910BD7">
        <w:rPr>
          <w:rFonts w:ascii="Verdana" w:hAnsi="Verdana"/>
          <w:sz w:val="20"/>
          <w:lang w:eastAsia="cs-CZ"/>
        </w:rPr>
        <w:t xml:space="preserve"> smluv uzavřených s jednotlivými prodejci a nejsou touto smlouvou nijak dotčeny.</w:t>
      </w:r>
    </w:p>
    <w:p w:rsidR="0057081A" w:rsidRDefault="00910BD7" w:rsidP="00910BD7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Poskytovatel má zájem poskytnout příjemci finanční bonus za </w:t>
      </w:r>
      <w:r w:rsidR="00F80207">
        <w:rPr>
          <w:rFonts w:ascii="Verdana" w:hAnsi="Verdana"/>
          <w:sz w:val="20"/>
          <w:lang w:eastAsia="cs-CZ"/>
        </w:rPr>
        <w:t xml:space="preserve">odebrané </w:t>
      </w:r>
      <w:r w:rsidR="008D7562">
        <w:rPr>
          <w:rFonts w:ascii="Verdana" w:hAnsi="Verdana"/>
          <w:sz w:val="20"/>
          <w:lang w:eastAsia="cs-CZ"/>
        </w:rPr>
        <w:t>zdravotnické prostředky</w:t>
      </w:r>
      <w:r>
        <w:rPr>
          <w:rFonts w:ascii="Verdana" w:hAnsi="Verdana"/>
          <w:sz w:val="20"/>
          <w:lang w:eastAsia="cs-CZ"/>
        </w:rPr>
        <w:t>.</w:t>
      </w:r>
    </w:p>
    <w:p w:rsidR="007229D8" w:rsidRPr="007229D8" w:rsidRDefault="007229D8" w:rsidP="007229D8">
      <w:pPr>
        <w:rPr>
          <w:lang w:eastAsia="cs-CZ"/>
        </w:rPr>
      </w:pPr>
    </w:p>
    <w:p w:rsidR="0049355C" w:rsidRDefault="00910BD7" w:rsidP="00403340">
      <w:pPr>
        <w:pStyle w:val="Nadpis1"/>
        <w:keepNext w:val="0"/>
        <w:keepLines w:val="0"/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Podmínky poskytnutí </w:t>
      </w:r>
      <w:r w:rsidR="00F80207">
        <w:rPr>
          <w:rFonts w:ascii="Verdana" w:hAnsi="Verdana"/>
          <w:sz w:val="20"/>
        </w:rPr>
        <w:t>finančního</w:t>
      </w:r>
      <w:r>
        <w:rPr>
          <w:rFonts w:ascii="Verdana" w:hAnsi="Verdana"/>
          <w:sz w:val="20"/>
        </w:rPr>
        <w:t xml:space="preserve"> bonusu</w:t>
      </w:r>
    </w:p>
    <w:p w:rsidR="005405FD" w:rsidRDefault="00910BD7" w:rsidP="0049355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Poskytovatel </w:t>
      </w:r>
      <w:r w:rsidR="00136DD3">
        <w:rPr>
          <w:rFonts w:ascii="Verdana" w:hAnsi="Verdana"/>
          <w:sz w:val="20"/>
          <w:lang w:eastAsia="cs-CZ"/>
        </w:rPr>
        <w:t xml:space="preserve">poskytne </w:t>
      </w:r>
      <w:r>
        <w:rPr>
          <w:rFonts w:ascii="Verdana" w:hAnsi="Verdana"/>
          <w:sz w:val="20"/>
          <w:lang w:eastAsia="cs-CZ"/>
        </w:rPr>
        <w:t xml:space="preserve">příjemci </w:t>
      </w:r>
      <w:r w:rsidR="00556D49">
        <w:rPr>
          <w:rFonts w:ascii="Verdana" w:hAnsi="Verdana"/>
          <w:sz w:val="20"/>
          <w:lang w:eastAsia="cs-CZ"/>
        </w:rPr>
        <w:t xml:space="preserve">za odběr </w:t>
      </w:r>
      <w:r w:rsidR="008D7562">
        <w:rPr>
          <w:rFonts w:ascii="Verdana" w:hAnsi="Verdana"/>
          <w:sz w:val="20"/>
          <w:lang w:eastAsia="cs-CZ"/>
        </w:rPr>
        <w:t>zdravotnických</w:t>
      </w:r>
      <w:r>
        <w:rPr>
          <w:rFonts w:ascii="Verdana" w:hAnsi="Verdana"/>
          <w:sz w:val="20"/>
          <w:lang w:eastAsia="cs-CZ"/>
        </w:rPr>
        <w:t xml:space="preserve"> p</w:t>
      </w:r>
      <w:r w:rsidR="008D7562">
        <w:rPr>
          <w:rFonts w:ascii="Verdana" w:hAnsi="Verdana"/>
          <w:sz w:val="20"/>
          <w:lang w:eastAsia="cs-CZ"/>
        </w:rPr>
        <w:t>rostředků</w:t>
      </w:r>
      <w:r w:rsidR="00625EB4">
        <w:rPr>
          <w:rFonts w:ascii="Verdana" w:hAnsi="Verdana"/>
          <w:sz w:val="20"/>
          <w:lang w:eastAsia="cs-CZ"/>
        </w:rPr>
        <w:t xml:space="preserve"> uvedených v příloze </w:t>
      </w:r>
      <w:r>
        <w:rPr>
          <w:rFonts w:ascii="Verdana" w:hAnsi="Verdana"/>
          <w:sz w:val="20"/>
          <w:lang w:eastAsia="cs-CZ"/>
        </w:rPr>
        <w:t xml:space="preserve">této smlouvy </w:t>
      </w:r>
      <w:r w:rsidR="00F80207">
        <w:rPr>
          <w:rFonts w:ascii="Verdana" w:hAnsi="Verdana"/>
          <w:sz w:val="20"/>
          <w:lang w:eastAsia="cs-CZ"/>
        </w:rPr>
        <w:t>finanční</w:t>
      </w:r>
      <w:r w:rsidR="0049355C" w:rsidRPr="0049355C">
        <w:rPr>
          <w:rFonts w:ascii="Verdana" w:hAnsi="Verdana"/>
          <w:sz w:val="20"/>
          <w:lang w:eastAsia="cs-CZ"/>
        </w:rPr>
        <w:t xml:space="preserve"> bonus (dále jen „</w:t>
      </w:r>
      <w:r w:rsidR="0049355C" w:rsidRPr="00136DD3">
        <w:rPr>
          <w:rFonts w:ascii="Verdana" w:hAnsi="Verdana"/>
          <w:b/>
          <w:sz w:val="20"/>
          <w:lang w:eastAsia="cs-CZ"/>
        </w:rPr>
        <w:t>bonus</w:t>
      </w:r>
      <w:r w:rsidR="0049355C" w:rsidRPr="0049355C">
        <w:rPr>
          <w:rFonts w:ascii="Verdana" w:hAnsi="Verdana"/>
          <w:sz w:val="20"/>
          <w:lang w:eastAsia="cs-CZ"/>
        </w:rPr>
        <w:t xml:space="preserve">“) ve výši uvedené </w:t>
      </w:r>
      <w:r w:rsidR="00403340">
        <w:rPr>
          <w:rFonts w:ascii="Verdana" w:hAnsi="Verdana"/>
          <w:sz w:val="20"/>
          <w:lang w:eastAsia="cs-CZ"/>
        </w:rPr>
        <w:t xml:space="preserve">v příloze </w:t>
      </w:r>
      <w:r w:rsidR="003E1D1D">
        <w:rPr>
          <w:rFonts w:ascii="Verdana" w:hAnsi="Verdana"/>
          <w:sz w:val="20"/>
          <w:lang w:eastAsia="cs-CZ"/>
        </w:rPr>
        <w:t xml:space="preserve">této smlouvy, </w:t>
      </w:r>
      <w:r w:rsidR="00192DCB">
        <w:rPr>
          <w:rFonts w:ascii="Verdana" w:hAnsi="Verdana"/>
          <w:sz w:val="20"/>
          <w:lang w:eastAsia="cs-CZ"/>
        </w:rPr>
        <w:br/>
      </w:r>
      <w:r w:rsidR="003E1D1D">
        <w:rPr>
          <w:rFonts w:ascii="Verdana" w:hAnsi="Verdana"/>
          <w:sz w:val="20"/>
          <w:lang w:eastAsia="cs-CZ"/>
        </w:rPr>
        <w:t>a to za předpokladu, že obrat zboží v </w:t>
      </w:r>
      <w:r w:rsidR="00134C50">
        <w:rPr>
          <w:rFonts w:ascii="Verdana" w:hAnsi="Verdana"/>
          <w:sz w:val="20"/>
          <w:lang w:eastAsia="cs-CZ"/>
        </w:rPr>
        <w:t>daném</w:t>
      </w:r>
      <w:r w:rsidR="003E1D1D">
        <w:rPr>
          <w:rFonts w:ascii="Verdana" w:hAnsi="Verdana"/>
          <w:sz w:val="20"/>
          <w:lang w:eastAsia="cs-CZ"/>
        </w:rPr>
        <w:t xml:space="preserve"> referenčním období dosáhne </w:t>
      </w:r>
      <w:r w:rsidR="00172CB3">
        <w:rPr>
          <w:rFonts w:ascii="Verdana" w:hAnsi="Verdana"/>
          <w:sz w:val="20"/>
          <w:lang w:eastAsia="cs-CZ"/>
        </w:rPr>
        <w:t xml:space="preserve">stanoveného </w:t>
      </w:r>
      <w:r w:rsidR="00136DD3">
        <w:rPr>
          <w:rFonts w:ascii="Verdana" w:hAnsi="Verdana"/>
          <w:sz w:val="20"/>
          <w:lang w:eastAsia="cs-CZ"/>
        </w:rPr>
        <w:t>minimálního obratu.</w:t>
      </w:r>
      <w:r w:rsidR="00C1338C">
        <w:rPr>
          <w:rFonts w:ascii="Verdana" w:hAnsi="Verdana"/>
          <w:sz w:val="20"/>
          <w:lang w:eastAsia="cs-CZ"/>
        </w:rPr>
        <w:t xml:space="preserve"> </w:t>
      </w:r>
      <w:r w:rsidR="00C1338C" w:rsidRPr="00C1338C">
        <w:rPr>
          <w:rFonts w:ascii="Verdana" w:hAnsi="Verdana"/>
          <w:sz w:val="20"/>
          <w:lang w:eastAsia="cs-CZ"/>
        </w:rPr>
        <w:t>Bonus bude poskytnut pouze v úrovni nejvyššího dosaženého pásma v referenčním období.</w:t>
      </w:r>
    </w:p>
    <w:p w:rsidR="0049355C" w:rsidRPr="0049355C" w:rsidRDefault="00134C50" w:rsidP="0049355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Referenčním obdobím pro stanovení </w:t>
      </w:r>
      <w:r w:rsidR="00D70A8A">
        <w:rPr>
          <w:rFonts w:ascii="Verdana" w:hAnsi="Verdana"/>
          <w:sz w:val="20"/>
          <w:lang w:eastAsia="cs-CZ"/>
        </w:rPr>
        <w:t xml:space="preserve">výše </w:t>
      </w:r>
      <w:r>
        <w:rPr>
          <w:rFonts w:ascii="Verdana" w:hAnsi="Verdana"/>
          <w:sz w:val="20"/>
          <w:lang w:eastAsia="cs-CZ"/>
        </w:rPr>
        <w:t xml:space="preserve">bonusu je kalendářní </w:t>
      </w:r>
      <w:r w:rsidR="00003716">
        <w:rPr>
          <w:rFonts w:ascii="Verdana" w:hAnsi="Verdana"/>
          <w:sz w:val="20"/>
          <w:lang w:eastAsia="cs-CZ"/>
        </w:rPr>
        <w:t>rok</w:t>
      </w:r>
      <w:r>
        <w:rPr>
          <w:rFonts w:ascii="Verdana" w:hAnsi="Verdana"/>
          <w:sz w:val="20"/>
          <w:lang w:eastAsia="cs-CZ"/>
        </w:rPr>
        <w:t xml:space="preserve">. </w:t>
      </w:r>
      <w:r w:rsidR="005405FD">
        <w:rPr>
          <w:rFonts w:ascii="Verdana" w:hAnsi="Verdana"/>
          <w:sz w:val="20"/>
          <w:lang w:eastAsia="cs-CZ"/>
        </w:rPr>
        <w:t xml:space="preserve">V případě, že k nabytí </w:t>
      </w:r>
      <w:r w:rsidR="002B58CD">
        <w:rPr>
          <w:rFonts w:ascii="Verdana" w:hAnsi="Verdana"/>
          <w:sz w:val="20"/>
          <w:lang w:eastAsia="cs-CZ"/>
        </w:rPr>
        <w:t xml:space="preserve">účinnosti této smlouvy </w:t>
      </w:r>
      <w:r w:rsidR="00D05E7F">
        <w:rPr>
          <w:rFonts w:ascii="Verdana" w:hAnsi="Verdana"/>
          <w:sz w:val="20"/>
          <w:lang w:eastAsia="cs-CZ"/>
        </w:rPr>
        <w:t xml:space="preserve">nebo naopak k ukončení </w:t>
      </w:r>
      <w:r w:rsidR="002B58CD">
        <w:rPr>
          <w:rFonts w:ascii="Verdana" w:hAnsi="Verdana"/>
          <w:sz w:val="20"/>
          <w:lang w:eastAsia="cs-CZ"/>
        </w:rPr>
        <w:t xml:space="preserve">platnosti </w:t>
      </w:r>
      <w:r w:rsidR="00D05E7F">
        <w:rPr>
          <w:rFonts w:ascii="Verdana" w:hAnsi="Verdana"/>
          <w:sz w:val="20"/>
          <w:lang w:eastAsia="cs-CZ"/>
        </w:rPr>
        <w:t xml:space="preserve">této smlouvy </w:t>
      </w:r>
      <w:r w:rsidR="002B58CD">
        <w:rPr>
          <w:rFonts w:ascii="Verdana" w:hAnsi="Verdana"/>
          <w:sz w:val="20"/>
          <w:lang w:eastAsia="cs-CZ"/>
        </w:rPr>
        <w:t xml:space="preserve">dojde </w:t>
      </w:r>
      <w:r w:rsidR="00D05E7F">
        <w:rPr>
          <w:rFonts w:ascii="Verdana" w:hAnsi="Verdana"/>
          <w:sz w:val="20"/>
          <w:lang w:eastAsia="cs-CZ"/>
        </w:rPr>
        <w:t xml:space="preserve">v průběhu </w:t>
      </w:r>
      <w:r w:rsidR="00003716">
        <w:rPr>
          <w:rFonts w:ascii="Verdana" w:hAnsi="Verdana"/>
          <w:sz w:val="20"/>
          <w:lang w:eastAsia="cs-CZ"/>
        </w:rPr>
        <w:t>referenčního období</w:t>
      </w:r>
      <w:r w:rsidR="005405FD">
        <w:rPr>
          <w:rFonts w:ascii="Verdana" w:hAnsi="Verdana"/>
          <w:sz w:val="20"/>
          <w:lang w:eastAsia="cs-CZ"/>
        </w:rPr>
        <w:t>, bude bonus poskytnut i za takto zkrácené referenční období.</w:t>
      </w:r>
      <w:r w:rsidR="00D05E7F">
        <w:rPr>
          <w:rFonts w:ascii="Verdana" w:hAnsi="Verdana"/>
          <w:sz w:val="20"/>
          <w:lang w:eastAsia="cs-CZ"/>
        </w:rPr>
        <w:t xml:space="preserve"> Limity nutné pro dosažení určité výše bonusu se </w:t>
      </w:r>
      <w:r w:rsidR="002B58CD">
        <w:rPr>
          <w:rFonts w:ascii="Verdana" w:hAnsi="Verdana"/>
          <w:sz w:val="20"/>
          <w:lang w:eastAsia="cs-CZ"/>
        </w:rPr>
        <w:t xml:space="preserve">pro toto zkrácené referenční období </w:t>
      </w:r>
      <w:r w:rsidR="00D05E7F">
        <w:rPr>
          <w:rFonts w:ascii="Verdana" w:hAnsi="Verdana"/>
          <w:sz w:val="20"/>
          <w:lang w:eastAsia="cs-CZ"/>
        </w:rPr>
        <w:t xml:space="preserve">úměrně </w:t>
      </w:r>
      <w:r w:rsidR="009F6CA7">
        <w:rPr>
          <w:rFonts w:ascii="Verdana" w:hAnsi="Verdana"/>
          <w:sz w:val="20"/>
          <w:lang w:eastAsia="cs-CZ"/>
        </w:rPr>
        <w:t>sníží</w:t>
      </w:r>
      <w:r w:rsidR="00D05E7F">
        <w:rPr>
          <w:rFonts w:ascii="Verdana" w:hAnsi="Verdana"/>
          <w:sz w:val="20"/>
          <w:lang w:eastAsia="cs-CZ"/>
        </w:rPr>
        <w:t>.</w:t>
      </w:r>
    </w:p>
    <w:p w:rsidR="0049355C" w:rsidRDefault="00136DD3" w:rsidP="0049355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Výše bonusu </w:t>
      </w:r>
      <w:r w:rsidR="009F6CA7">
        <w:rPr>
          <w:rFonts w:ascii="Verdana" w:hAnsi="Verdana"/>
          <w:sz w:val="20"/>
          <w:lang w:eastAsia="cs-CZ"/>
        </w:rPr>
        <w:t>bude</w:t>
      </w:r>
      <w:r>
        <w:rPr>
          <w:rFonts w:ascii="Verdana" w:hAnsi="Verdana"/>
          <w:sz w:val="20"/>
          <w:lang w:eastAsia="cs-CZ"/>
        </w:rPr>
        <w:t xml:space="preserve"> stanovena vždy pro </w:t>
      </w:r>
      <w:r w:rsidR="0049355C" w:rsidRPr="0049355C">
        <w:rPr>
          <w:rFonts w:ascii="Verdana" w:hAnsi="Verdana"/>
          <w:sz w:val="20"/>
          <w:lang w:eastAsia="cs-CZ"/>
        </w:rPr>
        <w:t xml:space="preserve">konkrétní dosažený obrat </w:t>
      </w:r>
      <w:r>
        <w:rPr>
          <w:rFonts w:ascii="Verdana" w:hAnsi="Verdana"/>
          <w:sz w:val="20"/>
          <w:lang w:eastAsia="cs-CZ"/>
        </w:rPr>
        <w:t>zboží</w:t>
      </w:r>
      <w:r w:rsidR="00D70A8A">
        <w:rPr>
          <w:rFonts w:ascii="Verdana" w:hAnsi="Verdana"/>
          <w:sz w:val="20"/>
          <w:lang w:eastAsia="cs-CZ"/>
        </w:rPr>
        <w:t>. Obrat</w:t>
      </w:r>
      <w:r w:rsidR="002B58CD">
        <w:rPr>
          <w:rFonts w:ascii="Verdana" w:hAnsi="Verdana"/>
          <w:sz w:val="20"/>
          <w:lang w:eastAsia="cs-CZ"/>
        </w:rPr>
        <w:t xml:space="preserve"> se </w:t>
      </w:r>
      <w:r w:rsidR="00556D49">
        <w:rPr>
          <w:rFonts w:ascii="Verdana" w:hAnsi="Verdana"/>
          <w:sz w:val="20"/>
          <w:lang w:eastAsia="cs-CZ"/>
        </w:rPr>
        <w:t>vypočt</w:t>
      </w:r>
      <w:r w:rsidR="00A23961">
        <w:rPr>
          <w:rFonts w:ascii="Verdana" w:hAnsi="Verdana"/>
          <w:sz w:val="20"/>
          <w:lang w:eastAsia="cs-CZ"/>
        </w:rPr>
        <w:t>e</w:t>
      </w:r>
      <w:r w:rsidR="00556D49">
        <w:rPr>
          <w:rFonts w:ascii="Verdana" w:hAnsi="Verdana"/>
          <w:sz w:val="20"/>
          <w:lang w:eastAsia="cs-CZ"/>
        </w:rPr>
        <w:t xml:space="preserve"> jako </w:t>
      </w:r>
      <w:r w:rsidR="0049355C" w:rsidRPr="0049355C">
        <w:rPr>
          <w:rFonts w:ascii="Verdana" w:hAnsi="Verdana"/>
          <w:sz w:val="20"/>
          <w:lang w:eastAsia="cs-CZ"/>
        </w:rPr>
        <w:t>sou</w:t>
      </w:r>
      <w:r w:rsidR="00556D49">
        <w:rPr>
          <w:rFonts w:ascii="Verdana" w:hAnsi="Verdana"/>
          <w:sz w:val="20"/>
          <w:lang w:eastAsia="cs-CZ"/>
        </w:rPr>
        <w:t>čet cen všech balení příslušného druhu zboží</w:t>
      </w:r>
      <w:r w:rsidR="002B58CD">
        <w:rPr>
          <w:rFonts w:ascii="Verdana" w:hAnsi="Verdana"/>
          <w:sz w:val="20"/>
          <w:lang w:eastAsia="cs-CZ"/>
        </w:rPr>
        <w:t xml:space="preserve"> bez DPH</w:t>
      </w:r>
      <w:r w:rsidR="0049355C" w:rsidRPr="0049355C">
        <w:rPr>
          <w:rFonts w:ascii="Verdana" w:hAnsi="Verdana"/>
          <w:sz w:val="20"/>
          <w:lang w:eastAsia="cs-CZ"/>
        </w:rPr>
        <w:t xml:space="preserve">, které </w:t>
      </w:r>
      <w:r w:rsidR="00625EB4">
        <w:rPr>
          <w:rFonts w:ascii="Verdana" w:hAnsi="Verdana"/>
          <w:sz w:val="20"/>
          <w:lang w:eastAsia="cs-CZ"/>
        </w:rPr>
        <w:t>příjemce</w:t>
      </w:r>
      <w:r w:rsidR="00556D49">
        <w:rPr>
          <w:rFonts w:ascii="Verdana" w:hAnsi="Verdana"/>
          <w:sz w:val="20"/>
          <w:lang w:eastAsia="cs-CZ"/>
        </w:rPr>
        <w:t xml:space="preserve"> v </w:t>
      </w:r>
      <w:r w:rsidR="003E1D1D">
        <w:rPr>
          <w:rFonts w:ascii="Verdana" w:hAnsi="Verdana"/>
          <w:sz w:val="20"/>
          <w:lang w:eastAsia="cs-CZ"/>
        </w:rPr>
        <w:t>daném</w:t>
      </w:r>
      <w:r w:rsidR="00D70A8A">
        <w:rPr>
          <w:rFonts w:ascii="Verdana" w:hAnsi="Verdana"/>
          <w:sz w:val="20"/>
          <w:lang w:eastAsia="cs-CZ"/>
        </w:rPr>
        <w:t xml:space="preserve"> referenčním období odebere</w:t>
      </w:r>
      <w:r w:rsidR="0049355C" w:rsidRPr="0049355C">
        <w:rPr>
          <w:rFonts w:ascii="Verdana" w:hAnsi="Verdana"/>
          <w:sz w:val="20"/>
          <w:lang w:eastAsia="cs-CZ"/>
        </w:rPr>
        <w:t xml:space="preserve"> </w:t>
      </w:r>
      <w:r w:rsidR="00556D49">
        <w:rPr>
          <w:rFonts w:ascii="Verdana" w:hAnsi="Verdana"/>
          <w:sz w:val="20"/>
          <w:lang w:eastAsia="cs-CZ"/>
        </w:rPr>
        <w:t xml:space="preserve">od </w:t>
      </w:r>
      <w:r w:rsidR="00625EB4">
        <w:rPr>
          <w:rFonts w:ascii="Verdana" w:hAnsi="Verdana"/>
          <w:sz w:val="20"/>
          <w:lang w:eastAsia="cs-CZ"/>
        </w:rPr>
        <w:t xml:space="preserve">poskytovatele nebo </w:t>
      </w:r>
      <w:r w:rsidR="00C1338C">
        <w:rPr>
          <w:rFonts w:ascii="Verdana" w:hAnsi="Verdana"/>
          <w:sz w:val="20"/>
          <w:lang w:eastAsia="cs-CZ"/>
        </w:rPr>
        <w:t xml:space="preserve">od </w:t>
      </w:r>
      <w:r w:rsidR="00625EB4">
        <w:rPr>
          <w:rFonts w:ascii="Verdana" w:hAnsi="Verdana"/>
          <w:sz w:val="20"/>
          <w:lang w:eastAsia="cs-CZ"/>
        </w:rPr>
        <w:t>jeho distributorů</w:t>
      </w:r>
      <w:r w:rsidR="00556D49">
        <w:rPr>
          <w:rFonts w:ascii="Verdana" w:hAnsi="Verdana"/>
          <w:sz w:val="20"/>
          <w:lang w:eastAsia="cs-CZ"/>
        </w:rPr>
        <w:t>.</w:t>
      </w:r>
      <w:r w:rsidR="00C1338C">
        <w:rPr>
          <w:rFonts w:ascii="Verdana" w:hAnsi="Verdana"/>
          <w:sz w:val="20"/>
          <w:lang w:eastAsia="cs-CZ"/>
        </w:rPr>
        <w:t xml:space="preserve"> Cenou balení se pro účely této smlouvy rozumí cena </w:t>
      </w:r>
      <w:r w:rsidR="00465340">
        <w:rPr>
          <w:rFonts w:ascii="Verdana" w:hAnsi="Verdana"/>
          <w:sz w:val="20"/>
          <w:lang w:eastAsia="cs-CZ"/>
        </w:rPr>
        <w:t>poskytovatel</w:t>
      </w:r>
      <w:r w:rsidR="00C1338C">
        <w:rPr>
          <w:rFonts w:ascii="Verdana" w:hAnsi="Verdana"/>
          <w:sz w:val="20"/>
          <w:lang w:eastAsia="cs-CZ"/>
        </w:rPr>
        <w:t xml:space="preserve"> bez DPH platná v daném referenčním období.</w:t>
      </w:r>
    </w:p>
    <w:p w:rsidR="00235807" w:rsidRDefault="00235807" w:rsidP="00235807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Bonus je stanoven agregova</w:t>
      </w:r>
      <w:r w:rsidR="008D7562">
        <w:rPr>
          <w:rFonts w:ascii="Verdana" w:hAnsi="Verdana"/>
          <w:sz w:val="20"/>
          <w:lang w:eastAsia="cs-CZ"/>
        </w:rPr>
        <w:t>ně, na základě celkového odběru zdravotnických prostředků</w:t>
      </w:r>
      <w:r>
        <w:rPr>
          <w:rFonts w:ascii="Verdana" w:hAnsi="Verdana"/>
          <w:sz w:val="20"/>
          <w:lang w:eastAsia="cs-CZ"/>
        </w:rPr>
        <w:t>. Není vázán na konkrétní objednávk</w:t>
      </w:r>
      <w:r w:rsidRPr="005B278E">
        <w:rPr>
          <w:rFonts w:ascii="Verdana" w:hAnsi="Verdana"/>
          <w:sz w:val="20"/>
          <w:lang w:eastAsia="cs-CZ"/>
        </w:rPr>
        <w:t xml:space="preserve">u či fakturou ani </w:t>
      </w:r>
      <w:r>
        <w:rPr>
          <w:rFonts w:ascii="Verdana" w:hAnsi="Verdana"/>
          <w:sz w:val="20"/>
          <w:lang w:eastAsia="cs-CZ"/>
        </w:rPr>
        <w:t xml:space="preserve">na </w:t>
      </w:r>
      <w:r w:rsidRPr="005B278E">
        <w:rPr>
          <w:rFonts w:ascii="Verdana" w:hAnsi="Verdana"/>
          <w:sz w:val="20"/>
          <w:lang w:eastAsia="cs-CZ"/>
        </w:rPr>
        <w:t>konkrétní druh</w:t>
      </w:r>
      <w:r w:rsidR="008D7562">
        <w:rPr>
          <w:rFonts w:ascii="Verdana" w:hAnsi="Verdana"/>
          <w:sz w:val="20"/>
          <w:lang w:eastAsia="cs-CZ"/>
        </w:rPr>
        <w:t xml:space="preserve"> zdravotnických prostředků</w:t>
      </w:r>
      <w:r w:rsidR="00003716">
        <w:rPr>
          <w:rFonts w:ascii="Verdana" w:hAnsi="Verdana"/>
          <w:sz w:val="20"/>
          <w:lang w:eastAsia="cs-CZ"/>
        </w:rPr>
        <w:t>. D</w:t>
      </w:r>
      <w:r>
        <w:rPr>
          <w:rFonts w:ascii="Verdana" w:hAnsi="Verdana"/>
          <w:sz w:val="20"/>
          <w:lang w:eastAsia="cs-CZ"/>
        </w:rPr>
        <w:t xml:space="preserve">osažený bonus </w:t>
      </w:r>
      <w:r w:rsidR="00003716">
        <w:rPr>
          <w:rFonts w:ascii="Verdana" w:hAnsi="Verdana"/>
          <w:sz w:val="20"/>
          <w:lang w:eastAsia="cs-CZ"/>
        </w:rPr>
        <w:t xml:space="preserve">nelze </w:t>
      </w:r>
      <w:r>
        <w:rPr>
          <w:rFonts w:ascii="Verdana" w:hAnsi="Verdana"/>
          <w:sz w:val="20"/>
          <w:lang w:eastAsia="cs-CZ"/>
        </w:rPr>
        <w:t xml:space="preserve">promítnout </w:t>
      </w:r>
      <w:r w:rsidRPr="005B278E">
        <w:rPr>
          <w:rFonts w:ascii="Verdana" w:hAnsi="Verdana"/>
          <w:sz w:val="20"/>
          <w:lang w:eastAsia="cs-CZ"/>
        </w:rPr>
        <w:t xml:space="preserve">do jednotkové ceny </w:t>
      </w:r>
      <w:r>
        <w:rPr>
          <w:rFonts w:ascii="Verdana" w:hAnsi="Verdana"/>
          <w:sz w:val="20"/>
          <w:lang w:eastAsia="cs-CZ"/>
        </w:rPr>
        <w:t>konkrétních výrobků.</w:t>
      </w:r>
    </w:p>
    <w:p w:rsidR="00A32FE4" w:rsidRDefault="00A32FE4" w:rsidP="00A32FE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Do 15 dnů od </w:t>
      </w:r>
      <w:r w:rsidR="00A23961" w:rsidRPr="00172CB3">
        <w:rPr>
          <w:rFonts w:ascii="Verdana" w:hAnsi="Verdana"/>
          <w:sz w:val="20"/>
          <w:lang w:eastAsia="cs-CZ"/>
        </w:rPr>
        <w:t xml:space="preserve">skočení příslušného referenčního období </w:t>
      </w:r>
      <w:r w:rsidR="00D05E7F">
        <w:rPr>
          <w:rFonts w:ascii="Verdana" w:hAnsi="Verdana"/>
          <w:sz w:val="20"/>
          <w:lang w:eastAsia="cs-CZ"/>
        </w:rPr>
        <w:t xml:space="preserve">zašle </w:t>
      </w:r>
      <w:r w:rsidR="00625EB4">
        <w:rPr>
          <w:rFonts w:ascii="Verdana" w:hAnsi="Verdana"/>
          <w:sz w:val="20"/>
          <w:lang w:eastAsia="cs-CZ"/>
        </w:rPr>
        <w:t>poskytovatel</w:t>
      </w:r>
      <w:r w:rsidR="00D05E7F">
        <w:rPr>
          <w:rFonts w:ascii="Verdana" w:hAnsi="Verdana"/>
          <w:sz w:val="20"/>
          <w:lang w:eastAsia="cs-CZ"/>
        </w:rPr>
        <w:t xml:space="preserve"> vyčíslení dosaženého bonusu</w:t>
      </w:r>
      <w:r w:rsidR="007231FE">
        <w:rPr>
          <w:rFonts w:ascii="Verdana" w:hAnsi="Verdana"/>
          <w:sz w:val="20"/>
          <w:lang w:eastAsia="cs-CZ"/>
        </w:rPr>
        <w:t xml:space="preserve"> </w:t>
      </w:r>
      <w:r w:rsidR="00625EB4">
        <w:rPr>
          <w:rFonts w:ascii="Verdana" w:hAnsi="Verdana"/>
          <w:sz w:val="20"/>
          <w:lang w:eastAsia="cs-CZ"/>
        </w:rPr>
        <w:t>příjemci</w:t>
      </w:r>
      <w:r w:rsidR="007231FE">
        <w:rPr>
          <w:rFonts w:ascii="Verdana" w:hAnsi="Verdana"/>
          <w:sz w:val="20"/>
          <w:lang w:eastAsia="cs-CZ"/>
        </w:rPr>
        <w:t xml:space="preserve"> k odsouhlasení.</w:t>
      </w:r>
      <w:r w:rsidR="00D05E7F">
        <w:rPr>
          <w:rFonts w:ascii="Verdana" w:hAnsi="Verdana"/>
          <w:sz w:val="20"/>
          <w:lang w:eastAsia="cs-CZ"/>
        </w:rPr>
        <w:t xml:space="preserve"> </w:t>
      </w:r>
      <w:r w:rsidR="00625EB4">
        <w:rPr>
          <w:rFonts w:ascii="Verdana" w:hAnsi="Verdana"/>
          <w:sz w:val="20"/>
          <w:lang w:eastAsia="cs-CZ"/>
        </w:rPr>
        <w:t>Příjemce</w:t>
      </w:r>
      <w:r>
        <w:rPr>
          <w:rFonts w:ascii="Verdana" w:hAnsi="Verdana"/>
          <w:sz w:val="20"/>
          <w:lang w:eastAsia="cs-CZ"/>
        </w:rPr>
        <w:t xml:space="preserve"> vyčíslení </w:t>
      </w:r>
      <w:r w:rsidR="009F6CA7">
        <w:rPr>
          <w:rFonts w:ascii="Verdana" w:hAnsi="Verdana"/>
          <w:sz w:val="20"/>
          <w:lang w:eastAsia="cs-CZ"/>
        </w:rPr>
        <w:t xml:space="preserve">bonusu </w:t>
      </w:r>
      <w:r>
        <w:rPr>
          <w:rFonts w:ascii="Verdana" w:hAnsi="Verdana"/>
          <w:sz w:val="20"/>
          <w:lang w:eastAsia="cs-CZ"/>
        </w:rPr>
        <w:t xml:space="preserve">odsouhlasí </w:t>
      </w:r>
      <w:r w:rsidR="004F3B2C">
        <w:rPr>
          <w:rFonts w:ascii="Verdana" w:hAnsi="Verdana"/>
          <w:sz w:val="20"/>
          <w:lang w:eastAsia="cs-CZ"/>
        </w:rPr>
        <w:t>nebo do 1</w:t>
      </w:r>
      <w:r>
        <w:rPr>
          <w:rFonts w:ascii="Verdana" w:hAnsi="Verdana"/>
          <w:sz w:val="20"/>
          <w:lang w:eastAsia="cs-CZ"/>
        </w:rPr>
        <w:t xml:space="preserve">0 dnů od </w:t>
      </w:r>
      <w:r w:rsidR="00E61483">
        <w:rPr>
          <w:rFonts w:ascii="Verdana" w:hAnsi="Verdana"/>
          <w:sz w:val="20"/>
          <w:lang w:eastAsia="cs-CZ"/>
        </w:rPr>
        <w:t xml:space="preserve">dne </w:t>
      </w:r>
      <w:r w:rsidR="009F6CA7">
        <w:rPr>
          <w:rFonts w:ascii="Verdana" w:hAnsi="Verdana"/>
          <w:sz w:val="20"/>
          <w:lang w:eastAsia="cs-CZ"/>
        </w:rPr>
        <w:t xml:space="preserve">jeho </w:t>
      </w:r>
      <w:r>
        <w:rPr>
          <w:rFonts w:ascii="Verdana" w:hAnsi="Verdana"/>
          <w:sz w:val="20"/>
          <w:lang w:eastAsia="cs-CZ"/>
        </w:rPr>
        <w:t xml:space="preserve">doručení zašle </w:t>
      </w:r>
      <w:r w:rsidR="0033430B">
        <w:rPr>
          <w:rFonts w:ascii="Verdana" w:hAnsi="Verdana"/>
          <w:sz w:val="20"/>
          <w:lang w:eastAsia="cs-CZ"/>
        </w:rPr>
        <w:t>poskytovateli</w:t>
      </w:r>
      <w:r>
        <w:rPr>
          <w:rFonts w:ascii="Verdana" w:hAnsi="Verdana"/>
          <w:sz w:val="20"/>
          <w:lang w:eastAsia="cs-CZ"/>
        </w:rPr>
        <w:t xml:space="preserve"> své písemné námitky. </w:t>
      </w:r>
      <w:r w:rsidR="0033430B">
        <w:rPr>
          <w:rFonts w:ascii="Verdana" w:hAnsi="Verdana"/>
          <w:sz w:val="20"/>
          <w:lang w:eastAsia="cs-CZ"/>
        </w:rPr>
        <w:t>Poskytovatel</w:t>
      </w:r>
      <w:r w:rsidR="00625EB4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zaslané námitky přezkoum</w:t>
      </w:r>
      <w:r w:rsidR="00625EB4">
        <w:rPr>
          <w:rFonts w:ascii="Verdana" w:hAnsi="Verdana"/>
          <w:sz w:val="20"/>
          <w:lang w:eastAsia="cs-CZ"/>
        </w:rPr>
        <w:t>á</w:t>
      </w:r>
      <w:r>
        <w:rPr>
          <w:rFonts w:ascii="Verdana" w:hAnsi="Verdana"/>
          <w:sz w:val="20"/>
          <w:lang w:eastAsia="cs-CZ"/>
        </w:rPr>
        <w:t xml:space="preserve"> a vypořád</w:t>
      </w:r>
      <w:r w:rsidR="00625EB4">
        <w:rPr>
          <w:rFonts w:ascii="Verdana" w:hAnsi="Verdana"/>
          <w:sz w:val="20"/>
          <w:lang w:eastAsia="cs-CZ"/>
        </w:rPr>
        <w:t>á</w:t>
      </w:r>
      <w:r>
        <w:rPr>
          <w:rFonts w:ascii="Verdana" w:hAnsi="Verdana"/>
          <w:sz w:val="20"/>
          <w:lang w:eastAsia="cs-CZ"/>
        </w:rPr>
        <w:t xml:space="preserve"> se s nimi tak, aby mohlo být vyčíslení odsouhlaseno. </w:t>
      </w:r>
      <w:r w:rsidR="00837A65">
        <w:rPr>
          <w:rFonts w:ascii="Verdana" w:hAnsi="Verdana"/>
          <w:sz w:val="20"/>
          <w:lang w:eastAsia="cs-CZ"/>
        </w:rPr>
        <w:t xml:space="preserve">Uplatněním námitek </w:t>
      </w:r>
      <w:r>
        <w:rPr>
          <w:rFonts w:ascii="Verdana" w:hAnsi="Verdana"/>
          <w:sz w:val="20"/>
          <w:lang w:eastAsia="cs-CZ"/>
        </w:rPr>
        <w:t xml:space="preserve">není dotčeno právo </w:t>
      </w:r>
      <w:r w:rsidR="00625EB4">
        <w:rPr>
          <w:rFonts w:ascii="Verdana" w:hAnsi="Verdana"/>
          <w:sz w:val="20"/>
          <w:lang w:eastAsia="cs-CZ"/>
        </w:rPr>
        <w:t xml:space="preserve">příjemce na </w:t>
      </w:r>
      <w:r w:rsidR="00D70A8A">
        <w:rPr>
          <w:rFonts w:ascii="Verdana" w:hAnsi="Verdana"/>
          <w:sz w:val="20"/>
          <w:lang w:eastAsia="cs-CZ"/>
        </w:rPr>
        <w:t xml:space="preserve">uhrazení </w:t>
      </w:r>
      <w:r>
        <w:rPr>
          <w:rFonts w:ascii="Verdana" w:hAnsi="Verdana"/>
          <w:sz w:val="20"/>
          <w:lang w:eastAsia="cs-CZ"/>
        </w:rPr>
        <w:t>bonusu ve výši, která je mezi smluvními stranami nesporná.</w:t>
      </w:r>
    </w:p>
    <w:p w:rsidR="007231FE" w:rsidRDefault="00E61483" w:rsidP="00172CB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Na základě odsouhlasené</w:t>
      </w:r>
      <w:r w:rsidR="00D70A8A">
        <w:rPr>
          <w:rFonts w:ascii="Verdana" w:hAnsi="Verdana"/>
          <w:sz w:val="20"/>
          <w:lang w:eastAsia="cs-CZ"/>
        </w:rPr>
        <w:t>ho</w:t>
      </w:r>
      <w:r>
        <w:rPr>
          <w:rFonts w:ascii="Verdana" w:hAnsi="Verdana"/>
          <w:sz w:val="20"/>
          <w:lang w:eastAsia="cs-CZ"/>
        </w:rPr>
        <w:t xml:space="preserve"> </w:t>
      </w:r>
      <w:r w:rsidR="0033430B">
        <w:rPr>
          <w:rFonts w:ascii="Verdana" w:hAnsi="Verdana"/>
          <w:sz w:val="20"/>
          <w:lang w:eastAsia="cs-CZ"/>
        </w:rPr>
        <w:t>vyčíslení</w:t>
      </w:r>
      <w:r>
        <w:rPr>
          <w:rFonts w:ascii="Verdana" w:hAnsi="Verdana"/>
          <w:sz w:val="20"/>
          <w:lang w:eastAsia="cs-CZ"/>
        </w:rPr>
        <w:t xml:space="preserve"> bonusu vystaví </w:t>
      </w:r>
      <w:r w:rsidR="00625EB4">
        <w:rPr>
          <w:rFonts w:ascii="Verdana" w:hAnsi="Verdana"/>
          <w:sz w:val="20"/>
          <w:lang w:eastAsia="cs-CZ"/>
        </w:rPr>
        <w:t xml:space="preserve">poskytovatel </w:t>
      </w:r>
      <w:r w:rsidR="000A5F06" w:rsidRPr="000A5F06">
        <w:rPr>
          <w:rFonts w:ascii="Verdana" w:hAnsi="Verdana"/>
          <w:sz w:val="20"/>
          <w:lang w:eastAsia="cs-CZ"/>
        </w:rPr>
        <w:t xml:space="preserve">ve prospěch </w:t>
      </w:r>
      <w:r w:rsidR="00625EB4">
        <w:rPr>
          <w:rFonts w:ascii="Verdana" w:hAnsi="Verdana"/>
          <w:sz w:val="20"/>
          <w:lang w:eastAsia="cs-CZ"/>
        </w:rPr>
        <w:t>příjemce</w:t>
      </w:r>
      <w:r w:rsidR="000A5F06">
        <w:rPr>
          <w:rFonts w:ascii="Verdana" w:hAnsi="Verdana"/>
          <w:sz w:val="20"/>
          <w:lang w:eastAsia="cs-CZ"/>
        </w:rPr>
        <w:t xml:space="preserve"> </w:t>
      </w:r>
      <w:r w:rsidR="000A5F06" w:rsidRPr="000A5F06">
        <w:rPr>
          <w:rFonts w:ascii="Verdana" w:hAnsi="Verdana"/>
          <w:sz w:val="20"/>
          <w:lang w:eastAsia="cs-CZ"/>
        </w:rPr>
        <w:t xml:space="preserve">opravný daňový doklad </w:t>
      </w:r>
      <w:r w:rsidR="000A5F06">
        <w:rPr>
          <w:rFonts w:ascii="Verdana" w:hAnsi="Verdana"/>
          <w:sz w:val="20"/>
          <w:lang w:eastAsia="cs-CZ"/>
        </w:rPr>
        <w:t xml:space="preserve">(dobropis) </w:t>
      </w:r>
      <w:r w:rsidR="000A5F06" w:rsidRPr="000A5F06">
        <w:rPr>
          <w:rFonts w:ascii="Verdana" w:hAnsi="Verdana"/>
          <w:sz w:val="20"/>
          <w:lang w:eastAsia="cs-CZ"/>
        </w:rPr>
        <w:t xml:space="preserve">vztahující se ke všem dodávkám </w:t>
      </w:r>
      <w:r w:rsidR="00625EB4">
        <w:rPr>
          <w:rFonts w:ascii="Verdana" w:hAnsi="Verdana"/>
          <w:sz w:val="20"/>
          <w:lang w:eastAsia="cs-CZ"/>
        </w:rPr>
        <w:t>léčivých přípravků</w:t>
      </w:r>
      <w:r w:rsidR="000A5F06" w:rsidRPr="000A5F06">
        <w:rPr>
          <w:rFonts w:ascii="Verdana" w:hAnsi="Verdana"/>
          <w:sz w:val="20"/>
          <w:lang w:eastAsia="cs-CZ"/>
        </w:rPr>
        <w:t xml:space="preserve">, které </w:t>
      </w:r>
      <w:r w:rsidR="00625EB4">
        <w:rPr>
          <w:rFonts w:ascii="Verdana" w:hAnsi="Verdana"/>
          <w:sz w:val="20"/>
          <w:lang w:eastAsia="cs-CZ"/>
        </w:rPr>
        <w:t xml:space="preserve">příjemce </w:t>
      </w:r>
      <w:r w:rsidR="000A5F06" w:rsidRPr="000A5F06">
        <w:rPr>
          <w:rFonts w:ascii="Verdana" w:hAnsi="Verdana"/>
          <w:sz w:val="20"/>
          <w:lang w:eastAsia="cs-CZ"/>
        </w:rPr>
        <w:t>v</w:t>
      </w:r>
      <w:r w:rsidR="000A5F06">
        <w:rPr>
          <w:rFonts w:ascii="Verdana" w:hAnsi="Verdana"/>
          <w:sz w:val="20"/>
          <w:lang w:eastAsia="cs-CZ"/>
        </w:rPr>
        <w:t xml:space="preserve"> daném</w:t>
      </w:r>
      <w:r w:rsidR="000A5F06" w:rsidRPr="000A5F06">
        <w:rPr>
          <w:rFonts w:ascii="Verdana" w:hAnsi="Verdana"/>
          <w:sz w:val="20"/>
          <w:lang w:eastAsia="cs-CZ"/>
        </w:rPr>
        <w:t xml:space="preserve"> referenčním období </w:t>
      </w:r>
      <w:r w:rsidR="00625EB4">
        <w:rPr>
          <w:rFonts w:ascii="Verdana" w:hAnsi="Verdana"/>
          <w:sz w:val="20"/>
          <w:lang w:eastAsia="cs-CZ"/>
        </w:rPr>
        <w:t xml:space="preserve">odebral od </w:t>
      </w:r>
      <w:r w:rsidR="007E759A">
        <w:rPr>
          <w:rFonts w:ascii="Verdana" w:hAnsi="Verdana"/>
          <w:sz w:val="20"/>
          <w:lang w:eastAsia="cs-CZ"/>
        </w:rPr>
        <w:t xml:space="preserve">poskytovatele nebo </w:t>
      </w:r>
      <w:r w:rsidR="004F3B2C">
        <w:rPr>
          <w:rFonts w:ascii="Verdana" w:hAnsi="Verdana"/>
          <w:sz w:val="20"/>
          <w:lang w:eastAsia="cs-CZ"/>
        </w:rPr>
        <w:t xml:space="preserve">od </w:t>
      </w:r>
      <w:r w:rsidR="007E759A">
        <w:rPr>
          <w:rFonts w:ascii="Verdana" w:hAnsi="Verdana"/>
          <w:sz w:val="20"/>
          <w:lang w:eastAsia="cs-CZ"/>
        </w:rPr>
        <w:t>jeho distributorů</w:t>
      </w:r>
      <w:r w:rsidR="000A5F06">
        <w:rPr>
          <w:rFonts w:ascii="Verdana" w:hAnsi="Verdana"/>
          <w:sz w:val="20"/>
          <w:lang w:eastAsia="cs-CZ"/>
        </w:rPr>
        <w:t>.</w:t>
      </w:r>
      <w:r w:rsidR="009F6CA7" w:rsidRPr="009F6CA7">
        <w:rPr>
          <w:rFonts w:ascii="Verdana" w:hAnsi="Verdana"/>
          <w:sz w:val="20"/>
          <w:lang w:eastAsia="cs-CZ"/>
        </w:rPr>
        <w:t xml:space="preserve"> </w:t>
      </w:r>
      <w:r w:rsidR="0033430B">
        <w:rPr>
          <w:rFonts w:ascii="Verdana" w:hAnsi="Verdana"/>
          <w:sz w:val="20"/>
          <w:lang w:eastAsia="cs-CZ"/>
        </w:rPr>
        <w:t>Poskytovatel</w:t>
      </w:r>
      <w:r w:rsidR="00837A65">
        <w:rPr>
          <w:rFonts w:ascii="Verdana" w:hAnsi="Verdana"/>
          <w:sz w:val="20"/>
          <w:lang w:eastAsia="cs-CZ"/>
        </w:rPr>
        <w:t xml:space="preserve"> uhrad</w:t>
      </w:r>
      <w:r w:rsidR="0033430B">
        <w:rPr>
          <w:rFonts w:ascii="Verdana" w:hAnsi="Verdana"/>
          <w:sz w:val="20"/>
          <w:lang w:eastAsia="cs-CZ"/>
        </w:rPr>
        <w:t>í</w:t>
      </w:r>
      <w:r w:rsidR="00837A65">
        <w:rPr>
          <w:rFonts w:ascii="Verdana" w:hAnsi="Verdana"/>
          <w:sz w:val="20"/>
          <w:lang w:eastAsia="cs-CZ"/>
        </w:rPr>
        <w:t xml:space="preserve"> </w:t>
      </w:r>
      <w:r w:rsidR="0033430B">
        <w:rPr>
          <w:rFonts w:ascii="Verdana" w:hAnsi="Verdana"/>
          <w:sz w:val="20"/>
          <w:lang w:eastAsia="cs-CZ"/>
        </w:rPr>
        <w:t xml:space="preserve">příjemci </w:t>
      </w:r>
      <w:r w:rsidR="00837A65">
        <w:rPr>
          <w:rFonts w:ascii="Verdana" w:hAnsi="Verdana"/>
          <w:sz w:val="20"/>
          <w:lang w:eastAsia="cs-CZ"/>
        </w:rPr>
        <w:t>dosažený bonus do 30 dnů ode dne odsouhlasení jeho vyčíslení.</w:t>
      </w:r>
    </w:p>
    <w:p w:rsidR="00235807" w:rsidRDefault="00235807" w:rsidP="00403340">
      <w:pPr>
        <w:pStyle w:val="Nadpis1"/>
        <w:keepNext w:val="0"/>
        <w:keepLines w:val="0"/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Další ujednání</w:t>
      </w:r>
    </w:p>
    <w:p w:rsidR="00693FD1" w:rsidRDefault="00693FD1" w:rsidP="00F532F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Příjemce </w:t>
      </w:r>
      <w:r w:rsidRPr="00693FD1">
        <w:rPr>
          <w:rFonts w:ascii="Verdana" w:hAnsi="Verdana"/>
          <w:sz w:val="20"/>
          <w:lang w:eastAsia="cs-CZ"/>
        </w:rPr>
        <w:t xml:space="preserve">není jakkoliv zavázán odebírat </w:t>
      </w:r>
      <w:r w:rsidR="008D7562">
        <w:rPr>
          <w:rFonts w:ascii="Verdana" w:hAnsi="Verdana"/>
          <w:sz w:val="20"/>
          <w:lang w:eastAsia="cs-CZ"/>
        </w:rPr>
        <w:t>zdravotnické prostředky</w:t>
      </w:r>
      <w:r>
        <w:rPr>
          <w:rFonts w:ascii="Verdana" w:hAnsi="Verdana"/>
          <w:sz w:val="20"/>
          <w:lang w:eastAsia="cs-CZ"/>
        </w:rPr>
        <w:t xml:space="preserve"> od poskytovatele</w:t>
      </w:r>
      <w:r w:rsidRPr="00693FD1">
        <w:rPr>
          <w:rFonts w:ascii="Verdana" w:hAnsi="Verdana"/>
          <w:sz w:val="20"/>
          <w:lang w:eastAsia="cs-CZ"/>
        </w:rPr>
        <w:t xml:space="preserve"> ani od třetích osob v jakémkol</w:t>
      </w:r>
      <w:r w:rsidR="004F3B2C">
        <w:rPr>
          <w:rFonts w:ascii="Verdana" w:hAnsi="Verdana"/>
          <w:sz w:val="20"/>
          <w:lang w:eastAsia="cs-CZ"/>
        </w:rPr>
        <w:t>i množství a</w:t>
      </w:r>
      <w:r w:rsidRPr="00693FD1">
        <w:rPr>
          <w:rFonts w:ascii="Verdana" w:hAnsi="Verdana"/>
          <w:sz w:val="20"/>
          <w:lang w:eastAsia="cs-CZ"/>
        </w:rPr>
        <w:t xml:space="preserve"> nadále disponuje absolutní volností</w:t>
      </w:r>
      <w:r w:rsidR="004F3B2C">
        <w:rPr>
          <w:rFonts w:ascii="Verdana" w:hAnsi="Verdana"/>
          <w:sz w:val="20"/>
          <w:lang w:eastAsia="cs-CZ"/>
        </w:rPr>
        <w:t>,</w:t>
      </w:r>
      <w:r w:rsidRPr="00693FD1">
        <w:rPr>
          <w:rFonts w:ascii="Verdana" w:hAnsi="Verdana"/>
          <w:sz w:val="20"/>
          <w:lang w:eastAsia="cs-CZ"/>
        </w:rPr>
        <w:t xml:space="preserve"> co do výběru </w:t>
      </w:r>
      <w:r w:rsidR="008D7562">
        <w:rPr>
          <w:rFonts w:ascii="Verdana" w:hAnsi="Verdana"/>
          <w:sz w:val="20"/>
          <w:lang w:eastAsia="cs-CZ"/>
        </w:rPr>
        <w:t>nakupovaných zdravotnických prostředků</w:t>
      </w:r>
      <w:r w:rsidRPr="00693FD1">
        <w:rPr>
          <w:rFonts w:ascii="Verdana" w:hAnsi="Verdana"/>
          <w:sz w:val="20"/>
          <w:lang w:eastAsia="cs-CZ"/>
        </w:rPr>
        <w:t xml:space="preserve">, a to bez ohledu na to, zda jsou vyráběny či dodávány </w:t>
      </w:r>
      <w:r w:rsidR="005B278E">
        <w:rPr>
          <w:rFonts w:ascii="Verdana" w:hAnsi="Verdana"/>
          <w:sz w:val="20"/>
          <w:lang w:eastAsia="cs-CZ"/>
        </w:rPr>
        <w:t>poskytovatelem</w:t>
      </w:r>
      <w:r w:rsidRPr="00693FD1">
        <w:rPr>
          <w:rFonts w:ascii="Verdana" w:hAnsi="Verdana"/>
          <w:sz w:val="20"/>
          <w:lang w:eastAsia="cs-CZ"/>
        </w:rPr>
        <w:t xml:space="preserve"> nebo jiným dodavatelem.</w:t>
      </w:r>
    </w:p>
    <w:p w:rsidR="00F532F5" w:rsidRPr="00172CB3" w:rsidRDefault="00172CB3" w:rsidP="00F532F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72CB3">
        <w:rPr>
          <w:rFonts w:ascii="Verdana" w:hAnsi="Verdana"/>
          <w:sz w:val="20"/>
          <w:lang w:eastAsia="cs-CZ"/>
        </w:rPr>
        <w:t xml:space="preserve">Smluvní strany </w:t>
      </w:r>
      <w:r w:rsidR="00F532F5">
        <w:rPr>
          <w:rFonts w:ascii="Verdana" w:hAnsi="Verdana"/>
          <w:sz w:val="20"/>
          <w:lang w:eastAsia="cs-CZ"/>
        </w:rPr>
        <w:t>shodně</w:t>
      </w:r>
      <w:r w:rsidRPr="00172CB3">
        <w:rPr>
          <w:rFonts w:ascii="Verdana" w:hAnsi="Verdana"/>
          <w:sz w:val="20"/>
          <w:lang w:eastAsia="cs-CZ"/>
        </w:rPr>
        <w:t xml:space="preserve"> prohlašují, že jim nejsou známé žádné skutečnosti, které by bránily poskyt</w:t>
      </w:r>
      <w:r w:rsidR="00485BC4">
        <w:rPr>
          <w:rFonts w:ascii="Verdana" w:hAnsi="Verdana"/>
          <w:sz w:val="20"/>
          <w:lang w:eastAsia="cs-CZ"/>
        </w:rPr>
        <w:t>ování</w:t>
      </w:r>
      <w:r w:rsidRPr="00172CB3">
        <w:rPr>
          <w:rFonts w:ascii="Verdana" w:hAnsi="Verdana"/>
          <w:sz w:val="20"/>
          <w:lang w:eastAsia="cs-CZ"/>
        </w:rPr>
        <w:t xml:space="preserve"> </w:t>
      </w:r>
      <w:r w:rsidR="00485BC4">
        <w:rPr>
          <w:rFonts w:ascii="Verdana" w:hAnsi="Verdana"/>
          <w:sz w:val="20"/>
          <w:lang w:eastAsia="cs-CZ"/>
        </w:rPr>
        <w:t>b</w:t>
      </w:r>
      <w:r w:rsidRPr="00172CB3">
        <w:rPr>
          <w:rFonts w:ascii="Verdana" w:hAnsi="Verdana"/>
          <w:sz w:val="20"/>
          <w:lang w:eastAsia="cs-CZ"/>
        </w:rPr>
        <w:t xml:space="preserve">onusu </w:t>
      </w:r>
      <w:r w:rsidR="00F532F5">
        <w:rPr>
          <w:rFonts w:ascii="Verdana" w:hAnsi="Verdana"/>
          <w:sz w:val="20"/>
          <w:lang w:eastAsia="cs-CZ"/>
        </w:rPr>
        <w:t xml:space="preserve">dle této smlouvy. </w:t>
      </w:r>
      <w:r w:rsidR="00F532F5" w:rsidRPr="00172CB3">
        <w:rPr>
          <w:rFonts w:ascii="Verdana" w:hAnsi="Verdana"/>
          <w:sz w:val="20"/>
          <w:lang w:eastAsia="cs-CZ"/>
        </w:rPr>
        <w:t xml:space="preserve">Smluvní strany </w:t>
      </w:r>
      <w:r w:rsidR="00F532F5">
        <w:rPr>
          <w:rFonts w:ascii="Verdana" w:hAnsi="Verdana"/>
          <w:sz w:val="20"/>
          <w:lang w:eastAsia="cs-CZ"/>
        </w:rPr>
        <w:t xml:space="preserve">dále </w:t>
      </w:r>
      <w:r w:rsidR="00F532F5" w:rsidRPr="00172CB3">
        <w:rPr>
          <w:rFonts w:ascii="Verdana" w:hAnsi="Verdana"/>
          <w:sz w:val="20"/>
          <w:lang w:eastAsia="cs-CZ"/>
        </w:rPr>
        <w:t xml:space="preserve">prohlašují, že účelem </w:t>
      </w:r>
      <w:r w:rsidR="00F532F5">
        <w:rPr>
          <w:rFonts w:ascii="Verdana" w:hAnsi="Verdana"/>
          <w:sz w:val="20"/>
          <w:lang w:eastAsia="cs-CZ"/>
        </w:rPr>
        <w:t>poskytnutí bonusu</w:t>
      </w:r>
      <w:r w:rsidR="00F532F5" w:rsidRPr="00172CB3">
        <w:rPr>
          <w:rFonts w:ascii="Verdana" w:hAnsi="Verdana"/>
          <w:sz w:val="20"/>
          <w:lang w:eastAsia="cs-CZ"/>
        </w:rPr>
        <w:t xml:space="preserve"> není reklama </w:t>
      </w:r>
      <w:r w:rsidR="00F532F5">
        <w:rPr>
          <w:rFonts w:ascii="Verdana" w:hAnsi="Verdana"/>
          <w:sz w:val="20"/>
          <w:lang w:eastAsia="cs-CZ"/>
        </w:rPr>
        <w:t>zboží</w:t>
      </w:r>
      <w:r w:rsidR="00F532F5" w:rsidRPr="00172CB3">
        <w:rPr>
          <w:rFonts w:ascii="Verdana" w:hAnsi="Verdana"/>
          <w:sz w:val="20"/>
          <w:lang w:eastAsia="cs-CZ"/>
        </w:rPr>
        <w:t xml:space="preserve">, ani poskytnutí daru či sponzorského příspěvku </w:t>
      </w:r>
      <w:r w:rsidR="0033430B">
        <w:rPr>
          <w:rFonts w:ascii="Verdana" w:hAnsi="Verdana"/>
          <w:sz w:val="20"/>
          <w:lang w:eastAsia="cs-CZ"/>
        </w:rPr>
        <w:t>příjemci</w:t>
      </w:r>
      <w:r w:rsidR="00F532F5" w:rsidRPr="00172CB3">
        <w:rPr>
          <w:rFonts w:ascii="Verdana" w:hAnsi="Verdana"/>
          <w:sz w:val="20"/>
          <w:lang w:eastAsia="cs-CZ"/>
        </w:rPr>
        <w:t xml:space="preserve"> ani pobídka či návod na neoprávněné čerpání prostředků z veřejného zdravotního pojištění, nýbrž pouze </w:t>
      </w:r>
      <w:r w:rsidR="00F532F5">
        <w:rPr>
          <w:rFonts w:ascii="Verdana" w:hAnsi="Verdana"/>
          <w:sz w:val="20"/>
          <w:lang w:eastAsia="cs-CZ"/>
        </w:rPr>
        <w:t>zohlednění</w:t>
      </w:r>
      <w:r w:rsidR="00F532F5" w:rsidRPr="00172CB3">
        <w:rPr>
          <w:rFonts w:ascii="Verdana" w:hAnsi="Verdana"/>
          <w:sz w:val="20"/>
          <w:lang w:eastAsia="cs-CZ"/>
        </w:rPr>
        <w:t xml:space="preserve"> ekonomick</w:t>
      </w:r>
      <w:r w:rsidR="00F532F5">
        <w:rPr>
          <w:rFonts w:ascii="Verdana" w:hAnsi="Verdana"/>
          <w:sz w:val="20"/>
          <w:lang w:eastAsia="cs-CZ"/>
        </w:rPr>
        <w:t>ého</w:t>
      </w:r>
      <w:r w:rsidR="00F532F5" w:rsidRPr="00172CB3">
        <w:rPr>
          <w:rFonts w:ascii="Verdana" w:hAnsi="Verdana"/>
          <w:sz w:val="20"/>
          <w:lang w:eastAsia="cs-CZ"/>
        </w:rPr>
        <w:t xml:space="preserve"> přínos</w:t>
      </w:r>
      <w:r w:rsidR="00F532F5">
        <w:rPr>
          <w:rFonts w:ascii="Verdana" w:hAnsi="Verdana"/>
          <w:sz w:val="20"/>
          <w:lang w:eastAsia="cs-CZ"/>
        </w:rPr>
        <w:t>u</w:t>
      </w:r>
      <w:r w:rsidR="00F532F5" w:rsidRPr="00172CB3">
        <w:rPr>
          <w:rFonts w:ascii="Verdana" w:hAnsi="Verdana"/>
          <w:sz w:val="20"/>
          <w:lang w:eastAsia="cs-CZ"/>
        </w:rPr>
        <w:t xml:space="preserve"> na straně </w:t>
      </w:r>
      <w:r w:rsidR="0033430B">
        <w:rPr>
          <w:rFonts w:ascii="Verdana" w:hAnsi="Verdana"/>
          <w:sz w:val="20"/>
          <w:lang w:eastAsia="cs-CZ"/>
        </w:rPr>
        <w:t>poskytovatele</w:t>
      </w:r>
      <w:r w:rsidR="00F532F5">
        <w:rPr>
          <w:rFonts w:ascii="Verdana" w:hAnsi="Verdana"/>
          <w:sz w:val="20"/>
          <w:lang w:eastAsia="cs-CZ"/>
        </w:rPr>
        <w:t xml:space="preserve"> daného </w:t>
      </w:r>
      <w:r w:rsidR="00F532F5" w:rsidRPr="00172CB3">
        <w:rPr>
          <w:rFonts w:ascii="Verdana" w:hAnsi="Verdana"/>
          <w:sz w:val="20"/>
          <w:lang w:eastAsia="cs-CZ"/>
        </w:rPr>
        <w:t xml:space="preserve">množstvím </w:t>
      </w:r>
      <w:r w:rsidR="008D7562">
        <w:rPr>
          <w:rFonts w:ascii="Verdana" w:hAnsi="Verdana"/>
          <w:sz w:val="20"/>
          <w:lang w:eastAsia="cs-CZ"/>
        </w:rPr>
        <w:t>zdravotnických prostředků</w:t>
      </w:r>
      <w:r w:rsidR="0033430B">
        <w:rPr>
          <w:rFonts w:ascii="Verdana" w:hAnsi="Verdana"/>
          <w:sz w:val="20"/>
          <w:lang w:eastAsia="cs-CZ"/>
        </w:rPr>
        <w:t xml:space="preserve"> odebraných</w:t>
      </w:r>
      <w:r w:rsidR="00F532F5">
        <w:rPr>
          <w:rFonts w:ascii="Verdana" w:hAnsi="Verdana"/>
          <w:sz w:val="20"/>
          <w:lang w:eastAsia="cs-CZ"/>
        </w:rPr>
        <w:t xml:space="preserve"> kupujícím</w:t>
      </w:r>
      <w:r w:rsidR="00F532F5" w:rsidRPr="00172CB3">
        <w:rPr>
          <w:rFonts w:ascii="Verdana" w:hAnsi="Verdana"/>
          <w:sz w:val="20"/>
          <w:lang w:eastAsia="cs-CZ"/>
        </w:rPr>
        <w:t>.</w:t>
      </w:r>
    </w:p>
    <w:p w:rsidR="00172CB3" w:rsidRDefault="001F3306" w:rsidP="00172CB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lastRenderedPageBreak/>
        <w:t xml:space="preserve">Pro případ, že </w:t>
      </w:r>
      <w:r w:rsidR="00485BC4">
        <w:rPr>
          <w:rFonts w:ascii="Verdana" w:hAnsi="Verdana"/>
          <w:sz w:val="20"/>
          <w:lang w:eastAsia="cs-CZ"/>
        </w:rPr>
        <w:t xml:space="preserve">by se změnil text či aplikace právních předpisů v tom směru, že by poskytování bonusu mohlo být považováno </w:t>
      </w:r>
      <w:r>
        <w:rPr>
          <w:rFonts w:ascii="Verdana" w:hAnsi="Verdana"/>
          <w:sz w:val="20"/>
          <w:lang w:eastAsia="cs-CZ"/>
        </w:rPr>
        <w:t xml:space="preserve">za rozporné se zákonem nebo </w:t>
      </w:r>
      <w:r w:rsidR="00485BC4">
        <w:rPr>
          <w:rFonts w:ascii="Verdana" w:hAnsi="Verdana"/>
          <w:sz w:val="20"/>
          <w:lang w:eastAsia="cs-CZ"/>
        </w:rPr>
        <w:t xml:space="preserve">za omezení hospodářského soutěže, </w:t>
      </w:r>
      <w:r>
        <w:rPr>
          <w:rFonts w:ascii="Verdana" w:hAnsi="Verdana"/>
          <w:sz w:val="20"/>
          <w:lang w:eastAsia="cs-CZ"/>
        </w:rPr>
        <w:t xml:space="preserve">zavazují se smluvní strany </w:t>
      </w:r>
      <w:r w:rsidR="00485BC4">
        <w:rPr>
          <w:rFonts w:ascii="Verdana" w:hAnsi="Verdana"/>
          <w:sz w:val="20"/>
          <w:lang w:eastAsia="cs-CZ"/>
        </w:rPr>
        <w:t>neprodleně zahájit jednání o změně podmínek poskytování bonusu.</w:t>
      </w:r>
      <w:r w:rsidR="00F532F5">
        <w:rPr>
          <w:rFonts w:ascii="Verdana" w:hAnsi="Verdana"/>
          <w:sz w:val="20"/>
          <w:lang w:eastAsia="cs-CZ"/>
        </w:rPr>
        <w:t xml:space="preserve"> V případě, že se smluvní</w:t>
      </w:r>
      <w:r>
        <w:rPr>
          <w:rFonts w:ascii="Verdana" w:hAnsi="Verdana"/>
          <w:sz w:val="20"/>
          <w:lang w:eastAsia="cs-CZ"/>
        </w:rPr>
        <w:t xml:space="preserve"> stran</w:t>
      </w:r>
      <w:r w:rsidR="00F532F5">
        <w:rPr>
          <w:rFonts w:ascii="Verdana" w:hAnsi="Verdana"/>
          <w:sz w:val="20"/>
          <w:lang w:eastAsia="cs-CZ"/>
        </w:rPr>
        <w:t>y nedohodnou na nových p</w:t>
      </w:r>
      <w:r>
        <w:rPr>
          <w:rFonts w:ascii="Verdana" w:hAnsi="Verdana"/>
          <w:sz w:val="20"/>
          <w:lang w:eastAsia="cs-CZ"/>
        </w:rPr>
        <w:t>odmínk</w:t>
      </w:r>
      <w:r w:rsidR="00F532F5">
        <w:rPr>
          <w:rFonts w:ascii="Verdana" w:hAnsi="Verdana"/>
          <w:sz w:val="20"/>
          <w:lang w:eastAsia="cs-CZ"/>
        </w:rPr>
        <w:t>ách</w:t>
      </w:r>
      <w:r>
        <w:rPr>
          <w:rFonts w:ascii="Verdana" w:hAnsi="Verdana"/>
          <w:sz w:val="20"/>
          <w:lang w:eastAsia="cs-CZ"/>
        </w:rPr>
        <w:t xml:space="preserve"> poskytování bonusu, které by byly v souladu s </w:t>
      </w:r>
      <w:r w:rsidR="00F532F5">
        <w:rPr>
          <w:rFonts w:ascii="Verdana" w:hAnsi="Verdana"/>
          <w:sz w:val="20"/>
          <w:lang w:eastAsia="cs-CZ"/>
        </w:rPr>
        <w:t>uvedenými</w:t>
      </w:r>
      <w:r>
        <w:rPr>
          <w:rFonts w:ascii="Verdana" w:hAnsi="Verdana"/>
          <w:sz w:val="20"/>
          <w:lang w:eastAsia="cs-CZ"/>
        </w:rPr>
        <w:t xml:space="preserve"> požadavky, je kterákoliv ze smluvních stran oprávněna od této smlouvy odstoupit.</w:t>
      </w:r>
    </w:p>
    <w:p w:rsidR="009E3259" w:rsidRDefault="009E3259" w:rsidP="009E325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E3259">
        <w:rPr>
          <w:rFonts w:ascii="Verdana" w:hAnsi="Verdana"/>
          <w:sz w:val="20"/>
          <w:lang w:eastAsia="cs-CZ"/>
        </w:rPr>
        <w:t>Smluvní strany se zavazují nastavený bonusový systém průběžně vyhodnocovat. Dojde-li v průběhu platnosti této smlouvy ke změně skutečností rozhodných pr</w:t>
      </w:r>
      <w:r>
        <w:rPr>
          <w:rFonts w:ascii="Verdana" w:hAnsi="Verdana"/>
          <w:sz w:val="20"/>
          <w:lang w:eastAsia="cs-CZ"/>
        </w:rPr>
        <w:t xml:space="preserve">o stanovený výše bonusu, vstoupí obě </w:t>
      </w:r>
      <w:r w:rsidRPr="009E3259">
        <w:rPr>
          <w:rFonts w:ascii="Verdana" w:hAnsi="Verdana"/>
          <w:sz w:val="20"/>
          <w:lang w:eastAsia="cs-CZ"/>
        </w:rPr>
        <w:t xml:space="preserve">smluvní strany </w:t>
      </w:r>
      <w:r>
        <w:rPr>
          <w:rFonts w:ascii="Verdana" w:hAnsi="Verdana"/>
          <w:sz w:val="20"/>
          <w:lang w:eastAsia="cs-CZ"/>
        </w:rPr>
        <w:t xml:space="preserve">do </w:t>
      </w:r>
      <w:r w:rsidRPr="009E3259">
        <w:rPr>
          <w:rFonts w:ascii="Verdana" w:hAnsi="Verdana"/>
          <w:sz w:val="20"/>
          <w:lang w:eastAsia="cs-CZ"/>
        </w:rPr>
        <w:t xml:space="preserve">jednání o </w:t>
      </w:r>
      <w:r>
        <w:rPr>
          <w:rFonts w:ascii="Verdana" w:hAnsi="Verdana"/>
          <w:sz w:val="20"/>
          <w:lang w:eastAsia="cs-CZ"/>
        </w:rPr>
        <w:t xml:space="preserve">jeho </w:t>
      </w:r>
      <w:r w:rsidRPr="009E3259">
        <w:rPr>
          <w:rFonts w:ascii="Verdana" w:hAnsi="Verdana"/>
          <w:sz w:val="20"/>
          <w:lang w:eastAsia="cs-CZ"/>
        </w:rPr>
        <w:t>případné revizi.</w:t>
      </w:r>
    </w:p>
    <w:p w:rsidR="00235807" w:rsidRPr="00EA67B6" w:rsidRDefault="00235807" w:rsidP="00235807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C50FE8">
        <w:rPr>
          <w:rFonts w:ascii="Verdana" w:hAnsi="Verdana"/>
          <w:sz w:val="20"/>
          <w:lang w:eastAsia="cs-CZ"/>
        </w:rPr>
        <w:t>Smluvní strany se zavazují zachovávat mlčenlivost o všech skutečnostech, o kterých se dozvěděli v souvislosti s uzavřením této smlouvy. Tím není dotčena povinnost zveřejnit obsah této smlouvy či jiné skutečnosti týkající se smluvního vztahu založeného touto smlouvou, a to v rozsahu stanoveném zákonem.</w:t>
      </w:r>
    </w:p>
    <w:p w:rsidR="00235807" w:rsidRPr="00EA67B6" w:rsidRDefault="00235807" w:rsidP="00235807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A67B6">
        <w:rPr>
          <w:rFonts w:ascii="Verdana" w:hAnsi="Verdana"/>
          <w:sz w:val="20"/>
          <w:lang w:eastAsia="cs-CZ"/>
        </w:rPr>
        <w:t>V případě zániku této smlouvy, nebo v případě, že bude tato smlouva shledána neplatnou nebo neúčinnou, zůstávají zachována ta práva a povinnosti, z jejichž povahy plyne, že mají trvat i po ukončení této smlouvy. To platí zejména pro závazek zachovávat mlčenlivost.</w:t>
      </w:r>
    </w:p>
    <w:p w:rsidR="00FB4A34" w:rsidRPr="0016146E" w:rsidRDefault="00FB4A34" w:rsidP="00403340">
      <w:pPr>
        <w:pStyle w:val="Nadpis1"/>
        <w:keepNext w:val="0"/>
        <w:keepLines w:val="0"/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Trvání smlouvy</w:t>
      </w:r>
    </w:p>
    <w:p w:rsidR="00FB4A34" w:rsidRPr="0016146E" w:rsidRDefault="00FB4A34" w:rsidP="00FB4A3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Tato smlouva se uzavírá s platností na dobu </w:t>
      </w:r>
      <w:r w:rsidR="00B22B0A" w:rsidRPr="006828A9">
        <w:rPr>
          <w:rFonts w:ascii="Verdana" w:hAnsi="Verdana"/>
          <w:b/>
          <w:sz w:val="20"/>
          <w:lang w:eastAsia="cs-CZ"/>
        </w:rPr>
        <w:t>určitou 12 měsíců</w:t>
      </w:r>
      <w:r w:rsidR="00A4605C">
        <w:rPr>
          <w:rFonts w:ascii="Verdana" w:hAnsi="Verdana"/>
          <w:b/>
          <w:sz w:val="20"/>
          <w:lang w:eastAsia="cs-CZ"/>
        </w:rPr>
        <w:t xml:space="preserve"> od </w:t>
      </w:r>
      <w:proofErr w:type="gramStart"/>
      <w:r w:rsidR="00A4605C">
        <w:rPr>
          <w:rFonts w:ascii="Verdana" w:hAnsi="Verdana"/>
          <w:b/>
          <w:sz w:val="20"/>
          <w:lang w:eastAsia="cs-CZ"/>
        </w:rPr>
        <w:t>1.2</w:t>
      </w:r>
      <w:r w:rsidR="00B22B0A" w:rsidRPr="00817925">
        <w:rPr>
          <w:rFonts w:ascii="Verdana" w:hAnsi="Verdana"/>
          <w:b/>
          <w:sz w:val="20"/>
          <w:lang w:eastAsia="cs-CZ"/>
        </w:rPr>
        <w:t>.202</w:t>
      </w:r>
      <w:r w:rsidR="00A4605C">
        <w:rPr>
          <w:rFonts w:ascii="Verdana" w:hAnsi="Verdana"/>
          <w:b/>
          <w:sz w:val="20"/>
          <w:lang w:eastAsia="cs-CZ"/>
        </w:rPr>
        <w:t>2</w:t>
      </w:r>
      <w:proofErr w:type="gramEnd"/>
      <w:r w:rsidR="00B22B0A" w:rsidRPr="006828A9">
        <w:rPr>
          <w:rFonts w:ascii="Verdana" w:hAnsi="Verdana"/>
          <w:sz w:val="20"/>
          <w:lang w:eastAsia="cs-CZ"/>
        </w:rPr>
        <w:t>.</w:t>
      </w:r>
    </w:p>
    <w:p w:rsidR="00FB4A34" w:rsidRDefault="00FB4A34" w:rsidP="00FB4A3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Kterákoliv ze smluvních stra</w:t>
      </w:r>
      <w:r>
        <w:rPr>
          <w:rFonts w:ascii="Verdana" w:hAnsi="Verdana"/>
          <w:sz w:val="20"/>
          <w:lang w:eastAsia="cs-CZ"/>
        </w:rPr>
        <w:t>n</w:t>
      </w:r>
      <w:r w:rsidRPr="0016146E">
        <w:rPr>
          <w:rFonts w:ascii="Verdana" w:hAnsi="Verdana"/>
          <w:sz w:val="20"/>
          <w:lang w:eastAsia="cs-CZ"/>
        </w:rPr>
        <w:t xml:space="preserve"> je oprávněna tuto smlouvu vypovědět. Výpovědní </w:t>
      </w:r>
      <w:r>
        <w:rPr>
          <w:rFonts w:ascii="Verdana" w:hAnsi="Verdana"/>
          <w:sz w:val="20"/>
          <w:lang w:eastAsia="cs-CZ"/>
        </w:rPr>
        <w:t>doba</w:t>
      </w:r>
      <w:r w:rsidRPr="0016146E">
        <w:rPr>
          <w:rFonts w:ascii="Verdana" w:hAnsi="Verdana"/>
          <w:sz w:val="20"/>
          <w:lang w:eastAsia="cs-CZ"/>
        </w:rPr>
        <w:t xml:space="preserve"> činí 3 měsíce a počíná běžet prvního dne měsíce následujícího po doručení výpovědi druhé smluvní straně.</w:t>
      </w:r>
    </w:p>
    <w:p w:rsidR="00693FD1" w:rsidRDefault="00693FD1" w:rsidP="00403340">
      <w:pPr>
        <w:pStyle w:val="Nadpis1"/>
        <w:keepNext w:val="0"/>
        <w:keepLines w:val="0"/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Samostatné ujednání – registr smluv</w:t>
      </w:r>
    </w:p>
    <w:p w:rsidR="00693FD1" w:rsidRDefault="00693FD1" w:rsidP="00693FD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93FD1">
        <w:rPr>
          <w:rFonts w:ascii="Verdana" w:hAnsi="Verdana"/>
          <w:sz w:val="20"/>
          <w:lang w:eastAsia="cs-CZ"/>
        </w:rPr>
        <w:t>V případě, že tato smlouva podléhá uveřejnění v registru smluv dle zákona č. 340/2015 Sb., o zvláštních podmínkách účinnosti některých smluv, uveřejňování těchto smluv a o registru smluv (zákon o registru smluv), uzavírají smluvní s</w:t>
      </w:r>
      <w:r>
        <w:rPr>
          <w:rFonts w:ascii="Verdana" w:hAnsi="Verdana"/>
          <w:sz w:val="20"/>
          <w:lang w:eastAsia="cs-CZ"/>
        </w:rPr>
        <w:t>trany toto samostatné ujednání.</w:t>
      </w:r>
    </w:p>
    <w:p w:rsidR="00693FD1" w:rsidRDefault="00693FD1" w:rsidP="00693FD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93FD1">
        <w:rPr>
          <w:rFonts w:ascii="Verdana" w:hAnsi="Verdana"/>
          <w:sz w:val="20"/>
          <w:lang w:eastAsia="cs-CZ"/>
        </w:rPr>
        <w:t xml:space="preserve">Smluvní strany se dohodly, že uveřejnění této smlouvy v registru smluv zajistí </w:t>
      </w:r>
      <w:r>
        <w:rPr>
          <w:rFonts w:ascii="Verdana" w:hAnsi="Verdana"/>
          <w:sz w:val="20"/>
          <w:lang w:eastAsia="cs-CZ"/>
        </w:rPr>
        <w:t>příjemce</w:t>
      </w:r>
      <w:r w:rsidRPr="00693FD1">
        <w:rPr>
          <w:rFonts w:ascii="Verdana" w:hAnsi="Verdana"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>Poskytovatel</w:t>
      </w:r>
      <w:r w:rsidRPr="00693FD1">
        <w:rPr>
          <w:rFonts w:ascii="Verdana" w:hAnsi="Verdana"/>
          <w:sz w:val="20"/>
          <w:lang w:eastAsia="cs-CZ"/>
        </w:rPr>
        <w:t xml:space="preserve"> se zavazuje nejpozději při podpisu této smlouvy označit ty části smlouvy a ty údaje, které požaduje v souladu se zákonem o registru smluv vyloučit z uveřejnění (obchodní tajemství, osobní údaje apod.). Jinak platí, že souhlasí</w:t>
      </w:r>
      <w:r>
        <w:rPr>
          <w:rFonts w:ascii="Verdana" w:hAnsi="Verdana"/>
          <w:sz w:val="20"/>
          <w:lang w:eastAsia="cs-CZ"/>
        </w:rPr>
        <w:t xml:space="preserve"> s uveřejněním v plném rozsahu.</w:t>
      </w:r>
    </w:p>
    <w:p w:rsidR="00693FD1" w:rsidRDefault="00693FD1" w:rsidP="00693FD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shodně prohlašují, že za své obchodní tajemství považují obsah přílohy této smlouvy.</w:t>
      </w:r>
    </w:p>
    <w:p w:rsidR="004F3B2C" w:rsidRDefault="004F3B2C" w:rsidP="00693FD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Plnění poskytnuté přede dnem účinnosti této smlouvy se ode dne její účinnosti považuje za plnění dle této smlouvy.</w:t>
      </w:r>
    </w:p>
    <w:p w:rsidR="0033430B" w:rsidRDefault="00693FD1" w:rsidP="00693FD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93FD1">
        <w:rPr>
          <w:rFonts w:ascii="Verdana" w:hAnsi="Verdana"/>
          <w:sz w:val="20"/>
          <w:lang w:eastAsia="cs-CZ"/>
        </w:rPr>
        <w:t>Toto samostatné ujednání smluvních stran nabývá platnosti a účinnosti podpisem této smlouvy oprávněnými zástupci smluvních stran.</w:t>
      </w:r>
    </w:p>
    <w:p w:rsidR="00F56C56" w:rsidRPr="00D547BB" w:rsidRDefault="00E8754B" w:rsidP="00403340">
      <w:pPr>
        <w:pStyle w:val="Nadpis1"/>
        <w:keepNext w:val="0"/>
        <w:keepLines w:val="0"/>
        <w:spacing w:after="120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t>Závěrečná ustanovení</w:t>
      </w:r>
    </w:p>
    <w:p w:rsidR="00FB4A34" w:rsidRPr="00FB4A34" w:rsidRDefault="00FB4A34" w:rsidP="00FB4A3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B4A34">
        <w:rPr>
          <w:rFonts w:ascii="Verdana" w:hAnsi="Verdana"/>
          <w:sz w:val="20"/>
          <w:lang w:eastAsia="cs-CZ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:rsidR="00FB4A34" w:rsidRPr="00FB4A34" w:rsidRDefault="00FB4A34" w:rsidP="00FB4A3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B4A34">
        <w:rPr>
          <w:rFonts w:ascii="Verdana" w:hAnsi="Verdana"/>
          <w:sz w:val="20"/>
          <w:lang w:eastAsia="cs-CZ"/>
        </w:rPr>
        <w:lastRenderedPageBreak/>
        <w:t>Práva a povinnosti smluvních stran touto smlouvou výslovně neupravená se řídí příslušnými ustanoveními zákona č. 89/2012 Sb., občanský zákoník, zejména ustanoveními o smlouvě kupní.</w:t>
      </w:r>
    </w:p>
    <w:p w:rsidR="00FB4A34" w:rsidRPr="00FB4A34" w:rsidRDefault="00FB4A34" w:rsidP="00FB4A3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B4A34">
        <w:rPr>
          <w:rFonts w:ascii="Verdana" w:hAnsi="Verdana"/>
          <w:sz w:val="20"/>
          <w:lang w:eastAsia="cs-CZ"/>
        </w:rPr>
        <w:t>Jakékoli změny a doplňky této smlouvy jsou možné pouze ve formě písemných vzestupně číslovaných dodatků, podepsaných oprávněnými zástupci obou smluvních stran. Totéž platí i pro vzdání se písemné formy.</w:t>
      </w:r>
    </w:p>
    <w:p w:rsidR="00FB4A34" w:rsidRPr="00FB4A34" w:rsidRDefault="00FB4A34" w:rsidP="00FB4A3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B4A34">
        <w:rPr>
          <w:rFonts w:ascii="Verdana" w:hAnsi="Verdana"/>
          <w:sz w:val="20"/>
          <w:lang w:eastAsia="cs-CZ"/>
        </w:rPr>
        <w:t xml:space="preserve">Tato smlouva nabývá platnosti </w:t>
      </w:r>
      <w:r w:rsidR="004F3B2C" w:rsidRPr="00FB4A34">
        <w:rPr>
          <w:rFonts w:ascii="Verdana" w:hAnsi="Verdana"/>
          <w:sz w:val="20"/>
          <w:lang w:eastAsia="cs-CZ"/>
        </w:rPr>
        <w:t xml:space="preserve">a účinnosti </w:t>
      </w:r>
      <w:r w:rsidRPr="00FB4A34">
        <w:rPr>
          <w:rFonts w:ascii="Verdana" w:hAnsi="Verdana"/>
          <w:sz w:val="20"/>
          <w:lang w:eastAsia="cs-CZ"/>
        </w:rPr>
        <w:t>dnem jejího podpisu.</w:t>
      </w:r>
      <w:r w:rsidR="004F3B2C">
        <w:rPr>
          <w:rFonts w:ascii="Verdana" w:hAnsi="Verdana"/>
          <w:sz w:val="20"/>
          <w:lang w:eastAsia="cs-CZ"/>
        </w:rPr>
        <w:t xml:space="preserve"> V případě, že tato smlouva podléhá uveřejnění v registru smluv, nabývá účinnosti dnem uveřejnění.</w:t>
      </w:r>
    </w:p>
    <w:p w:rsidR="00FB4A34" w:rsidRPr="00FB4A34" w:rsidRDefault="00FB4A34" w:rsidP="00FB4A3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B4A34">
        <w:rPr>
          <w:rFonts w:ascii="Verdana" w:hAnsi="Verdana"/>
          <w:sz w:val="20"/>
          <w:lang w:eastAsia="cs-CZ"/>
        </w:rPr>
        <w:t>Tato smlouva je vypracována ve dvou vyhotoveních, z nichž každá smluvní strana obdrží po jednom.</w:t>
      </w:r>
    </w:p>
    <w:p w:rsidR="00E8754B" w:rsidRPr="0016146E" w:rsidRDefault="00FB4A34" w:rsidP="00FB4A3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B4A34">
        <w:rPr>
          <w:rFonts w:ascii="Verdana" w:hAnsi="Verdana"/>
          <w:sz w:val="20"/>
          <w:lang w:eastAsia="cs-CZ"/>
        </w:rPr>
        <w:t>Smluvní strany si smlouvu přečetly, jejímu obsahu rozumí a na důkaz toho připojují vlastnoruční podpisy svých oprávněných zástupců.</w:t>
      </w:r>
    </w:p>
    <w:p w:rsidR="00F56C56" w:rsidRDefault="00F56C56" w:rsidP="00A36608">
      <w:pPr>
        <w:tabs>
          <w:tab w:val="left" w:pos="567"/>
        </w:tabs>
        <w:spacing w:after="6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:rsidR="00584564" w:rsidRDefault="00584564" w:rsidP="00A36608">
      <w:pPr>
        <w:tabs>
          <w:tab w:val="left" w:pos="567"/>
        </w:tabs>
        <w:spacing w:after="6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>
        <w:rPr>
          <w:rFonts w:eastAsia="Times New Roman"/>
          <w:snapToGrid w:val="0"/>
          <w:sz w:val="20"/>
          <w:szCs w:val="20"/>
          <w:lang w:eastAsia="cs-CZ"/>
        </w:rPr>
        <w:t>Přílohy:</w:t>
      </w:r>
    </w:p>
    <w:p w:rsidR="0049355C" w:rsidRPr="00584564" w:rsidRDefault="009E3259" w:rsidP="0033430B">
      <w:pPr>
        <w:pStyle w:val="Odstavecseseznamem"/>
        <w:numPr>
          <w:ilvl w:val="0"/>
          <w:numId w:val="40"/>
        </w:numPr>
        <w:tabs>
          <w:tab w:val="left" w:pos="567"/>
        </w:tabs>
        <w:spacing w:after="60" w:line="240" w:lineRule="auto"/>
        <w:ind w:left="567" w:hanging="567"/>
        <w:jc w:val="both"/>
        <w:rPr>
          <w:rFonts w:eastAsia="Times New Roman"/>
          <w:snapToGrid w:val="0"/>
          <w:sz w:val="20"/>
          <w:szCs w:val="20"/>
          <w:lang w:eastAsia="cs-CZ"/>
        </w:rPr>
      </w:pPr>
      <w:r>
        <w:rPr>
          <w:rFonts w:eastAsia="Times New Roman"/>
          <w:snapToGrid w:val="0"/>
          <w:sz w:val="20"/>
          <w:szCs w:val="20"/>
          <w:lang w:eastAsia="cs-CZ"/>
        </w:rPr>
        <w:t>Bonusový systém</w:t>
      </w:r>
    </w:p>
    <w:p w:rsidR="00584564" w:rsidRDefault="00584564" w:rsidP="00A36608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:rsidR="0033430B" w:rsidRDefault="0033430B" w:rsidP="0033430B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/>
      </w:tblPr>
      <w:tblGrid>
        <w:gridCol w:w="4606"/>
        <w:gridCol w:w="4606"/>
      </w:tblGrid>
      <w:tr w:rsidR="0033430B" w:rsidRPr="0016146E" w:rsidTr="0033430B">
        <w:trPr>
          <w:jc w:val="center"/>
        </w:trPr>
        <w:tc>
          <w:tcPr>
            <w:tcW w:w="4606" w:type="dxa"/>
          </w:tcPr>
          <w:p w:rsidR="0033430B" w:rsidRPr="0016146E" w:rsidRDefault="0033430B" w:rsidP="00B22B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V</w:t>
            </w:r>
            <w:r w:rsidR="00465340">
              <w:rPr>
                <w:rFonts w:eastAsia="Times New Roman"/>
                <w:sz w:val="20"/>
                <w:szCs w:val="20"/>
                <w:lang w:eastAsia="cs-CZ"/>
              </w:rPr>
              <w:t xml:space="preserve"> Ostravě </w:t>
            </w: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dne </w:t>
            </w:r>
            <w:r w:rsidR="00B22B0A">
              <w:rPr>
                <w:rFonts w:eastAsia="Times New Roman"/>
                <w:sz w:val="20"/>
                <w:szCs w:val="20"/>
                <w:lang w:eastAsia="cs-CZ"/>
              </w:rPr>
              <w:t>___________</w:t>
            </w:r>
          </w:p>
        </w:tc>
        <w:tc>
          <w:tcPr>
            <w:tcW w:w="4606" w:type="dxa"/>
          </w:tcPr>
          <w:p w:rsidR="0033430B" w:rsidRPr="003F7A39" w:rsidRDefault="001C2B21" w:rsidP="003343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______________</w:t>
            </w:r>
          </w:p>
        </w:tc>
      </w:tr>
      <w:tr w:rsidR="001C2B21" w:rsidRPr="0016146E" w:rsidTr="0033430B">
        <w:trPr>
          <w:trHeight w:val="120"/>
          <w:jc w:val="center"/>
        </w:trPr>
        <w:tc>
          <w:tcPr>
            <w:tcW w:w="4606" w:type="dxa"/>
          </w:tcPr>
          <w:p w:rsidR="001C2B21" w:rsidRPr="00D643D3" w:rsidRDefault="001C2B21" w:rsidP="003343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1C2B21" w:rsidRDefault="001C2B21" w:rsidP="003343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1C2B21" w:rsidRDefault="001C2B21" w:rsidP="003343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1C2B21" w:rsidRDefault="001C2B21" w:rsidP="003343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1C2B21" w:rsidRPr="00D643D3" w:rsidRDefault="001C2B21" w:rsidP="003343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1C2B21" w:rsidRDefault="00465340" w:rsidP="0033430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MEDITRADE spol. s.r.o.</w:t>
            </w:r>
          </w:p>
          <w:p w:rsidR="00465340" w:rsidRPr="00D643D3" w:rsidRDefault="00465340" w:rsidP="003343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:rsidR="001C2B21" w:rsidRPr="00D643D3" w:rsidRDefault="001C2B21" w:rsidP="00B22B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1C2B21" w:rsidRDefault="001C2B21" w:rsidP="00B22B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1C2B21" w:rsidRDefault="001C2B21" w:rsidP="00B22B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1C2B21" w:rsidRDefault="001C2B21" w:rsidP="00B22B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1C2B21" w:rsidRPr="00D643D3" w:rsidRDefault="001C2B21" w:rsidP="00B22B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1C2B21" w:rsidRPr="00D643D3" w:rsidRDefault="001C2B21" w:rsidP="00B22B0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1C2B21" w:rsidRPr="00D643D3" w:rsidRDefault="001C2B21" w:rsidP="00B22B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:rsidR="001C2B21" w:rsidRPr="00D643D3" w:rsidRDefault="001C2B21" w:rsidP="00B22B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1C2B21" w:rsidRPr="0016146E" w:rsidTr="001C2B21">
        <w:trPr>
          <w:trHeight w:val="1200"/>
          <w:jc w:val="center"/>
        </w:trPr>
        <w:tc>
          <w:tcPr>
            <w:tcW w:w="4606" w:type="dxa"/>
          </w:tcPr>
          <w:p w:rsidR="001C2B21" w:rsidRPr="00D643D3" w:rsidRDefault="001C2B21" w:rsidP="001C2B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:rsidR="001C2B21" w:rsidRPr="00D643D3" w:rsidRDefault="001C2B21" w:rsidP="00B22B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1C2B21" w:rsidRDefault="001C2B21" w:rsidP="00B22B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1C2B21" w:rsidRPr="00D643D3" w:rsidRDefault="001C2B21" w:rsidP="00B22B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1C2B21" w:rsidRDefault="001C2B21" w:rsidP="00B22B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1C2B21" w:rsidRDefault="001C2B21" w:rsidP="00B22B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1C2B21" w:rsidRPr="00D643D3" w:rsidRDefault="001C2B21" w:rsidP="00B22B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1C2B21" w:rsidRPr="00D643D3" w:rsidRDefault="001C2B21" w:rsidP="00B22B0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1C2B21" w:rsidRPr="00D643D3" w:rsidRDefault="00B22B0A" w:rsidP="00B22B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:rsidR="001C2B21" w:rsidRPr="00D643D3" w:rsidRDefault="001C2B21" w:rsidP="00B22B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:rsidR="002544D2" w:rsidRDefault="002544D2">
      <w:pPr>
        <w:spacing w:after="0" w:line="240" w:lineRule="auto"/>
        <w:rPr>
          <w:sz w:val="20"/>
        </w:rPr>
      </w:pPr>
      <w:r>
        <w:rPr>
          <w:sz w:val="20"/>
        </w:rPr>
        <w:br w:type="page"/>
      </w:r>
    </w:p>
    <w:p w:rsidR="002544D2" w:rsidRPr="002544D2" w:rsidRDefault="002544D2" w:rsidP="002544D2">
      <w:pPr>
        <w:tabs>
          <w:tab w:val="left" w:pos="567"/>
        </w:tabs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lastRenderedPageBreak/>
        <w:t>Příloha - b</w:t>
      </w:r>
      <w:r w:rsidRPr="002544D2">
        <w:rPr>
          <w:b/>
          <w:sz w:val="20"/>
        </w:rPr>
        <w:t>onusový systém</w:t>
      </w:r>
    </w:p>
    <w:p w:rsidR="002544D2" w:rsidRPr="002544D2" w:rsidRDefault="002544D2" w:rsidP="002544D2">
      <w:pPr>
        <w:tabs>
          <w:tab w:val="left" w:pos="567"/>
        </w:tabs>
        <w:spacing w:after="0" w:line="240" w:lineRule="auto"/>
        <w:jc w:val="both"/>
        <w:rPr>
          <w:sz w:val="20"/>
        </w:rPr>
      </w:pPr>
    </w:p>
    <w:p w:rsidR="002544D2" w:rsidRPr="002544D2" w:rsidRDefault="002544D2" w:rsidP="002544D2">
      <w:pPr>
        <w:tabs>
          <w:tab w:val="left" w:pos="567"/>
        </w:tabs>
        <w:spacing w:after="0" w:line="240" w:lineRule="auto"/>
        <w:jc w:val="both"/>
        <w:rPr>
          <w:sz w:val="20"/>
        </w:rPr>
      </w:pPr>
    </w:p>
    <w:p w:rsidR="002544D2" w:rsidRPr="002544D2" w:rsidRDefault="00A4605C" w:rsidP="002544D2">
      <w:pPr>
        <w:tabs>
          <w:tab w:val="left" w:pos="567"/>
        </w:tabs>
        <w:spacing w:after="0" w:line="240" w:lineRule="auto"/>
        <w:jc w:val="both"/>
        <w:rPr>
          <w:sz w:val="20"/>
        </w:rPr>
      </w:pPr>
      <w:r>
        <w:rPr>
          <w:sz w:val="20"/>
        </w:rPr>
        <w:t>(Obchodní tajemství)</w:t>
      </w:r>
    </w:p>
    <w:p w:rsidR="0033430B" w:rsidRPr="002544D2" w:rsidRDefault="0033430B" w:rsidP="0033430B">
      <w:pPr>
        <w:tabs>
          <w:tab w:val="left" w:pos="567"/>
        </w:tabs>
        <w:spacing w:after="0" w:line="240" w:lineRule="auto"/>
        <w:jc w:val="both"/>
        <w:rPr>
          <w:sz w:val="20"/>
        </w:rPr>
      </w:pPr>
    </w:p>
    <w:p w:rsidR="00F56C56" w:rsidRPr="00BD0687" w:rsidRDefault="00F56C56" w:rsidP="0033430B">
      <w:pPr>
        <w:tabs>
          <w:tab w:val="left" w:pos="567"/>
        </w:tabs>
        <w:spacing w:after="0" w:line="240" w:lineRule="auto"/>
        <w:jc w:val="both"/>
        <w:rPr>
          <w:sz w:val="2"/>
          <w:szCs w:val="20"/>
        </w:rPr>
      </w:pPr>
    </w:p>
    <w:sectPr w:rsidR="00F56C56" w:rsidRPr="00BD0687" w:rsidSect="00403340">
      <w:headerReference w:type="default" r:id="rId8"/>
      <w:footerReference w:type="even" r:id="rId9"/>
      <w:footerReference w:type="default" r:id="rId10"/>
      <w:type w:val="continuous"/>
      <w:pgSz w:w="11906" w:h="16838"/>
      <w:pgMar w:top="2234" w:right="1134" w:bottom="1985" w:left="1418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C6F" w:rsidRDefault="00257C6F">
      <w:r>
        <w:separator/>
      </w:r>
    </w:p>
  </w:endnote>
  <w:endnote w:type="continuationSeparator" w:id="0">
    <w:p w:rsidR="00257C6F" w:rsidRDefault="00257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B0A" w:rsidRDefault="000733A5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22B0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2B0A" w:rsidRDefault="00B22B0A" w:rsidP="00A57CF7">
    <w:pPr>
      <w:pStyle w:val="Zpat"/>
      <w:ind w:right="360"/>
    </w:pPr>
  </w:p>
  <w:p w:rsidR="00B22B0A" w:rsidRDefault="00B22B0A"/>
  <w:p w:rsidR="00B22B0A" w:rsidRDefault="00B22B0A" w:rsidP="00A57C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B0A" w:rsidRDefault="00B22B0A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  <w:sz w:val="18"/>
        <w:szCs w:val="18"/>
      </w:rPr>
      <w:t xml:space="preserve">Stránka </w:t>
    </w:r>
    <w:r w:rsidR="000733A5"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PAGE  </w:instrText>
    </w:r>
    <w:r w:rsidR="000733A5">
      <w:rPr>
        <w:rStyle w:val="slostrnky"/>
        <w:sz w:val="18"/>
        <w:szCs w:val="18"/>
      </w:rPr>
      <w:fldChar w:fldCharType="separate"/>
    </w:r>
    <w:r w:rsidR="00A4605C">
      <w:rPr>
        <w:rStyle w:val="slostrnky"/>
        <w:noProof/>
        <w:sz w:val="18"/>
        <w:szCs w:val="18"/>
      </w:rPr>
      <w:t>5</w:t>
    </w:r>
    <w:r w:rsidR="000733A5">
      <w:rPr>
        <w:rStyle w:val="slostrnky"/>
        <w:sz w:val="18"/>
        <w:szCs w:val="18"/>
      </w:rPr>
      <w:fldChar w:fldCharType="end"/>
    </w:r>
    <w:r>
      <w:rPr>
        <w:rStyle w:val="slostrnky"/>
        <w:sz w:val="18"/>
        <w:szCs w:val="18"/>
      </w:rPr>
      <w:t xml:space="preserve"> z </w:t>
    </w:r>
    <w:fldSimple w:instr=" NUMPAGES  \* Arabic  \* MERGEFORMAT ">
      <w:r w:rsidR="00A4605C" w:rsidRPr="00A4605C">
        <w:rPr>
          <w:rStyle w:val="slostrnky"/>
          <w:noProof/>
          <w:sz w:val="18"/>
          <w:szCs w:val="18"/>
        </w:rPr>
        <w:t>5</w:t>
      </w:r>
    </w:fldSimple>
  </w:p>
  <w:p w:rsidR="00B22B0A" w:rsidRDefault="00B22B0A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33A5" w:rsidRPr="000733A5"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75.4pt;margin-top:-27.8pt;width:625.7pt;height:0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/s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XI8xUiS&#10;DiR6PjoVKqOpH0+vbQZRhdwb3yA9y1f9ouh3i6QqGiJrHoLfLhpyE58RvUvxF6uhyKH/rBjEEMAP&#10;szpXpvOQMAV0DpJc7pLws0MUPi5W6Xy6AuXo4ItINiRqY90nrjrkjRxbZ4ioG1coKUF4ZZJQhpxe&#10;rPO0SDYk+KpS7UTbBv1bifocr2aTWUiwqhXMO32YNfWhaA06Edigxc7/Qo/geQwz6ihZAGs4Ydub&#10;7YhorzYUb6XHg8aAzs26rsiPVbzaLrfLdJRO5ttRGpfl6HlXpKP5LlnMymlZFGXy01NL0qwRjHHp&#10;2Q3rmqR/tw63h3NdtPvC3scQvUcP8wKyw38gHZT1Yl7X4qDYZW8GxWFDQ/DtNfkn8HgH+/HNb34B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XjQf7CACAAA7BAAADgAAAAAAAAAAAAAAAAAuAgAAZHJzL2Uyb0RvYy54bWxQ&#10;SwECLQAUAAYACAAAACEAV74gnd4AAAANAQAADwAAAAAAAAAAAAAAAAB6BAAAZHJzL2Rvd25yZXYu&#10;eG1sUEsFBgAAAAAEAAQA8wAAAIUFAAAAAA==&#10;" strokecolor="#7f7f7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C6F" w:rsidRDefault="00257C6F">
      <w:r>
        <w:separator/>
      </w:r>
    </w:p>
  </w:footnote>
  <w:footnote w:type="continuationSeparator" w:id="0">
    <w:p w:rsidR="00257C6F" w:rsidRDefault="00257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B0A" w:rsidRDefault="00B22B0A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4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22B0A" w:rsidRDefault="00B22B0A"/>
  <w:p w:rsidR="00B22B0A" w:rsidRDefault="00B22B0A" w:rsidP="00A57C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2295553A"/>
    <w:multiLevelType w:val="hybridMultilevel"/>
    <w:tmpl w:val="8E5CF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6410D36"/>
    <w:multiLevelType w:val="hybridMultilevel"/>
    <w:tmpl w:val="FBE42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C1EA3"/>
    <w:multiLevelType w:val="multilevel"/>
    <w:tmpl w:val="064CF28C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4B06087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22EA5"/>
    <w:multiLevelType w:val="hybridMultilevel"/>
    <w:tmpl w:val="B79A2C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D17AA"/>
    <w:multiLevelType w:val="hybridMultilevel"/>
    <w:tmpl w:val="3A5684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E4DED"/>
    <w:multiLevelType w:val="hybridMultilevel"/>
    <w:tmpl w:val="D6F2C0F6"/>
    <w:lvl w:ilvl="0" w:tplc="D40A2E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985D72"/>
    <w:multiLevelType w:val="hybridMultilevel"/>
    <w:tmpl w:val="58A077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9163C"/>
    <w:multiLevelType w:val="hybridMultilevel"/>
    <w:tmpl w:val="006A35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861CF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4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8"/>
  </w:num>
  <w:num w:numId="12">
    <w:abstractNumId w:val="0"/>
  </w:num>
  <w:num w:numId="13">
    <w:abstractNumId w:val="1"/>
  </w:num>
  <w:num w:numId="14">
    <w:abstractNumId w:val="6"/>
  </w:num>
  <w:num w:numId="15">
    <w:abstractNumId w:val="2"/>
  </w:num>
  <w:num w:numId="16">
    <w:abstractNumId w:val="6"/>
  </w:num>
  <w:num w:numId="17">
    <w:abstractNumId w:val="3"/>
  </w:num>
  <w:num w:numId="18">
    <w:abstractNumId w:val="12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6"/>
  </w:num>
  <w:num w:numId="33">
    <w:abstractNumId w:val="6"/>
  </w:num>
  <w:num w:numId="34">
    <w:abstractNumId w:val="10"/>
  </w:num>
  <w:num w:numId="35">
    <w:abstractNumId w:val="6"/>
  </w:num>
  <w:num w:numId="36">
    <w:abstractNumId w:val="9"/>
  </w:num>
  <w:num w:numId="37">
    <w:abstractNumId w:val="6"/>
  </w:num>
  <w:num w:numId="38">
    <w:abstractNumId w:val="6"/>
  </w:num>
  <w:num w:numId="39">
    <w:abstractNumId w:val="6"/>
  </w:num>
  <w:num w:numId="40">
    <w:abstractNumId w:val="5"/>
  </w:num>
  <w:num w:numId="41">
    <w:abstractNumId w:val="6"/>
  </w:num>
  <w:num w:numId="42">
    <w:abstractNumId w:val="6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3ACA"/>
    <w:rsid w:val="00003716"/>
    <w:rsid w:val="00011916"/>
    <w:rsid w:val="00012FF6"/>
    <w:rsid w:val="00014484"/>
    <w:rsid w:val="00032211"/>
    <w:rsid w:val="00034009"/>
    <w:rsid w:val="00060BEF"/>
    <w:rsid w:val="000733A5"/>
    <w:rsid w:val="0008675B"/>
    <w:rsid w:val="000963BA"/>
    <w:rsid w:val="000A49D5"/>
    <w:rsid w:val="000A5F06"/>
    <w:rsid w:val="000B1196"/>
    <w:rsid w:val="000B4463"/>
    <w:rsid w:val="000D0159"/>
    <w:rsid w:val="000D0823"/>
    <w:rsid w:val="000D1171"/>
    <w:rsid w:val="000D2739"/>
    <w:rsid w:val="000D4A77"/>
    <w:rsid w:val="000D5743"/>
    <w:rsid w:val="000F4174"/>
    <w:rsid w:val="000F7AB2"/>
    <w:rsid w:val="0010006E"/>
    <w:rsid w:val="00116D6B"/>
    <w:rsid w:val="00134C50"/>
    <w:rsid w:val="00136DD3"/>
    <w:rsid w:val="00143163"/>
    <w:rsid w:val="00145AC4"/>
    <w:rsid w:val="0014746A"/>
    <w:rsid w:val="001522EE"/>
    <w:rsid w:val="00152353"/>
    <w:rsid w:val="0016146E"/>
    <w:rsid w:val="00167CE4"/>
    <w:rsid w:val="001707A6"/>
    <w:rsid w:val="00172CB3"/>
    <w:rsid w:val="00192DCB"/>
    <w:rsid w:val="001A01F7"/>
    <w:rsid w:val="001A05EC"/>
    <w:rsid w:val="001A0C10"/>
    <w:rsid w:val="001B65FE"/>
    <w:rsid w:val="001C1FBF"/>
    <w:rsid w:val="001C25CF"/>
    <w:rsid w:val="001C2B21"/>
    <w:rsid w:val="001E0551"/>
    <w:rsid w:val="001E6029"/>
    <w:rsid w:val="001F3306"/>
    <w:rsid w:val="00205C95"/>
    <w:rsid w:val="0021485A"/>
    <w:rsid w:val="00215C5A"/>
    <w:rsid w:val="00235807"/>
    <w:rsid w:val="00236C81"/>
    <w:rsid w:val="0024026F"/>
    <w:rsid w:val="002415F1"/>
    <w:rsid w:val="002416DF"/>
    <w:rsid w:val="002544D2"/>
    <w:rsid w:val="00257C6F"/>
    <w:rsid w:val="0026484B"/>
    <w:rsid w:val="00266B68"/>
    <w:rsid w:val="0026761F"/>
    <w:rsid w:val="00272642"/>
    <w:rsid w:val="00282B6F"/>
    <w:rsid w:val="002A772E"/>
    <w:rsid w:val="002B58CD"/>
    <w:rsid w:val="002B7AC2"/>
    <w:rsid w:val="002C1A09"/>
    <w:rsid w:val="002C1C14"/>
    <w:rsid w:val="002C7F1E"/>
    <w:rsid w:val="002D0768"/>
    <w:rsid w:val="002D58E7"/>
    <w:rsid w:val="002E2028"/>
    <w:rsid w:val="002E37B0"/>
    <w:rsid w:val="002F274A"/>
    <w:rsid w:val="00306A55"/>
    <w:rsid w:val="003101C8"/>
    <w:rsid w:val="0031047A"/>
    <w:rsid w:val="003113D3"/>
    <w:rsid w:val="00317851"/>
    <w:rsid w:val="003319C2"/>
    <w:rsid w:val="0033430B"/>
    <w:rsid w:val="00335A6B"/>
    <w:rsid w:val="00342C52"/>
    <w:rsid w:val="00350301"/>
    <w:rsid w:val="00362A5B"/>
    <w:rsid w:val="00366BCB"/>
    <w:rsid w:val="00390F93"/>
    <w:rsid w:val="0039291B"/>
    <w:rsid w:val="0039689D"/>
    <w:rsid w:val="00397B61"/>
    <w:rsid w:val="003A748D"/>
    <w:rsid w:val="003B2CA0"/>
    <w:rsid w:val="003D4F04"/>
    <w:rsid w:val="003E1D1D"/>
    <w:rsid w:val="003E3FFC"/>
    <w:rsid w:val="00403340"/>
    <w:rsid w:val="0040339C"/>
    <w:rsid w:val="00415B20"/>
    <w:rsid w:val="00435AAD"/>
    <w:rsid w:val="00457C6F"/>
    <w:rsid w:val="00465340"/>
    <w:rsid w:val="00470FCF"/>
    <w:rsid w:val="004714AE"/>
    <w:rsid w:val="00485BC4"/>
    <w:rsid w:val="0049355C"/>
    <w:rsid w:val="004A2D67"/>
    <w:rsid w:val="004A75EF"/>
    <w:rsid w:val="004D2FF1"/>
    <w:rsid w:val="004D79A1"/>
    <w:rsid w:val="004F3B2C"/>
    <w:rsid w:val="00500D6E"/>
    <w:rsid w:val="00502EF7"/>
    <w:rsid w:val="00511D1C"/>
    <w:rsid w:val="00515C4F"/>
    <w:rsid w:val="00516B57"/>
    <w:rsid w:val="0052107F"/>
    <w:rsid w:val="005313B8"/>
    <w:rsid w:val="00535EF7"/>
    <w:rsid w:val="005405FD"/>
    <w:rsid w:val="005475E5"/>
    <w:rsid w:val="00552375"/>
    <w:rsid w:val="0055579A"/>
    <w:rsid w:val="00556CD2"/>
    <w:rsid w:val="00556D49"/>
    <w:rsid w:val="00557E96"/>
    <w:rsid w:val="0057081A"/>
    <w:rsid w:val="0057262C"/>
    <w:rsid w:val="00573221"/>
    <w:rsid w:val="00576168"/>
    <w:rsid w:val="00581809"/>
    <w:rsid w:val="00584564"/>
    <w:rsid w:val="00585248"/>
    <w:rsid w:val="005860F5"/>
    <w:rsid w:val="005A0520"/>
    <w:rsid w:val="005A5998"/>
    <w:rsid w:val="005A70E1"/>
    <w:rsid w:val="005B278E"/>
    <w:rsid w:val="005B702E"/>
    <w:rsid w:val="005C03CA"/>
    <w:rsid w:val="005C3260"/>
    <w:rsid w:val="005C6497"/>
    <w:rsid w:val="005F4D6F"/>
    <w:rsid w:val="006028F3"/>
    <w:rsid w:val="00625EB4"/>
    <w:rsid w:val="00632C06"/>
    <w:rsid w:val="00634AF3"/>
    <w:rsid w:val="00635ECF"/>
    <w:rsid w:val="006370D6"/>
    <w:rsid w:val="00644203"/>
    <w:rsid w:val="00645751"/>
    <w:rsid w:val="006573B9"/>
    <w:rsid w:val="00664B0F"/>
    <w:rsid w:val="006877BF"/>
    <w:rsid w:val="00692AE0"/>
    <w:rsid w:val="00693FD1"/>
    <w:rsid w:val="006B7F60"/>
    <w:rsid w:val="006D4A18"/>
    <w:rsid w:val="006D5D82"/>
    <w:rsid w:val="006D6595"/>
    <w:rsid w:val="006E1F40"/>
    <w:rsid w:val="006F264F"/>
    <w:rsid w:val="006F32A0"/>
    <w:rsid w:val="006F549A"/>
    <w:rsid w:val="007046F7"/>
    <w:rsid w:val="007128F1"/>
    <w:rsid w:val="007212D4"/>
    <w:rsid w:val="007225A1"/>
    <w:rsid w:val="007229D8"/>
    <w:rsid w:val="007231FE"/>
    <w:rsid w:val="00732F76"/>
    <w:rsid w:val="00733BCA"/>
    <w:rsid w:val="0073643D"/>
    <w:rsid w:val="007444F1"/>
    <w:rsid w:val="0074683A"/>
    <w:rsid w:val="0075045F"/>
    <w:rsid w:val="00762F8E"/>
    <w:rsid w:val="00764986"/>
    <w:rsid w:val="00765E32"/>
    <w:rsid w:val="007729FB"/>
    <w:rsid w:val="007770E7"/>
    <w:rsid w:val="0078524E"/>
    <w:rsid w:val="00793F0F"/>
    <w:rsid w:val="007A0A89"/>
    <w:rsid w:val="007C7E44"/>
    <w:rsid w:val="007D5720"/>
    <w:rsid w:val="007D7359"/>
    <w:rsid w:val="007E43D8"/>
    <w:rsid w:val="007E759A"/>
    <w:rsid w:val="007F60E2"/>
    <w:rsid w:val="00804972"/>
    <w:rsid w:val="008164CC"/>
    <w:rsid w:val="00821323"/>
    <w:rsid w:val="00827D96"/>
    <w:rsid w:val="008326EE"/>
    <w:rsid w:val="008352C7"/>
    <w:rsid w:val="00837A65"/>
    <w:rsid w:val="00845C22"/>
    <w:rsid w:val="00857EF3"/>
    <w:rsid w:val="00860A31"/>
    <w:rsid w:val="00865C05"/>
    <w:rsid w:val="00871948"/>
    <w:rsid w:val="008735A0"/>
    <w:rsid w:val="00873A41"/>
    <w:rsid w:val="00874637"/>
    <w:rsid w:val="008932B1"/>
    <w:rsid w:val="008A3912"/>
    <w:rsid w:val="008B6FF5"/>
    <w:rsid w:val="008C2845"/>
    <w:rsid w:val="008C49D1"/>
    <w:rsid w:val="008C6992"/>
    <w:rsid w:val="008D063D"/>
    <w:rsid w:val="008D7562"/>
    <w:rsid w:val="008D7CCE"/>
    <w:rsid w:val="008E3ACA"/>
    <w:rsid w:val="00906089"/>
    <w:rsid w:val="00906EE1"/>
    <w:rsid w:val="00910BD7"/>
    <w:rsid w:val="009160DB"/>
    <w:rsid w:val="009168F1"/>
    <w:rsid w:val="00925228"/>
    <w:rsid w:val="00927678"/>
    <w:rsid w:val="00943889"/>
    <w:rsid w:val="00947D33"/>
    <w:rsid w:val="009505E0"/>
    <w:rsid w:val="009561B8"/>
    <w:rsid w:val="009612D5"/>
    <w:rsid w:val="00961A3B"/>
    <w:rsid w:val="009639A0"/>
    <w:rsid w:val="00973534"/>
    <w:rsid w:val="009755AD"/>
    <w:rsid w:val="0098273B"/>
    <w:rsid w:val="00983318"/>
    <w:rsid w:val="009A04B9"/>
    <w:rsid w:val="009A4CA7"/>
    <w:rsid w:val="009B0AF3"/>
    <w:rsid w:val="009B19DF"/>
    <w:rsid w:val="009B3E84"/>
    <w:rsid w:val="009B6A60"/>
    <w:rsid w:val="009C3392"/>
    <w:rsid w:val="009E31EE"/>
    <w:rsid w:val="009E3259"/>
    <w:rsid w:val="009E75D9"/>
    <w:rsid w:val="009F6CA7"/>
    <w:rsid w:val="00A03819"/>
    <w:rsid w:val="00A03C1A"/>
    <w:rsid w:val="00A05A88"/>
    <w:rsid w:val="00A07F4B"/>
    <w:rsid w:val="00A119FB"/>
    <w:rsid w:val="00A14155"/>
    <w:rsid w:val="00A16116"/>
    <w:rsid w:val="00A23961"/>
    <w:rsid w:val="00A23AD9"/>
    <w:rsid w:val="00A24F6C"/>
    <w:rsid w:val="00A32FE4"/>
    <w:rsid w:val="00A339A5"/>
    <w:rsid w:val="00A36608"/>
    <w:rsid w:val="00A4605C"/>
    <w:rsid w:val="00A515BD"/>
    <w:rsid w:val="00A553AA"/>
    <w:rsid w:val="00A57CF7"/>
    <w:rsid w:val="00A70AF4"/>
    <w:rsid w:val="00A715A7"/>
    <w:rsid w:val="00A73BAA"/>
    <w:rsid w:val="00A812E8"/>
    <w:rsid w:val="00A83E83"/>
    <w:rsid w:val="00A873EF"/>
    <w:rsid w:val="00A94815"/>
    <w:rsid w:val="00AB177C"/>
    <w:rsid w:val="00AB768E"/>
    <w:rsid w:val="00AD2757"/>
    <w:rsid w:val="00AE5B6C"/>
    <w:rsid w:val="00B0382B"/>
    <w:rsid w:val="00B22B0A"/>
    <w:rsid w:val="00B32030"/>
    <w:rsid w:val="00B32A18"/>
    <w:rsid w:val="00B354AD"/>
    <w:rsid w:val="00B6060E"/>
    <w:rsid w:val="00B65EB9"/>
    <w:rsid w:val="00B715E4"/>
    <w:rsid w:val="00B802E9"/>
    <w:rsid w:val="00B92773"/>
    <w:rsid w:val="00B95AB0"/>
    <w:rsid w:val="00BA74A4"/>
    <w:rsid w:val="00BB4CFA"/>
    <w:rsid w:val="00BD0687"/>
    <w:rsid w:val="00BD4A63"/>
    <w:rsid w:val="00BD4E54"/>
    <w:rsid w:val="00BE09F9"/>
    <w:rsid w:val="00BF1136"/>
    <w:rsid w:val="00BF2F7D"/>
    <w:rsid w:val="00BF7173"/>
    <w:rsid w:val="00C019BD"/>
    <w:rsid w:val="00C02B12"/>
    <w:rsid w:val="00C1338C"/>
    <w:rsid w:val="00C22A61"/>
    <w:rsid w:val="00C23587"/>
    <w:rsid w:val="00C34F81"/>
    <w:rsid w:val="00C46230"/>
    <w:rsid w:val="00C465CF"/>
    <w:rsid w:val="00C55752"/>
    <w:rsid w:val="00C62A05"/>
    <w:rsid w:val="00C70E46"/>
    <w:rsid w:val="00C73BAB"/>
    <w:rsid w:val="00CA17AC"/>
    <w:rsid w:val="00CA1988"/>
    <w:rsid w:val="00CA4E08"/>
    <w:rsid w:val="00CB268A"/>
    <w:rsid w:val="00CB63DD"/>
    <w:rsid w:val="00CC3BEB"/>
    <w:rsid w:val="00CE31FD"/>
    <w:rsid w:val="00CE561B"/>
    <w:rsid w:val="00CE6C49"/>
    <w:rsid w:val="00CF2F26"/>
    <w:rsid w:val="00CF6DF4"/>
    <w:rsid w:val="00D04C54"/>
    <w:rsid w:val="00D05E7F"/>
    <w:rsid w:val="00D06A72"/>
    <w:rsid w:val="00D11CFD"/>
    <w:rsid w:val="00D13F38"/>
    <w:rsid w:val="00D14B78"/>
    <w:rsid w:val="00D1615F"/>
    <w:rsid w:val="00D20809"/>
    <w:rsid w:val="00D3138C"/>
    <w:rsid w:val="00D31870"/>
    <w:rsid w:val="00D32194"/>
    <w:rsid w:val="00D44964"/>
    <w:rsid w:val="00D547BB"/>
    <w:rsid w:val="00D62756"/>
    <w:rsid w:val="00D70A8A"/>
    <w:rsid w:val="00D72DAC"/>
    <w:rsid w:val="00DA35E2"/>
    <w:rsid w:val="00DB4717"/>
    <w:rsid w:val="00DC3250"/>
    <w:rsid w:val="00DD0996"/>
    <w:rsid w:val="00DD6FB5"/>
    <w:rsid w:val="00DD73E1"/>
    <w:rsid w:val="00DE3DAD"/>
    <w:rsid w:val="00DF1F28"/>
    <w:rsid w:val="00DF6EBF"/>
    <w:rsid w:val="00E04DE8"/>
    <w:rsid w:val="00E14724"/>
    <w:rsid w:val="00E15A69"/>
    <w:rsid w:val="00E21398"/>
    <w:rsid w:val="00E223B8"/>
    <w:rsid w:val="00E22A98"/>
    <w:rsid w:val="00E34601"/>
    <w:rsid w:val="00E36FC7"/>
    <w:rsid w:val="00E406D1"/>
    <w:rsid w:val="00E61483"/>
    <w:rsid w:val="00E83902"/>
    <w:rsid w:val="00E87035"/>
    <w:rsid w:val="00E8754B"/>
    <w:rsid w:val="00E90D24"/>
    <w:rsid w:val="00EA0B45"/>
    <w:rsid w:val="00EB1EC4"/>
    <w:rsid w:val="00EB5412"/>
    <w:rsid w:val="00EB5774"/>
    <w:rsid w:val="00EB71F4"/>
    <w:rsid w:val="00EC326C"/>
    <w:rsid w:val="00EC516E"/>
    <w:rsid w:val="00ED3622"/>
    <w:rsid w:val="00ED6015"/>
    <w:rsid w:val="00EE0FFF"/>
    <w:rsid w:val="00EF3CA2"/>
    <w:rsid w:val="00F07CA2"/>
    <w:rsid w:val="00F11A21"/>
    <w:rsid w:val="00F11CC8"/>
    <w:rsid w:val="00F26C94"/>
    <w:rsid w:val="00F532F5"/>
    <w:rsid w:val="00F56C56"/>
    <w:rsid w:val="00F60B50"/>
    <w:rsid w:val="00F615E9"/>
    <w:rsid w:val="00F62635"/>
    <w:rsid w:val="00F728CB"/>
    <w:rsid w:val="00F77C79"/>
    <w:rsid w:val="00F80207"/>
    <w:rsid w:val="00F834E4"/>
    <w:rsid w:val="00F85CF9"/>
    <w:rsid w:val="00F97900"/>
    <w:rsid w:val="00FA3172"/>
    <w:rsid w:val="00FA6250"/>
    <w:rsid w:val="00FB3886"/>
    <w:rsid w:val="00FB40D5"/>
    <w:rsid w:val="00FB4A34"/>
    <w:rsid w:val="00FB58DC"/>
    <w:rsid w:val="00FC4067"/>
    <w:rsid w:val="00FC7883"/>
    <w:rsid w:val="00FD184B"/>
    <w:rsid w:val="00FD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732F76"/>
    <w:rPr>
      <w:sz w:val="24"/>
      <w:lang w:eastAsia="de-DE"/>
    </w:rPr>
  </w:style>
  <w:style w:type="table" w:styleId="Mkatabulky">
    <w:name w:val="Table Grid"/>
    <w:basedOn w:val="Normlntabulka"/>
    <w:rsid w:val="00145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14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45AC4"/>
    <w:rPr>
      <w:rFonts w:ascii="Tahoma" w:eastAsia="Calibri" w:hAnsi="Tahoma" w:cs="Tahoma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rsid w:val="0049355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49355C"/>
    <w:rPr>
      <w:rFonts w:ascii="Verdana" w:eastAsia="Calibri" w:hAnsi="Verdana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192D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192D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92DCB"/>
    <w:rPr>
      <w:rFonts w:ascii="Verdana" w:eastAsia="Calibri" w:hAnsi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192D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92DCB"/>
    <w:rPr>
      <w:rFonts w:ascii="Verdana" w:eastAsia="Calibri" w:hAnsi="Verdana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Pta">
    <w:name w:val="footer"/>
    <w:basedOn w:val="Normlny"/>
    <w:link w:val="Pta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any">
    <w:name w:val="page number"/>
    <w:basedOn w:val="Predvolenpsmoodseku"/>
    <w:rsid w:val="00A57CF7"/>
  </w:style>
  <w:style w:type="character" w:customStyle="1" w:styleId="Nadpis1Char">
    <w:name w:val="Nadpis 1 Char"/>
    <w:basedOn w:val="Predvolenpsmoodseku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y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Predvolenpsmoodseku"/>
    <w:rsid w:val="00F77C79"/>
    <w:rPr>
      <w:rFonts w:ascii="Courier New" w:hAnsi="Courier New" w:cs="Courier New" w:hint="default"/>
      <w:sz w:val="22"/>
    </w:rPr>
  </w:style>
  <w:style w:type="character" w:styleId="Hypertextovprepojenie">
    <w:name w:val="Hyperlink"/>
    <w:basedOn w:val="Predvolenpsmoodseku"/>
    <w:rsid w:val="00515C4F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584564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rsid w:val="00732F76"/>
    <w:rPr>
      <w:sz w:val="24"/>
      <w:lang w:eastAsia="de-DE"/>
    </w:rPr>
  </w:style>
  <w:style w:type="table" w:styleId="Mriekatabuky">
    <w:name w:val="Table Grid"/>
    <w:basedOn w:val="Normlnatabuka"/>
    <w:rsid w:val="00145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145AC4"/>
    <w:rPr>
      <w:rFonts w:ascii="Tahoma" w:eastAsia="Calibri" w:hAnsi="Tahoma" w:cs="Tahoma"/>
      <w:sz w:val="16"/>
      <w:szCs w:val="16"/>
      <w:lang w:eastAsia="en-US"/>
    </w:rPr>
  </w:style>
  <w:style w:type="paragraph" w:styleId="Zkladntext2">
    <w:name w:val="Body Text 2"/>
    <w:basedOn w:val="Normlny"/>
    <w:link w:val="Zkladntext2Char"/>
    <w:rsid w:val="0049355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49355C"/>
    <w:rPr>
      <w:rFonts w:ascii="Verdana" w:eastAsia="Calibri" w:hAnsi="Verdana"/>
      <w:sz w:val="22"/>
      <w:szCs w:val="22"/>
      <w:lang w:eastAsia="en-US"/>
    </w:rPr>
  </w:style>
  <w:style w:type="character" w:styleId="Odkaznakomentr">
    <w:name w:val="annotation reference"/>
    <w:basedOn w:val="Predvolenpsmoodseku"/>
    <w:rsid w:val="00192DCB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92DC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192DCB"/>
    <w:rPr>
      <w:rFonts w:ascii="Verdana" w:eastAsia="Calibri" w:hAnsi="Verdana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192D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192DCB"/>
    <w:rPr>
      <w:rFonts w:ascii="Verdana" w:eastAsia="Calibri" w:hAnsi="Verdana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1FFDB-73D9-48B4-8764-3E5F9CA7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1301</Words>
  <Characters>7678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Smlouva o poskytnutí obratového bonusu</vt:lpstr>
      <vt:lpstr>Smlouva o poskytnutí obratového bonusu</vt:lpstr>
    </vt:vector>
  </TitlesOfParts>
  <Company>ONMB a.s.</Company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obratového bonusu</dc:title>
  <dc:creator>osc26648</dc:creator>
  <cp:lastModifiedBy>Tomáš Bělovský</cp:lastModifiedBy>
  <cp:revision>6</cp:revision>
  <cp:lastPrinted>2018-11-20T13:32:00Z</cp:lastPrinted>
  <dcterms:created xsi:type="dcterms:W3CDTF">2021-02-05T13:28:00Z</dcterms:created>
  <dcterms:modified xsi:type="dcterms:W3CDTF">2022-02-17T09:04:00Z</dcterms:modified>
</cp:coreProperties>
</file>