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 xml:space="preserve">nám. Čsl. </w:t>
      </w:r>
      <w:proofErr w:type="gramStart"/>
      <w:r w:rsidR="00173E17" w:rsidRPr="00173E17">
        <w:t>armády</w:t>
      </w:r>
      <w:proofErr w:type="gramEnd"/>
      <w:r w:rsidR="00173E17" w:rsidRPr="00173E17">
        <w:t xml:space="preserve">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173E17">
        <w:rPr>
          <w:b/>
          <w:bCs/>
        </w:rPr>
        <w:t>Objednatel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BB0982" w:rsidRPr="00BB0982" w:rsidRDefault="00BB0982" w:rsidP="00BB0982">
      <w:pPr>
        <w:rPr>
          <w:b/>
          <w:bCs/>
        </w:rPr>
      </w:pPr>
      <w:r w:rsidRPr="00BB0982">
        <w:rPr>
          <w:b/>
          <w:bCs/>
        </w:rPr>
        <w:t>BRNOFROST spol. s r.o.</w:t>
      </w:r>
    </w:p>
    <w:p w:rsidR="00BB0982" w:rsidRPr="00BB0982" w:rsidRDefault="001B45EB" w:rsidP="00BB0982">
      <w:r>
        <w:t>Sídlo:</w:t>
      </w:r>
      <w:r>
        <w:tab/>
      </w:r>
      <w:r>
        <w:tab/>
      </w:r>
      <w:r w:rsidR="00BB0982" w:rsidRPr="00BB0982">
        <w:t>Brno - Černovice, Charbulova 535/74, PSČ 61800</w:t>
      </w:r>
    </w:p>
    <w:p w:rsidR="001B45EB" w:rsidRDefault="001B45EB" w:rsidP="001B45EB">
      <w:r>
        <w:t>IČO:</w:t>
      </w:r>
      <w:r>
        <w:tab/>
      </w:r>
      <w:r>
        <w:tab/>
      </w:r>
      <w:r w:rsidR="00BB0982" w:rsidRPr="00BB0982">
        <w:t>44017553</w:t>
      </w:r>
    </w:p>
    <w:p w:rsidR="001B45EB" w:rsidRDefault="001B45EB" w:rsidP="001B45EB">
      <w:pPr>
        <w:rPr>
          <w:bCs/>
        </w:rPr>
      </w:pPr>
      <w:r>
        <w:t>DIČ:</w:t>
      </w:r>
      <w:r>
        <w:tab/>
      </w:r>
      <w:r>
        <w:tab/>
      </w:r>
      <w:r w:rsidR="00173E17" w:rsidRPr="00173E17">
        <w:rPr>
          <w:bCs/>
        </w:rPr>
        <w:t>CZ</w:t>
      </w:r>
      <w:r w:rsidR="009C5CC6" w:rsidRPr="002F0EE6">
        <w:rPr>
          <w:bCs/>
        </w:rPr>
        <w:t>44017553</w:t>
      </w:r>
    </w:p>
    <w:p w:rsidR="00BB0982" w:rsidRDefault="00173E17" w:rsidP="00BB0982">
      <w:pPr>
        <w:spacing w:before="60" w:after="60"/>
      </w:pPr>
      <w:r>
        <w:t xml:space="preserve">společnost zapsána v Obchodním rejstříku vedeném Krajským soudem v Brně, oddíl C, vložka </w:t>
      </w:r>
      <w:r w:rsidR="00BB0982" w:rsidRPr="00BB0982">
        <w:t>3849</w:t>
      </w:r>
    </w:p>
    <w:p w:rsidR="001B45EB" w:rsidRDefault="00173E17" w:rsidP="00BB0982">
      <w:pPr>
        <w:spacing w:before="60" w:after="60"/>
      </w:pPr>
      <w:r w:rsidRPr="00B21389">
        <w:t>zastoupená</w:t>
      </w:r>
      <w:r w:rsidR="001B45EB" w:rsidRPr="00B21389">
        <w:t>:</w:t>
      </w:r>
      <w:r w:rsidR="001B45EB" w:rsidRPr="00B21389">
        <w:tab/>
      </w:r>
      <w:r w:rsidR="005B69D4">
        <w:t>Robert Nikodém</w:t>
      </w:r>
      <w:r w:rsidR="008058DF" w:rsidRPr="00B21389">
        <w:t>,</w:t>
      </w:r>
      <w:r w:rsidR="008058DF">
        <w:t xml:space="preserve"> </w:t>
      </w:r>
      <w:r>
        <w:t>jednatelem</w:t>
      </w:r>
    </w:p>
    <w:p w:rsidR="00173E17" w:rsidRDefault="00173E17" w:rsidP="001B45EB">
      <w:bookmarkStart w:id="0" w:name="_GoBack"/>
      <w:bookmarkEnd w:id="0"/>
    </w:p>
    <w:p w:rsidR="001B45EB" w:rsidRDefault="001B45EB" w:rsidP="001B45EB">
      <w:r>
        <w:t>(dále jen „</w:t>
      </w:r>
      <w:r w:rsidR="00BB0982">
        <w:rPr>
          <w:b/>
          <w:bCs/>
        </w:rPr>
        <w:t>Dodavatel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677EDA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BB0982">
        <w:t>9. 3. 2020</w:t>
      </w:r>
      <w:r w:rsidR="0037115B">
        <w:t xml:space="preserve"> </w:t>
      </w:r>
      <w:r w:rsidR="00BB0982">
        <w:t>na základě o</w:t>
      </w:r>
      <w:r w:rsidR="00BB0982" w:rsidRPr="00BB0982">
        <w:t>bjednávky č. 3/20/Ú</w:t>
      </w:r>
      <w:r w:rsidR="00BB0982">
        <w:t xml:space="preserve"> </w:t>
      </w:r>
      <w:r>
        <w:t>uzavřel</w:t>
      </w:r>
      <w:r w:rsidR="00BB0982">
        <w:t>i</w:t>
      </w:r>
      <w:r>
        <w:t xml:space="preserve"> </w:t>
      </w:r>
      <w:r w:rsidR="002E0661">
        <w:t>smlouvu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Dodavatel zavázal pro Objednatele zajistit likvidaci kapalného čpavku v pivovaru Vyškov a dále následnou technickou pomoc při odvětrání čpavkových rozvodů bez použití čpavkových kompresorů</w:t>
      </w:r>
      <w:r w:rsidR="009A1A31">
        <w:t xml:space="preserve"> (dále jen „</w:t>
      </w:r>
      <w:r w:rsidR="00672BEB" w:rsidRPr="00BB0982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objednávka </w:t>
      </w:r>
      <w:r w:rsidRPr="002E0EA3">
        <w:t>je součástí Přílohy č. 1 této Dohody</w:t>
      </w:r>
      <w:r>
        <w:t xml:space="preserve"> </w:t>
      </w:r>
      <w:r w:rsidR="007522EA">
        <w:t>(dále jen „</w:t>
      </w:r>
      <w:r w:rsidR="007522EA" w:rsidRPr="00BB0982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</w:p>
    <w:p w:rsidR="00C05F72" w:rsidRDefault="00C05F72" w:rsidP="00343F39">
      <w:pPr>
        <w:pStyle w:val="Odstavecseseznamem"/>
        <w:numPr>
          <w:ilvl w:val="1"/>
          <w:numId w:val="1"/>
        </w:numPr>
        <w:jc w:val="both"/>
      </w:pPr>
      <w:r>
        <w:t xml:space="preserve">Objednatel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Pr="00507D16">
        <w:rPr>
          <w:b/>
          <w:bCs/>
        </w:rPr>
        <w:t>zákon o registru smluv</w:t>
      </w:r>
      <w:r w:rsidR="002C0866">
        <w:t>“)</w:t>
      </w:r>
      <w:r>
        <w:t xml:space="preserve">, povinnost </w:t>
      </w:r>
      <w:r w:rsidR="000B76CC">
        <w:t>S</w:t>
      </w:r>
      <w:r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lastRenderedPageBreak/>
        <w:t>Účastníci prohlašují, že</w:t>
      </w:r>
      <w:r w:rsidR="00AC373B">
        <w:t xml:space="preserve"> </w:t>
      </w:r>
      <w:r w:rsidR="00BB0982">
        <w:t>Dodavatel</w:t>
      </w:r>
      <w:r w:rsidR="00AC373B" w:rsidRPr="00507D16">
        <w:t xml:space="preserve"> poskytl Objednateli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t xml:space="preserve">Účastníci prohlašují, že Objednatel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BB0982">
        <w:t>Dodavatelem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3536D7">
        <w:t>Dodavatelem</w:t>
      </w:r>
      <w:r w:rsidR="00D52A87">
        <w:t xml:space="preserve"> Objednateli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E1307E" w:rsidRPr="009B77AE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</w:p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3536D7">
        <w:t>Dodavatelem</w:t>
      </w:r>
      <w:r w:rsidR="00C55F74">
        <w:t xml:space="preserve"> Objednateli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C55F74" w:rsidRPr="00507D16">
        <w:t xml:space="preserve">Objednatelem </w:t>
      </w:r>
      <w:r w:rsidR="003536D7">
        <w:t xml:space="preserve">Dodavateli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Objednateli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poskytnuté </w:t>
      </w:r>
      <w:r w:rsidR="003536D7">
        <w:rPr>
          <w:bCs/>
        </w:rPr>
        <w:t>Dodavatelem</w:t>
      </w:r>
      <w:r>
        <w:rPr>
          <w:bCs/>
        </w:rPr>
        <w:t xml:space="preserve"> Objednateli 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Objednatel </w:t>
      </w:r>
      <w:r w:rsidR="003536D7">
        <w:rPr>
          <w:bCs/>
        </w:rPr>
        <w:t>Dodavateli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3536D7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Dodavatel</w:t>
      </w:r>
      <w:r w:rsidR="002E0EA3" w:rsidRPr="008C46A4">
        <w:rPr>
          <w:bCs/>
        </w:rPr>
        <w:t xml:space="preserve"> bere na vědomí, že </w:t>
      </w:r>
      <w:r w:rsidR="00581B29">
        <w:rPr>
          <w:bCs/>
        </w:rPr>
        <w:t>Objednatel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Ne</w:t>
      </w:r>
      <w:r w:rsidR="004D5D14">
        <w:t>dílnou součástí této Dohody je následující Příloha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3536D7">
        <w:t xml:space="preserve">Objednávka </w:t>
      </w:r>
      <w:r w:rsidR="003536D7" w:rsidRPr="00BB0982">
        <w:t>č. 3/20/Ú</w:t>
      </w:r>
      <w:r w:rsidR="003536D7">
        <w:t xml:space="preserve"> ze dne 9. 3. 2020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3536D7">
        <w:t>Dodavatele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5B69D4">
              <w:t>Ve Vyškově</w:t>
            </w:r>
            <w:r w:rsidR="00044A94" w:rsidRPr="005B69D4">
              <w:t xml:space="preserve"> dne </w:t>
            </w:r>
            <w:proofErr w:type="gramStart"/>
            <w:r w:rsidR="005B69D4">
              <w:t>1.2.2022</w:t>
            </w:r>
            <w:proofErr w:type="gramEnd"/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B21389" w:rsidRPr="00BB0982" w:rsidRDefault="00F25040" w:rsidP="00B21389">
            <w:pPr>
              <w:jc w:val="both"/>
            </w:pPr>
            <w:r w:rsidRPr="005B69D4">
              <w:t xml:space="preserve">V </w:t>
            </w:r>
            <w:r w:rsidR="005B69D4">
              <w:t>Brně</w:t>
            </w:r>
            <w:r w:rsidR="00B21389" w:rsidRPr="005B69D4">
              <w:t xml:space="preserve"> dne </w:t>
            </w:r>
            <w:r w:rsidR="005B69D4">
              <w:t>1.2.2022</w:t>
            </w:r>
          </w:p>
          <w:p w:rsidR="00D33594" w:rsidRPr="00BB0982" w:rsidRDefault="00D335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3536D7" w:rsidRPr="00BB0982" w:rsidRDefault="003536D7" w:rsidP="003536D7">
            <w:pPr>
              <w:rPr>
                <w:b/>
                <w:bCs/>
              </w:rPr>
            </w:pPr>
            <w:r w:rsidRPr="00BB0982">
              <w:rPr>
                <w:b/>
                <w:bCs/>
              </w:rPr>
              <w:t>BRNOFROST spol. s r.o.</w:t>
            </w:r>
          </w:p>
          <w:p w:rsidR="00D33594" w:rsidRDefault="005B69D4" w:rsidP="005B69D4">
            <w:pPr>
              <w:jc w:val="both"/>
            </w:pPr>
            <w:r w:rsidRPr="005B69D4">
              <w:t>Robert Nikodém</w:t>
            </w:r>
            <w:r w:rsidR="00F70976" w:rsidRPr="005B69D4">
              <w:t>, jednatel</w:t>
            </w: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BD5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4D" w:rsidRDefault="0036104D" w:rsidP="00B71DEA">
      <w:r>
        <w:separator/>
      </w:r>
    </w:p>
  </w:endnote>
  <w:endnote w:type="continuationSeparator" w:id="0">
    <w:p w:rsidR="0036104D" w:rsidRDefault="0036104D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4D" w:rsidRDefault="0036104D" w:rsidP="00B71DEA">
      <w:r>
        <w:separator/>
      </w:r>
    </w:p>
  </w:footnote>
  <w:footnote w:type="continuationSeparator" w:id="0">
    <w:p w:rsidR="0036104D" w:rsidRDefault="0036104D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44A94"/>
    <w:rsid w:val="00080165"/>
    <w:rsid w:val="00095FD4"/>
    <w:rsid w:val="000B76CC"/>
    <w:rsid w:val="000C56F1"/>
    <w:rsid w:val="000D39BE"/>
    <w:rsid w:val="000D6C35"/>
    <w:rsid w:val="000E2103"/>
    <w:rsid w:val="000E7DA5"/>
    <w:rsid w:val="000F2C9E"/>
    <w:rsid w:val="00120551"/>
    <w:rsid w:val="00126807"/>
    <w:rsid w:val="00173E17"/>
    <w:rsid w:val="001A6642"/>
    <w:rsid w:val="001B32D3"/>
    <w:rsid w:val="001B45EB"/>
    <w:rsid w:val="001C12C3"/>
    <w:rsid w:val="001C1F9B"/>
    <w:rsid w:val="001F2838"/>
    <w:rsid w:val="00232480"/>
    <w:rsid w:val="00285169"/>
    <w:rsid w:val="00296F56"/>
    <w:rsid w:val="002C0866"/>
    <w:rsid w:val="002E0661"/>
    <w:rsid w:val="002E0EA3"/>
    <w:rsid w:val="002F0EE6"/>
    <w:rsid w:val="002F7676"/>
    <w:rsid w:val="00305633"/>
    <w:rsid w:val="003175C3"/>
    <w:rsid w:val="00330D95"/>
    <w:rsid w:val="00331351"/>
    <w:rsid w:val="00333482"/>
    <w:rsid w:val="00341016"/>
    <w:rsid w:val="003536D7"/>
    <w:rsid w:val="0036104D"/>
    <w:rsid w:val="0037115B"/>
    <w:rsid w:val="003C2F37"/>
    <w:rsid w:val="003C36C5"/>
    <w:rsid w:val="003E114F"/>
    <w:rsid w:val="003F75FF"/>
    <w:rsid w:val="0041271A"/>
    <w:rsid w:val="00432A32"/>
    <w:rsid w:val="00435463"/>
    <w:rsid w:val="00436826"/>
    <w:rsid w:val="00497D08"/>
    <w:rsid w:val="004A36C0"/>
    <w:rsid w:val="004B5C38"/>
    <w:rsid w:val="004D5997"/>
    <w:rsid w:val="004D5D14"/>
    <w:rsid w:val="004E7691"/>
    <w:rsid w:val="004E7AE4"/>
    <w:rsid w:val="00501369"/>
    <w:rsid w:val="00507D16"/>
    <w:rsid w:val="0053138D"/>
    <w:rsid w:val="005350DC"/>
    <w:rsid w:val="005663F9"/>
    <w:rsid w:val="00581B29"/>
    <w:rsid w:val="005B69D4"/>
    <w:rsid w:val="005D4716"/>
    <w:rsid w:val="005E250D"/>
    <w:rsid w:val="005E546A"/>
    <w:rsid w:val="005F5F0C"/>
    <w:rsid w:val="00613441"/>
    <w:rsid w:val="0065330F"/>
    <w:rsid w:val="00672BEB"/>
    <w:rsid w:val="00691A66"/>
    <w:rsid w:val="006A139B"/>
    <w:rsid w:val="00716495"/>
    <w:rsid w:val="00750CA7"/>
    <w:rsid w:val="007522EA"/>
    <w:rsid w:val="0076504C"/>
    <w:rsid w:val="00765071"/>
    <w:rsid w:val="007761AA"/>
    <w:rsid w:val="0079004D"/>
    <w:rsid w:val="007D15D6"/>
    <w:rsid w:val="007F0D43"/>
    <w:rsid w:val="00805802"/>
    <w:rsid w:val="008058DF"/>
    <w:rsid w:val="008117D6"/>
    <w:rsid w:val="0083143B"/>
    <w:rsid w:val="00842CED"/>
    <w:rsid w:val="008727D2"/>
    <w:rsid w:val="008A27A7"/>
    <w:rsid w:val="008B546A"/>
    <w:rsid w:val="008C46A4"/>
    <w:rsid w:val="008E0303"/>
    <w:rsid w:val="00900CAB"/>
    <w:rsid w:val="00901560"/>
    <w:rsid w:val="009118FF"/>
    <w:rsid w:val="00911C85"/>
    <w:rsid w:val="00914DCD"/>
    <w:rsid w:val="00920E11"/>
    <w:rsid w:val="00923A68"/>
    <w:rsid w:val="00945B76"/>
    <w:rsid w:val="00950A4A"/>
    <w:rsid w:val="009929FF"/>
    <w:rsid w:val="009A1A31"/>
    <w:rsid w:val="009A6A23"/>
    <w:rsid w:val="009B77AE"/>
    <w:rsid w:val="009C5CC6"/>
    <w:rsid w:val="009D1729"/>
    <w:rsid w:val="009E1116"/>
    <w:rsid w:val="00A002EF"/>
    <w:rsid w:val="00A11CA5"/>
    <w:rsid w:val="00A34444"/>
    <w:rsid w:val="00A4350D"/>
    <w:rsid w:val="00A445B8"/>
    <w:rsid w:val="00A754F7"/>
    <w:rsid w:val="00A83570"/>
    <w:rsid w:val="00A94B07"/>
    <w:rsid w:val="00AA0783"/>
    <w:rsid w:val="00AC373B"/>
    <w:rsid w:val="00AD7CE3"/>
    <w:rsid w:val="00B03CCF"/>
    <w:rsid w:val="00B21389"/>
    <w:rsid w:val="00B62F18"/>
    <w:rsid w:val="00B67A42"/>
    <w:rsid w:val="00B71DEA"/>
    <w:rsid w:val="00B75C93"/>
    <w:rsid w:val="00BB0982"/>
    <w:rsid w:val="00BB1658"/>
    <w:rsid w:val="00BC6B80"/>
    <w:rsid w:val="00BD5F55"/>
    <w:rsid w:val="00C05F72"/>
    <w:rsid w:val="00C31AFE"/>
    <w:rsid w:val="00C4486B"/>
    <w:rsid w:val="00C55F74"/>
    <w:rsid w:val="00CD00C7"/>
    <w:rsid w:val="00D04AF4"/>
    <w:rsid w:val="00D0603D"/>
    <w:rsid w:val="00D10DE6"/>
    <w:rsid w:val="00D174B3"/>
    <w:rsid w:val="00D33594"/>
    <w:rsid w:val="00D342D3"/>
    <w:rsid w:val="00D51D03"/>
    <w:rsid w:val="00D52A87"/>
    <w:rsid w:val="00D64E1F"/>
    <w:rsid w:val="00D927A7"/>
    <w:rsid w:val="00D978A0"/>
    <w:rsid w:val="00DD186D"/>
    <w:rsid w:val="00DD3A42"/>
    <w:rsid w:val="00E05953"/>
    <w:rsid w:val="00E1307E"/>
    <w:rsid w:val="00E300ED"/>
    <w:rsid w:val="00E4444C"/>
    <w:rsid w:val="00E62DE8"/>
    <w:rsid w:val="00E92776"/>
    <w:rsid w:val="00E97F3C"/>
    <w:rsid w:val="00EB172C"/>
    <w:rsid w:val="00EB7B32"/>
    <w:rsid w:val="00F11469"/>
    <w:rsid w:val="00F137EA"/>
    <w:rsid w:val="00F24133"/>
    <w:rsid w:val="00F25040"/>
    <w:rsid w:val="00F37E47"/>
    <w:rsid w:val="00F53AB1"/>
    <w:rsid w:val="00F70976"/>
    <w:rsid w:val="00F93CEE"/>
    <w:rsid w:val="00FA4626"/>
    <w:rsid w:val="00FB6183"/>
    <w:rsid w:val="00FD3D7D"/>
    <w:rsid w:val="00FE2437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C667-4CBA-4C8F-9CE0-6E2A743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2022-01-28T14:47:00Z</dcterms:created>
  <dcterms:modified xsi:type="dcterms:W3CDTF">2022-02-08T08:14:00Z</dcterms:modified>
</cp:coreProperties>
</file>