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D09647" w14:textId="77777777" w:rsidR="002412A6" w:rsidRPr="00451237" w:rsidRDefault="002412A6" w:rsidP="002412A6">
      <w:pPr>
        <w:spacing w:after="0" w:line="240" w:lineRule="auto"/>
        <w:jc w:val="center"/>
        <w:rPr>
          <w:rFonts w:asciiTheme="minorHAnsi" w:hAnsiTheme="minorHAnsi" w:cstheme="minorHAnsi"/>
          <w:sz w:val="28"/>
          <w:szCs w:val="26"/>
        </w:rPr>
      </w:pPr>
      <w:r w:rsidRPr="00451237">
        <w:rPr>
          <w:rFonts w:asciiTheme="minorHAnsi" w:eastAsia="Arial" w:hAnsiTheme="minorHAnsi" w:cstheme="minorHAnsi"/>
          <w:b/>
          <w:sz w:val="28"/>
          <w:szCs w:val="26"/>
        </w:rPr>
        <w:t>Smlouva o poskytnutí oprávnění k užití aplikace MONITORA</w:t>
      </w:r>
    </w:p>
    <w:p w14:paraId="1022041A" w14:textId="77777777" w:rsidR="002412A6" w:rsidRPr="00451237" w:rsidRDefault="002412A6" w:rsidP="002412A6">
      <w:pPr>
        <w:pStyle w:val="Bezmezer"/>
        <w:tabs>
          <w:tab w:val="left" w:pos="2977"/>
        </w:tabs>
        <w:jc w:val="center"/>
        <w:rPr>
          <w:rFonts w:asciiTheme="minorHAnsi" w:hAnsiTheme="minorHAnsi" w:cstheme="minorHAnsi"/>
        </w:rPr>
      </w:pPr>
      <w:r w:rsidRPr="00451237">
        <w:rPr>
          <w:rFonts w:asciiTheme="minorHAnsi" w:hAnsiTheme="minorHAnsi" w:cstheme="minorHAnsi"/>
        </w:rPr>
        <w:t>Smlouva č.: 113735 - Luděk Okénka</w:t>
      </w:r>
    </w:p>
    <w:p w14:paraId="040418EA" w14:textId="77777777" w:rsidR="002412A6" w:rsidRPr="00451237" w:rsidRDefault="002412A6" w:rsidP="002412A6">
      <w:pPr>
        <w:tabs>
          <w:tab w:val="left" w:pos="2835"/>
        </w:tabs>
        <w:spacing w:after="0" w:line="240" w:lineRule="auto"/>
        <w:jc w:val="both"/>
        <w:rPr>
          <w:rFonts w:asciiTheme="minorHAnsi" w:hAnsiTheme="minorHAnsi" w:cstheme="minorHAnsi"/>
          <w:sz w:val="22"/>
          <w:szCs w:val="22"/>
        </w:rPr>
      </w:pPr>
    </w:p>
    <w:p w14:paraId="2C3C76B7" w14:textId="77777777" w:rsidR="002412A6" w:rsidRPr="00451237" w:rsidRDefault="002412A6" w:rsidP="002412A6">
      <w:pPr>
        <w:tabs>
          <w:tab w:val="left" w:pos="2835"/>
        </w:tabs>
        <w:spacing w:after="0" w:line="240" w:lineRule="auto"/>
        <w:jc w:val="both"/>
        <w:rPr>
          <w:rFonts w:asciiTheme="minorHAnsi" w:eastAsia="Arial" w:hAnsiTheme="minorHAnsi" w:cstheme="minorHAnsi"/>
          <w:sz w:val="22"/>
          <w:szCs w:val="22"/>
        </w:rPr>
      </w:pPr>
    </w:p>
    <w:p w14:paraId="26A31CAE" w14:textId="77777777" w:rsidR="002412A6" w:rsidRPr="00451237" w:rsidRDefault="002412A6" w:rsidP="002412A6">
      <w:pPr>
        <w:tabs>
          <w:tab w:val="left" w:pos="2835"/>
        </w:tabs>
        <w:spacing w:after="0" w:line="240" w:lineRule="auto"/>
        <w:jc w:val="both"/>
        <w:rPr>
          <w:rFonts w:asciiTheme="minorHAnsi" w:hAnsiTheme="minorHAnsi" w:cstheme="minorHAnsi"/>
          <w:sz w:val="22"/>
          <w:szCs w:val="22"/>
        </w:rPr>
      </w:pPr>
      <w:r w:rsidRPr="00451237">
        <w:rPr>
          <w:rFonts w:asciiTheme="minorHAnsi" w:eastAsia="Arial" w:hAnsiTheme="minorHAnsi" w:cstheme="minorHAnsi"/>
          <w:sz w:val="22"/>
          <w:szCs w:val="22"/>
        </w:rPr>
        <w:t>Název:</w:t>
      </w:r>
      <w:r w:rsidRPr="00451237">
        <w:rPr>
          <w:rFonts w:asciiTheme="minorHAnsi" w:eastAsia="Arial" w:hAnsiTheme="minorHAnsi" w:cstheme="minorHAnsi"/>
          <w:sz w:val="22"/>
          <w:szCs w:val="22"/>
        </w:rPr>
        <w:tab/>
      </w:r>
      <w:proofErr w:type="spellStart"/>
      <w:r w:rsidRPr="002405F0">
        <w:rPr>
          <w:rFonts w:asciiTheme="minorHAnsi" w:eastAsia="Arial" w:hAnsiTheme="minorHAnsi" w:cstheme="minorHAnsi"/>
          <w:bCs/>
          <w:sz w:val="22"/>
          <w:szCs w:val="22"/>
        </w:rPr>
        <w:t>Monitora</w:t>
      </w:r>
      <w:proofErr w:type="spellEnd"/>
      <w:r w:rsidRPr="002405F0">
        <w:rPr>
          <w:rFonts w:asciiTheme="minorHAnsi" w:eastAsia="Arial" w:hAnsiTheme="minorHAnsi" w:cstheme="minorHAnsi"/>
          <w:bCs/>
          <w:sz w:val="22"/>
          <w:szCs w:val="22"/>
        </w:rPr>
        <w:t xml:space="preserve"> Media s.r.o.</w:t>
      </w:r>
      <w:r w:rsidRPr="00451237">
        <w:rPr>
          <w:rFonts w:asciiTheme="minorHAnsi" w:eastAsia="Arial" w:hAnsiTheme="minorHAnsi" w:cstheme="minorHAnsi"/>
          <w:sz w:val="22"/>
          <w:szCs w:val="22"/>
        </w:rPr>
        <w:t xml:space="preserve"> </w:t>
      </w:r>
    </w:p>
    <w:p w14:paraId="5A8FFCA7" w14:textId="77777777" w:rsidR="002412A6" w:rsidRPr="00615240" w:rsidRDefault="002412A6" w:rsidP="002412A6">
      <w:pPr>
        <w:tabs>
          <w:tab w:val="left" w:pos="2835"/>
        </w:tabs>
        <w:spacing w:after="0" w:line="240" w:lineRule="auto"/>
        <w:jc w:val="both"/>
        <w:rPr>
          <w:rFonts w:asciiTheme="minorHAnsi" w:hAnsiTheme="minorHAnsi" w:cstheme="minorHAnsi"/>
          <w:sz w:val="22"/>
          <w:szCs w:val="22"/>
        </w:rPr>
      </w:pPr>
      <w:r w:rsidRPr="00451237">
        <w:rPr>
          <w:rFonts w:asciiTheme="minorHAnsi" w:eastAsia="Arial" w:hAnsiTheme="minorHAnsi" w:cstheme="minorHAnsi"/>
          <w:sz w:val="22"/>
          <w:szCs w:val="22"/>
        </w:rPr>
        <w:t>Zápis v OR:</w:t>
      </w:r>
      <w:r w:rsidRPr="00451237">
        <w:rPr>
          <w:rFonts w:asciiTheme="minorHAnsi" w:eastAsia="Arial" w:hAnsiTheme="minorHAnsi" w:cstheme="minorHAnsi"/>
          <w:sz w:val="22"/>
          <w:szCs w:val="22"/>
        </w:rPr>
        <w:tab/>
        <w:t>Městský soud v Praze, oddíl C, vložka 2408</w:t>
      </w:r>
      <w:r w:rsidRPr="00615240">
        <w:rPr>
          <w:rFonts w:asciiTheme="minorHAnsi" w:eastAsia="Arial" w:hAnsiTheme="minorHAnsi" w:cstheme="minorHAnsi"/>
          <w:sz w:val="22"/>
          <w:szCs w:val="22"/>
        </w:rPr>
        <w:t>38</w:t>
      </w:r>
    </w:p>
    <w:p w14:paraId="60DC6A68" w14:textId="77777777" w:rsidR="002412A6" w:rsidRPr="00451237" w:rsidRDefault="002412A6" w:rsidP="002412A6">
      <w:pPr>
        <w:tabs>
          <w:tab w:val="left" w:pos="2835"/>
        </w:tabs>
        <w:spacing w:after="0" w:line="240" w:lineRule="auto"/>
        <w:jc w:val="both"/>
        <w:rPr>
          <w:rFonts w:asciiTheme="minorHAnsi" w:hAnsiTheme="minorHAnsi" w:cstheme="minorHAnsi"/>
          <w:sz w:val="22"/>
          <w:szCs w:val="22"/>
        </w:rPr>
      </w:pPr>
      <w:r w:rsidRPr="00615240">
        <w:rPr>
          <w:rFonts w:asciiTheme="minorHAnsi" w:eastAsia="Arial" w:hAnsiTheme="minorHAnsi" w:cstheme="minorHAnsi"/>
          <w:sz w:val="22"/>
          <w:szCs w:val="22"/>
        </w:rPr>
        <w:t>Sídlo:</w:t>
      </w:r>
      <w:r w:rsidRPr="00615240">
        <w:rPr>
          <w:rFonts w:asciiTheme="minorHAnsi" w:eastAsia="Arial" w:hAnsiTheme="minorHAnsi" w:cstheme="minorHAnsi"/>
          <w:sz w:val="22"/>
          <w:szCs w:val="22"/>
        </w:rPr>
        <w:tab/>
      </w:r>
      <w:r w:rsidRPr="00615240">
        <w:rPr>
          <w:sz w:val="22"/>
          <w:szCs w:val="22"/>
        </w:rPr>
        <w:t>Nádražní 762/32, Praha 5,  PSČ: 150 00</w:t>
      </w:r>
    </w:p>
    <w:p w14:paraId="02EB0C86" w14:textId="77777777" w:rsidR="002412A6" w:rsidRPr="00451237" w:rsidRDefault="002412A6" w:rsidP="002412A6">
      <w:pPr>
        <w:tabs>
          <w:tab w:val="left" w:pos="2835"/>
        </w:tabs>
        <w:spacing w:after="0" w:line="240" w:lineRule="auto"/>
        <w:jc w:val="both"/>
        <w:rPr>
          <w:rFonts w:asciiTheme="minorHAnsi" w:hAnsiTheme="minorHAnsi" w:cstheme="minorHAnsi"/>
          <w:sz w:val="22"/>
          <w:szCs w:val="22"/>
        </w:rPr>
      </w:pPr>
      <w:r w:rsidRPr="00451237">
        <w:rPr>
          <w:rFonts w:asciiTheme="minorHAnsi" w:eastAsia="Arial" w:hAnsiTheme="minorHAnsi" w:cstheme="minorHAnsi"/>
          <w:sz w:val="22"/>
          <w:szCs w:val="22"/>
        </w:rPr>
        <w:t xml:space="preserve">IČ:  </w:t>
      </w:r>
      <w:r w:rsidRPr="00451237">
        <w:rPr>
          <w:rFonts w:asciiTheme="minorHAnsi" w:eastAsia="Arial" w:hAnsiTheme="minorHAnsi" w:cstheme="minorHAnsi"/>
          <w:sz w:val="22"/>
          <w:szCs w:val="22"/>
        </w:rPr>
        <w:tab/>
        <w:t>03980481</w:t>
      </w:r>
    </w:p>
    <w:p w14:paraId="0E4C2402" w14:textId="77777777" w:rsidR="002412A6" w:rsidRPr="00451237" w:rsidRDefault="002412A6" w:rsidP="002412A6">
      <w:pPr>
        <w:tabs>
          <w:tab w:val="left" w:pos="2835"/>
        </w:tabs>
        <w:spacing w:after="0" w:line="240" w:lineRule="auto"/>
        <w:jc w:val="both"/>
        <w:rPr>
          <w:rFonts w:asciiTheme="minorHAnsi" w:hAnsiTheme="minorHAnsi" w:cstheme="minorHAnsi"/>
          <w:sz w:val="22"/>
          <w:szCs w:val="22"/>
        </w:rPr>
      </w:pPr>
      <w:r w:rsidRPr="00451237">
        <w:rPr>
          <w:rFonts w:asciiTheme="minorHAnsi" w:eastAsia="Arial" w:hAnsiTheme="minorHAnsi" w:cstheme="minorHAnsi"/>
          <w:sz w:val="22"/>
          <w:szCs w:val="22"/>
        </w:rPr>
        <w:t>DIČ:</w:t>
      </w:r>
      <w:r w:rsidRPr="00451237">
        <w:rPr>
          <w:rFonts w:asciiTheme="minorHAnsi" w:eastAsia="Arial" w:hAnsiTheme="minorHAnsi" w:cstheme="minorHAnsi"/>
          <w:sz w:val="22"/>
          <w:szCs w:val="22"/>
        </w:rPr>
        <w:tab/>
        <w:t>CZ03980481</w:t>
      </w:r>
    </w:p>
    <w:p w14:paraId="1A0E2477" w14:textId="77777777" w:rsidR="002412A6" w:rsidRPr="00451237" w:rsidRDefault="002412A6" w:rsidP="002412A6">
      <w:pPr>
        <w:tabs>
          <w:tab w:val="left" w:pos="2835"/>
        </w:tabs>
        <w:spacing w:after="0" w:line="240" w:lineRule="auto"/>
        <w:jc w:val="both"/>
        <w:rPr>
          <w:rFonts w:asciiTheme="minorHAnsi" w:hAnsiTheme="minorHAnsi" w:cstheme="minorHAnsi"/>
          <w:sz w:val="22"/>
          <w:szCs w:val="22"/>
        </w:rPr>
      </w:pPr>
      <w:r w:rsidRPr="00451237">
        <w:rPr>
          <w:rFonts w:asciiTheme="minorHAnsi" w:eastAsia="Arial" w:hAnsiTheme="minorHAnsi" w:cstheme="minorHAnsi"/>
          <w:sz w:val="22"/>
          <w:szCs w:val="22"/>
        </w:rPr>
        <w:t xml:space="preserve">Zastoupená:                            </w:t>
      </w:r>
      <w:r w:rsidRPr="00451237">
        <w:rPr>
          <w:rFonts w:asciiTheme="minorHAnsi" w:eastAsia="Arial" w:hAnsiTheme="minorHAnsi" w:cstheme="minorHAnsi"/>
          <w:sz w:val="22"/>
          <w:szCs w:val="22"/>
        </w:rPr>
        <w:tab/>
        <w:t>Tomáš Berger, jednatel</w:t>
      </w:r>
    </w:p>
    <w:p w14:paraId="2B99BB81" w14:textId="77777777" w:rsidR="002412A6" w:rsidRPr="00451237" w:rsidRDefault="002412A6" w:rsidP="002412A6">
      <w:pPr>
        <w:spacing w:after="0" w:line="240" w:lineRule="auto"/>
        <w:jc w:val="both"/>
        <w:rPr>
          <w:rFonts w:asciiTheme="minorHAnsi" w:hAnsiTheme="minorHAnsi" w:cstheme="minorHAnsi"/>
          <w:sz w:val="22"/>
          <w:szCs w:val="22"/>
        </w:rPr>
      </w:pPr>
      <w:r w:rsidRPr="00451237">
        <w:rPr>
          <w:rFonts w:asciiTheme="minorHAnsi" w:eastAsia="Arial" w:hAnsiTheme="minorHAnsi" w:cstheme="minorHAnsi"/>
          <w:sz w:val="22"/>
          <w:szCs w:val="22"/>
        </w:rPr>
        <w:t>(dále jen „</w:t>
      </w:r>
      <w:r w:rsidRPr="00451237">
        <w:rPr>
          <w:rFonts w:asciiTheme="minorHAnsi" w:eastAsia="Arial" w:hAnsiTheme="minorHAnsi" w:cstheme="minorHAnsi"/>
          <w:b/>
          <w:sz w:val="22"/>
          <w:szCs w:val="22"/>
        </w:rPr>
        <w:t>Poskytovatel</w:t>
      </w:r>
      <w:r w:rsidRPr="00451237">
        <w:rPr>
          <w:rFonts w:asciiTheme="minorHAnsi" w:eastAsia="Arial" w:hAnsiTheme="minorHAnsi" w:cstheme="minorHAnsi"/>
          <w:sz w:val="22"/>
          <w:szCs w:val="22"/>
        </w:rPr>
        <w:t>“)</w:t>
      </w:r>
    </w:p>
    <w:p w14:paraId="43BB0846" w14:textId="77777777" w:rsidR="002412A6" w:rsidRPr="00451237" w:rsidRDefault="002412A6" w:rsidP="002412A6">
      <w:pPr>
        <w:spacing w:before="140" w:after="140" w:line="240" w:lineRule="auto"/>
        <w:jc w:val="both"/>
        <w:rPr>
          <w:rFonts w:asciiTheme="minorHAnsi" w:hAnsiTheme="minorHAnsi" w:cstheme="minorHAnsi"/>
          <w:sz w:val="22"/>
          <w:szCs w:val="22"/>
        </w:rPr>
      </w:pPr>
      <w:r w:rsidRPr="00451237">
        <w:rPr>
          <w:rFonts w:asciiTheme="minorHAnsi" w:eastAsia="Arial" w:hAnsiTheme="minorHAnsi" w:cstheme="minorHAnsi"/>
          <w:sz w:val="22"/>
          <w:szCs w:val="22"/>
        </w:rPr>
        <w:t>a</w:t>
      </w:r>
    </w:p>
    <w:p w14:paraId="7939390C" w14:textId="53306300" w:rsidR="002412A6" w:rsidRPr="00451237" w:rsidRDefault="002412A6" w:rsidP="002412A6">
      <w:pPr>
        <w:pStyle w:val="Bezmezer"/>
        <w:tabs>
          <w:tab w:val="left" w:pos="2835"/>
        </w:tabs>
        <w:jc w:val="both"/>
        <w:rPr>
          <w:rFonts w:asciiTheme="minorHAnsi" w:hAnsiTheme="minorHAnsi" w:cstheme="minorHAnsi"/>
          <w:b/>
        </w:rPr>
      </w:pPr>
      <w:r w:rsidRPr="00451237">
        <w:rPr>
          <w:rFonts w:asciiTheme="minorHAnsi" w:hAnsiTheme="minorHAnsi" w:cstheme="minorHAnsi"/>
        </w:rPr>
        <w:t xml:space="preserve">Název: </w:t>
      </w:r>
      <w:r w:rsidRPr="00451237">
        <w:rPr>
          <w:rFonts w:asciiTheme="minorHAnsi" w:hAnsiTheme="minorHAnsi" w:cstheme="minorHAnsi"/>
        </w:rPr>
        <w:tab/>
      </w:r>
      <w:r w:rsidRPr="00451237">
        <w:rPr>
          <w:rFonts w:asciiTheme="minorHAnsi" w:hAnsiTheme="minorHAnsi" w:cstheme="minorHAnsi"/>
          <w:b/>
        </w:rPr>
        <w:t>Muzeum umění Olomouc</w:t>
      </w:r>
      <w:r w:rsidR="003D4CB8">
        <w:rPr>
          <w:rFonts w:asciiTheme="minorHAnsi" w:hAnsiTheme="minorHAnsi" w:cstheme="minorHAnsi"/>
          <w:b/>
        </w:rPr>
        <w:t>,</w:t>
      </w:r>
      <w:r w:rsidR="003D4CB8" w:rsidRPr="003D4CB8">
        <w:rPr>
          <w:rFonts w:asciiTheme="minorHAnsi" w:hAnsiTheme="minorHAnsi" w:cstheme="minorHAnsi"/>
        </w:rPr>
        <w:t xml:space="preserve"> </w:t>
      </w:r>
    </w:p>
    <w:p w14:paraId="234E7679" w14:textId="53287C2B" w:rsidR="002412A6" w:rsidRPr="00451237" w:rsidRDefault="002412A6" w:rsidP="002412A6">
      <w:pPr>
        <w:pStyle w:val="Bezmezer"/>
        <w:tabs>
          <w:tab w:val="left" w:pos="2835"/>
        </w:tabs>
        <w:jc w:val="both"/>
        <w:rPr>
          <w:rFonts w:asciiTheme="minorHAnsi" w:hAnsiTheme="minorHAnsi" w:cstheme="minorHAnsi"/>
        </w:rPr>
      </w:pPr>
      <w:r w:rsidRPr="00451237">
        <w:rPr>
          <w:rFonts w:asciiTheme="minorHAnsi" w:hAnsiTheme="minorHAnsi" w:cstheme="minorHAnsi"/>
        </w:rPr>
        <w:tab/>
      </w:r>
      <w:r w:rsidR="003D4CB8" w:rsidRPr="003D4CB8">
        <w:rPr>
          <w:rFonts w:asciiTheme="minorHAnsi" w:hAnsiTheme="minorHAnsi" w:cstheme="minorHAnsi"/>
        </w:rPr>
        <w:t>státní příspěvková organizace</w:t>
      </w:r>
      <w:r w:rsidRPr="00451237">
        <w:rPr>
          <w:rFonts w:asciiTheme="minorHAnsi" w:hAnsiTheme="minorHAnsi" w:cstheme="minorHAnsi"/>
        </w:rPr>
        <w:t xml:space="preserve"> </w:t>
      </w:r>
    </w:p>
    <w:p w14:paraId="1423D634" w14:textId="77777777" w:rsidR="002412A6" w:rsidRPr="00451237" w:rsidRDefault="002412A6" w:rsidP="002412A6">
      <w:pPr>
        <w:pStyle w:val="Bezmezer"/>
        <w:tabs>
          <w:tab w:val="left" w:pos="2835"/>
        </w:tabs>
        <w:jc w:val="both"/>
        <w:rPr>
          <w:rFonts w:asciiTheme="minorHAnsi" w:hAnsiTheme="minorHAnsi" w:cstheme="minorHAnsi"/>
        </w:rPr>
      </w:pPr>
      <w:r w:rsidRPr="00451237">
        <w:rPr>
          <w:rFonts w:asciiTheme="minorHAnsi" w:hAnsiTheme="minorHAnsi" w:cstheme="minorHAnsi"/>
        </w:rPr>
        <w:t xml:space="preserve">Sídlo: </w:t>
      </w:r>
      <w:r w:rsidRPr="00451237">
        <w:rPr>
          <w:rFonts w:asciiTheme="minorHAnsi" w:hAnsiTheme="minorHAnsi" w:cstheme="minorHAnsi"/>
        </w:rPr>
        <w:tab/>
        <w:t>Denisova 824/47, Olomouc, PSČ 77900</w:t>
      </w:r>
    </w:p>
    <w:p w14:paraId="3DDD3EFD" w14:textId="77777777" w:rsidR="002412A6" w:rsidRPr="00451237" w:rsidRDefault="002412A6" w:rsidP="002412A6">
      <w:pPr>
        <w:pStyle w:val="Bezmezer"/>
        <w:tabs>
          <w:tab w:val="left" w:pos="2835"/>
        </w:tabs>
        <w:jc w:val="both"/>
        <w:rPr>
          <w:rFonts w:asciiTheme="minorHAnsi" w:hAnsiTheme="minorHAnsi" w:cstheme="minorHAnsi"/>
        </w:rPr>
      </w:pPr>
      <w:r w:rsidRPr="00451237">
        <w:rPr>
          <w:rFonts w:asciiTheme="minorHAnsi" w:hAnsiTheme="minorHAnsi" w:cstheme="minorHAnsi"/>
        </w:rPr>
        <w:t xml:space="preserve">IČ: </w:t>
      </w:r>
      <w:r w:rsidRPr="00451237">
        <w:rPr>
          <w:rFonts w:asciiTheme="minorHAnsi" w:hAnsiTheme="minorHAnsi" w:cstheme="minorHAnsi"/>
        </w:rPr>
        <w:tab/>
        <w:t>75079950</w:t>
      </w:r>
    </w:p>
    <w:p w14:paraId="6BC64F4B" w14:textId="12829D26" w:rsidR="002412A6" w:rsidRDefault="002412A6" w:rsidP="002412A6">
      <w:pPr>
        <w:pStyle w:val="Bezmezer"/>
        <w:tabs>
          <w:tab w:val="left" w:pos="2835"/>
        </w:tabs>
        <w:jc w:val="both"/>
        <w:rPr>
          <w:rFonts w:asciiTheme="minorHAnsi" w:hAnsiTheme="minorHAnsi" w:cstheme="minorHAnsi"/>
        </w:rPr>
      </w:pPr>
      <w:r w:rsidRPr="00451237">
        <w:rPr>
          <w:rFonts w:asciiTheme="minorHAnsi" w:hAnsiTheme="minorHAnsi" w:cstheme="minorHAnsi"/>
        </w:rPr>
        <w:t>DIČ:</w:t>
      </w:r>
      <w:r w:rsidRPr="00451237">
        <w:rPr>
          <w:rFonts w:asciiTheme="minorHAnsi" w:hAnsiTheme="minorHAnsi" w:cstheme="minorHAnsi"/>
        </w:rPr>
        <w:tab/>
        <w:t>CZ75079950</w:t>
      </w:r>
    </w:p>
    <w:p w14:paraId="37D369DC" w14:textId="2ADCFAEE" w:rsidR="005643F3" w:rsidRPr="00451237" w:rsidRDefault="005643F3" w:rsidP="002412A6">
      <w:pPr>
        <w:pStyle w:val="Bezmezer"/>
        <w:tabs>
          <w:tab w:val="left" w:pos="2835"/>
        </w:tabs>
        <w:jc w:val="both"/>
        <w:rPr>
          <w:rFonts w:asciiTheme="minorHAnsi" w:hAnsiTheme="minorHAnsi" w:cstheme="minorHAnsi"/>
        </w:rPr>
      </w:pPr>
      <w:r>
        <w:rPr>
          <w:rFonts w:asciiTheme="minorHAnsi" w:hAnsiTheme="minorHAnsi" w:cstheme="minorHAnsi"/>
        </w:rPr>
        <w:tab/>
        <w:t>není plátcem DPH</w:t>
      </w:r>
    </w:p>
    <w:p w14:paraId="31DCD2DA" w14:textId="77777777" w:rsidR="002412A6" w:rsidRPr="00451237" w:rsidRDefault="002412A6" w:rsidP="002412A6">
      <w:pPr>
        <w:spacing w:after="0" w:line="240" w:lineRule="auto"/>
        <w:jc w:val="both"/>
        <w:rPr>
          <w:rFonts w:asciiTheme="minorHAnsi" w:hAnsiTheme="minorHAnsi" w:cstheme="minorHAnsi"/>
          <w:sz w:val="22"/>
          <w:szCs w:val="22"/>
        </w:rPr>
      </w:pPr>
      <w:r w:rsidRPr="00451237">
        <w:rPr>
          <w:rFonts w:asciiTheme="minorHAnsi" w:eastAsia="Arial" w:hAnsiTheme="minorHAnsi" w:cstheme="minorHAnsi"/>
          <w:sz w:val="22"/>
          <w:szCs w:val="22"/>
        </w:rPr>
        <w:t>(dále jen „</w:t>
      </w:r>
      <w:r w:rsidRPr="00451237">
        <w:rPr>
          <w:rFonts w:asciiTheme="minorHAnsi" w:eastAsia="Arial" w:hAnsiTheme="minorHAnsi" w:cstheme="minorHAnsi"/>
          <w:b/>
          <w:sz w:val="22"/>
          <w:szCs w:val="22"/>
        </w:rPr>
        <w:t>Nabyvatel</w:t>
      </w:r>
      <w:r w:rsidRPr="00451237">
        <w:rPr>
          <w:rFonts w:asciiTheme="minorHAnsi" w:eastAsia="Arial" w:hAnsiTheme="minorHAnsi" w:cstheme="minorHAnsi"/>
          <w:sz w:val="22"/>
          <w:szCs w:val="22"/>
        </w:rPr>
        <w:t>“)</w:t>
      </w:r>
    </w:p>
    <w:p w14:paraId="7F91D088" w14:textId="77777777" w:rsidR="002412A6" w:rsidRPr="00451237" w:rsidRDefault="002412A6" w:rsidP="002412A6">
      <w:pPr>
        <w:spacing w:before="60" w:after="60" w:line="240" w:lineRule="auto"/>
        <w:ind w:left="720" w:hanging="720"/>
        <w:jc w:val="center"/>
        <w:rPr>
          <w:rFonts w:asciiTheme="minorHAnsi" w:eastAsia="Arial" w:hAnsiTheme="minorHAnsi" w:cstheme="minorHAnsi"/>
          <w:sz w:val="22"/>
          <w:szCs w:val="22"/>
        </w:rPr>
      </w:pPr>
      <w:r w:rsidRPr="00451237">
        <w:rPr>
          <w:rFonts w:asciiTheme="minorHAnsi" w:eastAsia="Arial" w:hAnsiTheme="minorHAnsi" w:cstheme="minorHAnsi"/>
          <w:sz w:val="22"/>
          <w:szCs w:val="22"/>
        </w:rPr>
        <w:t>se dohodli na následujícím:</w:t>
      </w:r>
    </w:p>
    <w:p w14:paraId="17F9DB5C" w14:textId="77777777" w:rsidR="002412A6" w:rsidRPr="00451237" w:rsidRDefault="002412A6" w:rsidP="002412A6">
      <w:pPr>
        <w:spacing w:before="60" w:after="60" w:line="240" w:lineRule="auto"/>
        <w:ind w:left="720" w:hanging="720"/>
        <w:jc w:val="center"/>
        <w:rPr>
          <w:rFonts w:asciiTheme="minorHAnsi" w:eastAsia="Arial" w:hAnsiTheme="minorHAnsi" w:cstheme="minorHAnsi"/>
          <w:sz w:val="22"/>
          <w:szCs w:val="22"/>
        </w:rPr>
      </w:pPr>
    </w:p>
    <w:p w14:paraId="676105E7" w14:textId="77777777" w:rsidR="002412A6" w:rsidRPr="00451237" w:rsidRDefault="002412A6" w:rsidP="002412A6">
      <w:pPr>
        <w:spacing w:before="60" w:after="60" w:line="240" w:lineRule="auto"/>
        <w:rPr>
          <w:rFonts w:asciiTheme="minorHAnsi" w:hAnsiTheme="minorHAnsi" w:cstheme="minorHAnsi"/>
          <w:sz w:val="22"/>
          <w:szCs w:val="22"/>
        </w:rPr>
      </w:pPr>
    </w:p>
    <w:p w14:paraId="102C5293" w14:textId="77777777" w:rsidR="002412A6" w:rsidRPr="00451237" w:rsidRDefault="002412A6" w:rsidP="002412A6">
      <w:pPr>
        <w:keepNext/>
        <w:numPr>
          <w:ilvl w:val="0"/>
          <w:numId w:val="1"/>
        </w:numPr>
        <w:spacing w:before="60" w:after="60" w:line="240" w:lineRule="auto"/>
        <w:ind w:left="0" w:firstLine="0"/>
        <w:jc w:val="center"/>
        <w:rPr>
          <w:rFonts w:asciiTheme="minorHAnsi" w:eastAsia="Arial" w:hAnsiTheme="minorHAnsi" w:cstheme="minorHAnsi"/>
          <w:sz w:val="22"/>
          <w:szCs w:val="22"/>
        </w:rPr>
      </w:pPr>
      <w:r w:rsidRPr="00451237">
        <w:rPr>
          <w:rFonts w:asciiTheme="minorHAnsi" w:eastAsia="Arial" w:hAnsiTheme="minorHAnsi" w:cstheme="minorHAnsi"/>
          <w:b/>
          <w:sz w:val="22"/>
          <w:szCs w:val="22"/>
        </w:rPr>
        <w:t>Předmět smlouvy</w:t>
      </w:r>
    </w:p>
    <w:p w14:paraId="0F689B36" w14:textId="77777777" w:rsidR="002412A6" w:rsidRPr="00451237" w:rsidRDefault="002412A6" w:rsidP="002412A6">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Poskytovatel je oprávněn vykonávat veškerá majetková autorská práva k aplikaci MONITORA.cz, popsané v čl. 2. níže (dále také jen „</w:t>
      </w:r>
      <w:r w:rsidRPr="00451237">
        <w:rPr>
          <w:rFonts w:asciiTheme="minorHAnsi" w:eastAsia="Arial" w:hAnsiTheme="minorHAnsi" w:cstheme="minorHAnsi"/>
          <w:b/>
          <w:sz w:val="22"/>
          <w:szCs w:val="22"/>
        </w:rPr>
        <w:t>Aplikace</w:t>
      </w:r>
      <w:r w:rsidRPr="00451237">
        <w:rPr>
          <w:rFonts w:asciiTheme="minorHAnsi" w:eastAsia="Arial" w:hAnsiTheme="minorHAnsi" w:cstheme="minorHAnsi"/>
          <w:sz w:val="22"/>
          <w:szCs w:val="22"/>
        </w:rPr>
        <w:t>“) a je též pořizovatelem databáze využívané Aplikací.  Poskytovatel touto smlouvou poskytuje Nabyvateli oprávnění k výkonu práva užít Aplikaci způsoby a v rozsahu stanoveném dále touto smlouvou za sjednanou odměnu (dále také jen „</w:t>
      </w:r>
      <w:r w:rsidRPr="00451237">
        <w:rPr>
          <w:rFonts w:asciiTheme="minorHAnsi" w:eastAsia="Arial" w:hAnsiTheme="minorHAnsi" w:cstheme="minorHAnsi"/>
          <w:b/>
          <w:sz w:val="22"/>
          <w:szCs w:val="22"/>
        </w:rPr>
        <w:t>Licence</w:t>
      </w:r>
      <w:r w:rsidRPr="00451237">
        <w:rPr>
          <w:rFonts w:asciiTheme="minorHAnsi" w:eastAsia="Arial" w:hAnsiTheme="minorHAnsi" w:cstheme="minorHAnsi"/>
          <w:sz w:val="22"/>
          <w:szCs w:val="22"/>
        </w:rPr>
        <w:t>“).</w:t>
      </w:r>
    </w:p>
    <w:p w14:paraId="3B1716DF" w14:textId="77777777" w:rsidR="002412A6" w:rsidRPr="00451237" w:rsidRDefault="002412A6" w:rsidP="002412A6">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 xml:space="preserve">Nabyvatel je oprávněn informace získané prostřednictvím užití Aplikace užívat pro své marketingové, obchodní, analytické či jiné účely za podmínek stanovených touto smlouvou a příslušnými obecně platnými právními předpisy. </w:t>
      </w:r>
    </w:p>
    <w:p w14:paraId="7FD541F3" w14:textId="77777777" w:rsidR="002412A6" w:rsidRPr="00451237" w:rsidRDefault="002412A6" w:rsidP="002412A6">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Licence je poskytována jako nevýhradní. Nabyvatel je oprávněn Aplikaci užívat ke všem způsobům užití, které Aplikace a tato smlouva umožňuje, a to v teritoriálně neomezeném rozsahu. Nabyvatel není povinen Licenci využít.</w:t>
      </w:r>
    </w:p>
    <w:p w14:paraId="334FF86C" w14:textId="77777777" w:rsidR="002412A6" w:rsidRPr="00451237" w:rsidRDefault="002412A6" w:rsidP="002412A6">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Nabyvatel není oprávněn bez předchozího písemného souhlasu Poskytovatele poskytnout nebo jakkoli zpřístupnit informace z Aplikace třetím osobám.</w:t>
      </w:r>
    </w:p>
    <w:p w14:paraId="1DFA0581" w14:textId="77777777" w:rsidR="002412A6" w:rsidRPr="00451237" w:rsidRDefault="002412A6" w:rsidP="002412A6">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 xml:space="preserve">Počet licencí: </w:t>
      </w:r>
      <w:r w:rsidRPr="00451237">
        <w:rPr>
          <w:rFonts w:asciiTheme="minorHAnsi" w:eastAsia="Arial" w:hAnsiTheme="minorHAnsi" w:cstheme="minorHAnsi"/>
          <w:b/>
          <w:sz w:val="22"/>
          <w:szCs w:val="22"/>
        </w:rPr>
        <w:t>1</w:t>
      </w:r>
    </w:p>
    <w:p w14:paraId="10985408" w14:textId="77777777" w:rsidR="002412A6" w:rsidRPr="00451237" w:rsidRDefault="002412A6" w:rsidP="002412A6">
      <w:pPr>
        <w:spacing w:before="60" w:after="0" w:line="240" w:lineRule="auto"/>
        <w:jc w:val="both"/>
        <w:rPr>
          <w:rFonts w:asciiTheme="minorHAnsi" w:hAnsiTheme="minorHAnsi" w:cstheme="minorHAnsi"/>
          <w:sz w:val="22"/>
          <w:szCs w:val="22"/>
        </w:rPr>
      </w:pPr>
    </w:p>
    <w:p w14:paraId="3EDC6E5B" w14:textId="77777777" w:rsidR="002412A6" w:rsidRPr="00451237" w:rsidRDefault="002412A6" w:rsidP="002412A6">
      <w:pPr>
        <w:spacing w:before="60" w:after="0" w:line="240" w:lineRule="auto"/>
        <w:jc w:val="both"/>
        <w:rPr>
          <w:rFonts w:asciiTheme="minorHAnsi" w:hAnsiTheme="minorHAnsi" w:cstheme="minorHAnsi"/>
          <w:sz w:val="22"/>
          <w:szCs w:val="22"/>
        </w:rPr>
      </w:pPr>
    </w:p>
    <w:p w14:paraId="29825C6C" w14:textId="77777777" w:rsidR="002412A6" w:rsidRPr="00451237" w:rsidRDefault="002412A6" w:rsidP="002412A6">
      <w:pPr>
        <w:spacing w:before="60" w:after="0" w:line="240" w:lineRule="auto"/>
        <w:jc w:val="both"/>
        <w:rPr>
          <w:rFonts w:asciiTheme="minorHAnsi" w:hAnsiTheme="minorHAnsi" w:cstheme="minorHAnsi"/>
          <w:sz w:val="22"/>
          <w:szCs w:val="22"/>
        </w:rPr>
      </w:pPr>
    </w:p>
    <w:p w14:paraId="392A7A43" w14:textId="77777777" w:rsidR="002412A6" w:rsidRPr="00451237" w:rsidRDefault="002412A6" w:rsidP="002412A6">
      <w:pPr>
        <w:spacing w:before="60" w:after="0" w:line="240" w:lineRule="auto"/>
        <w:jc w:val="both"/>
        <w:rPr>
          <w:rFonts w:asciiTheme="minorHAnsi" w:eastAsia="Arial" w:hAnsiTheme="minorHAnsi" w:cstheme="minorHAnsi"/>
          <w:sz w:val="22"/>
          <w:szCs w:val="22"/>
        </w:rPr>
      </w:pPr>
    </w:p>
    <w:p w14:paraId="2DA12D44" w14:textId="77777777" w:rsidR="002412A6" w:rsidRPr="00451237" w:rsidRDefault="002412A6" w:rsidP="002412A6">
      <w:pPr>
        <w:spacing w:before="60" w:after="0" w:line="240" w:lineRule="auto"/>
        <w:ind w:left="11910"/>
        <w:jc w:val="both"/>
        <w:rPr>
          <w:rFonts w:asciiTheme="minorHAnsi" w:eastAsia="Arial" w:hAnsiTheme="minorHAnsi" w:cstheme="minorHAnsi"/>
          <w:sz w:val="22"/>
          <w:szCs w:val="22"/>
        </w:rPr>
      </w:pPr>
    </w:p>
    <w:p w14:paraId="1B5243C6" w14:textId="77777777" w:rsidR="002412A6" w:rsidRPr="00451237" w:rsidRDefault="002412A6" w:rsidP="002412A6">
      <w:pPr>
        <w:keepNext/>
        <w:numPr>
          <w:ilvl w:val="0"/>
          <w:numId w:val="1"/>
        </w:numPr>
        <w:spacing w:before="60" w:after="0" w:line="240" w:lineRule="auto"/>
        <w:ind w:left="0" w:firstLine="0"/>
        <w:jc w:val="center"/>
        <w:rPr>
          <w:rFonts w:asciiTheme="minorHAnsi" w:eastAsia="Arial" w:hAnsiTheme="minorHAnsi" w:cstheme="minorHAnsi"/>
          <w:sz w:val="22"/>
          <w:szCs w:val="22"/>
        </w:rPr>
      </w:pPr>
      <w:bookmarkStart w:id="0" w:name="_gjdgxs" w:colFirst="0" w:colLast="0"/>
      <w:bookmarkEnd w:id="0"/>
      <w:r w:rsidRPr="00451237">
        <w:rPr>
          <w:rFonts w:asciiTheme="minorHAnsi" w:eastAsia="Arial" w:hAnsiTheme="minorHAnsi" w:cstheme="minorHAnsi"/>
          <w:b/>
          <w:sz w:val="22"/>
          <w:szCs w:val="22"/>
        </w:rPr>
        <w:t>Aplikace MONITORA</w:t>
      </w:r>
    </w:p>
    <w:p w14:paraId="3DFED401" w14:textId="77777777" w:rsidR="002412A6" w:rsidRPr="00451237" w:rsidRDefault="002412A6" w:rsidP="002412A6">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Aplikace poskytuje Nabyvateli možnost sledovat a vyhledávat informace podle zadaných klíčových slov na sledovaných tištěných, online a audiovizuálních mediích.</w:t>
      </w:r>
    </w:p>
    <w:p w14:paraId="7417F25E" w14:textId="4704D7F5" w:rsidR="002412A6" w:rsidRPr="00451237" w:rsidRDefault="002412A6" w:rsidP="002412A6">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lastRenderedPageBreak/>
        <w:t xml:space="preserve">Seznam aktuálně sledovaných zdrojů je uveden na webových stránkách </w:t>
      </w:r>
      <w:hyperlink r:id="rId8">
        <w:proofErr w:type="spellStart"/>
        <w:r w:rsidR="00933279">
          <w:rPr>
            <w:rFonts w:asciiTheme="minorHAnsi" w:eastAsia="Arial" w:hAnsiTheme="minorHAnsi" w:cstheme="minorHAnsi"/>
            <w:color w:val="4BACC6"/>
            <w:sz w:val="22"/>
            <w:szCs w:val="22"/>
            <w:u w:val="single"/>
          </w:rPr>
          <w:t>xxx</w:t>
        </w:r>
        <w:proofErr w:type="spellEnd"/>
      </w:hyperlink>
      <w:r w:rsidRPr="00451237">
        <w:rPr>
          <w:rFonts w:asciiTheme="minorHAnsi" w:eastAsia="Arial" w:hAnsiTheme="minorHAnsi" w:cstheme="minorHAnsi"/>
          <w:sz w:val="22"/>
          <w:szCs w:val="22"/>
        </w:rPr>
        <w:t>. Tento seznam může být průběžně Poskytovatelem upravován, a to zejména rozšířením o nově sledované zdroje anebo výjimečně omezením o zdroje, které přestanou v budoucnu být otevřenými (např. v důsledku zpoplatnění jejich obsahu či technického opatření původce informací), popřípadě v důsledku uzavření nové smlouvy, změny smlouvy či skončení smlouvy mezi Poskytovatelem a původcem informací. Změny podle tohoto odstavce nemají vliv na sjednanou odměnu za užívání Aplikace.</w:t>
      </w:r>
    </w:p>
    <w:p w14:paraId="55B9EF57" w14:textId="77777777" w:rsidR="002412A6" w:rsidRPr="00451237" w:rsidRDefault="002412A6" w:rsidP="002412A6">
      <w:pPr>
        <w:numPr>
          <w:ilvl w:val="1"/>
          <w:numId w:val="1"/>
        </w:numPr>
        <w:spacing w:before="140" w:after="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Poskytovatel je ve výjimečných případech oprávněn omezit nebo vyloučit právo Nabyvatele užívat konkrétní informace zpřístupňované prostřednictvím Aplikace, zejména vyjde-li dodatečně najevo, že dalším užíváním by došlo k porušení práv třetích osob.</w:t>
      </w:r>
    </w:p>
    <w:p w14:paraId="591FCBB9" w14:textId="77777777" w:rsidR="002412A6" w:rsidRPr="00451237" w:rsidRDefault="002412A6" w:rsidP="002412A6">
      <w:pPr>
        <w:spacing w:before="140" w:after="0" w:line="240" w:lineRule="auto"/>
        <w:jc w:val="both"/>
        <w:rPr>
          <w:rFonts w:asciiTheme="minorHAnsi" w:eastAsia="Arial" w:hAnsiTheme="minorHAnsi" w:cstheme="minorHAnsi"/>
          <w:sz w:val="22"/>
          <w:szCs w:val="22"/>
        </w:rPr>
      </w:pPr>
    </w:p>
    <w:p w14:paraId="33D7605C" w14:textId="77777777" w:rsidR="002412A6" w:rsidRPr="00451237" w:rsidRDefault="002412A6" w:rsidP="002412A6">
      <w:pPr>
        <w:keepNext/>
        <w:numPr>
          <w:ilvl w:val="0"/>
          <w:numId w:val="1"/>
        </w:numPr>
        <w:spacing w:before="140" w:after="0" w:line="240" w:lineRule="auto"/>
        <w:ind w:left="0" w:firstLine="0"/>
        <w:jc w:val="center"/>
        <w:rPr>
          <w:rFonts w:asciiTheme="minorHAnsi" w:eastAsia="Arial" w:hAnsiTheme="minorHAnsi" w:cstheme="minorHAnsi"/>
          <w:sz w:val="22"/>
          <w:szCs w:val="22"/>
        </w:rPr>
      </w:pPr>
      <w:r w:rsidRPr="00451237">
        <w:rPr>
          <w:rFonts w:asciiTheme="minorHAnsi" w:eastAsia="Arial" w:hAnsiTheme="minorHAnsi" w:cstheme="minorHAnsi"/>
          <w:b/>
          <w:sz w:val="22"/>
          <w:szCs w:val="22"/>
        </w:rPr>
        <w:t>Užití Aplikace Nabyvatelem</w:t>
      </w:r>
    </w:p>
    <w:p w14:paraId="68986F54" w14:textId="77777777" w:rsidR="002412A6" w:rsidRPr="00451237" w:rsidRDefault="002412A6" w:rsidP="002412A6">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 xml:space="preserve">Aplikace bude pro Nabyvatele aktivována ke dni uzavření této smlouvy, využívání Aplikace bude Nabyvateli umožněno poskytnutím unikátních přístupových kódů (uživatelského jména a hesla) nebo jiným dohodnutým způsobem. </w:t>
      </w:r>
    </w:p>
    <w:p w14:paraId="3AF3D56A" w14:textId="77777777" w:rsidR="002412A6" w:rsidRPr="00451237" w:rsidRDefault="002412A6" w:rsidP="002412A6">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 xml:space="preserve">Aplikace je pro Nabyvatele přístupná 24 hodin denně, 7 dní v týdnu. Poskytovatel si vyhrazuje právo krátkodobých odstávek Aplikace v případě potřeby údržby a aktualizací Aplikace, o takových odstávkách bude, pokud to bude možné, Nabyvatele předem informovat. </w:t>
      </w:r>
    </w:p>
    <w:p w14:paraId="374F0C90" w14:textId="77777777" w:rsidR="002412A6" w:rsidRPr="00451237" w:rsidRDefault="002412A6" w:rsidP="002412A6">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Jakékoliv neplánové výpadky fungování Aplikace je Poskytovatel povinen bez zbytečného odkladu odstranit. Nabyvatel nemá právo na slevu z odměny podle této smlouvy, pokud doba výpadků nepřesáhne celkem 48 hodin v kalendářním měsíci anebo pokud trvání jednotlivých výpadků nepřesáhne 2 hodiny od nahlášení výpadku.</w:t>
      </w:r>
    </w:p>
    <w:p w14:paraId="6EA1CDF8" w14:textId="77777777" w:rsidR="002412A6" w:rsidRPr="00451237" w:rsidRDefault="002412A6" w:rsidP="002412A6">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 xml:space="preserve">Nabyvatel není oprávněn oprávnění tvořící součást Licence ani zčásti poskytnout třetí osobě, ani jiným způsobem umožnit třetí osobě užívání Aplikace. Pro případ porušení tohoto ustanovení se sjednává smluvní pokuta ve výši měsíční odměny za každé zjištěné porušení a každý započatý měsíc trvání porušení. V případě porušení tohoto ustanovení, které Nabyvatel nenapraví ani po předchozím upozornění Poskytovatele, je Poskytovatel oprávněn omezit či vyloučit další přístup Nabyvatele k datům přístupným v rámci Aplikace a okamžitě odstoupit od této smlouvy. Poskytovatel je dále oprávněn zamezit dalšímu neoprávněnému šíření dat a zjednat nápravu zjištěného závadného stavu všemi dostupnými prostředky, k čemuž mu Nabyvatel poskytne veškerou potřebnou součinnost. </w:t>
      </w:r>
    </w:p>
    <w:p w14:paraId="5067A53E" w14:textId="77777777" w:rsidR="002412A6" w:rsidRPr="00451237" w:rsidRDefault="002412A6" w:rsidP="002412A6">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 xml:space="preserve">Nabyvatel je oprávněn Aplikaci využívat výhradně pro své potřeby. Nabyvatel je povinen zajistit, aby nedošlo k úniku, zveřejnění či neoprávněnému šíření údajů získaných z Aplikace jím, jeho zaměstnanci či jinými osobami. </w:t>
      </w:r>
    </w:p>
    <w:p w14:paraId="333B28FF" w14:textId="77777777" w:rsidR="002412A6" w:rsidRPr="00451237" w:rsidRDefault="002412A6" w:rsidP="002412A6">
      <w:pPr>
        <w:numPr>
          <w:ilvl w:val="1"/>
          <w:numId w:val="1"/>
        </w:numPr>
        <w:spacing w:before="140" w:after="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 xml:space="preserve">Nabyvatel má právo přístupu k údajům, poskytnutým mu prostřednictvím Aplikace dle této smlouvy pouze po dobu účinnosti této smlouvy. </w:t>
      </w:r>
    </w:p>
    <w:p w14:paraId="7FA08092" w14:textId="77777777" w:rsidR="002412A6" w:rsidRPr="00451237" w:rsidRDefault="002412A6" w:rsidP="002412A6">
      <w:pPr>
        <w:spacing w:before="140" w:after="0" w:line="240" w:lineRule="auto"/>
        <w:ind w:left="720"/>
        <w:jc w:val="both"/>
        <w:rPr>
          <w:rFonts w:asciiTheme="minorHAnsi" w:eastAsia="Arial" w:hAnsiTheme="minorHAnsi" w:cstheme="minorHAnsi"/>
          <w:sz w:val="22"/>
          <w:szCs w:val="22"/>
        </w:rPr>
      </w:pPr>
    </w:p>
    <w:p w14:paraId="4B715B3F" w14:textId="77777777" w:rsidR="002412A6" w:rsidRPr="00451237" w:rsidRDefault="002412A6" w:rsidP="002412A6">
      <w:pPr>
        <w:spacing w:before="140" w:after="0" w:line="240" w:lineRule="auto"/>
        <w:ind w:left="11910"/>
        <w:jc w:val="both"/>
        <w:rPr>
          <w:rFonts w:asciiTheme="minorHAnsi" w:eastAsia="Arial" w:hAnsiTheme="minorHAnsi" w:cstheme="minorHAnsi"/>
          <w:sz w:val="22"/>
          <w:szCs w:val="22"/>
        </w:rPr>
      </w:pPr>
    </w:p>
    <w:p w14:paraId="56C6639D" w14:textId="77777777" w:rsidR="002412A6" w:rsidRPr="00451237" w:rsidRDefault="002412A6" w:rsidP="002412A6">
      <w:pPr>
        <w:keepNext/>
        <w:numPr>
          <w:ilvl w:val="0"/>
          <w:numId w:val="1"/>
        </w:numPr>
        <w:spacing w:before="140" w:after="0" w:line="240" w:lineRule="auto"/>
        <w:ind w:left="0" w:firstLine="0"/>
        <w:jc w:val="center"/>
        <w:rPr>
          <w:rFonts w:asciiTheme="minorHAnsi" w:eastAsia="Arial" w:hAnsiTheme="minorHAnsi" w:cstheme="minorHAnsi"/>
          <w:sz w:val="22"/>
          <w:szCs w:val="22"/>
        </w:rPr>
      </w:pPr>
      <w:r w:rsidRPr="00451237">
        <w:rPr>
          <w:rFonts w:asciiTheme="minorHAnsi" w:eastAsia="Arial" w:hAnsiTheme="minorHAnsi" w:cstheme="minorHAnsi"/>
          <w:b/>
          <w:sz w:val="22"/>
          <w:szCs w:val="22"/>
        </w:rPr>
        <w:t>Omezení Aplikace a databáze</w:t>
      </w:r>
    </w:p>
    <w:p w14:paraId="13E8752D" w14:textId="77777777" w:rsidR="002412A6" w:rsidRPr="00451237" w:rsidRDefault="002412A6" w:rsidP="002412A6">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Nabyvatel bere na vědomí, že informace jsou prostřednictvím Aplikace získávány z veřejně dostupných zdrojů, popř. od třetích osob, Poskytovatel proto neodpovídá za jejich přesnost a správnost, zejména pak v případě, kdy třetí osoba informace neposkytne či poskytne informace chybné. Poskytovatel nenese žádnou odpovědnost za případné škody způsobené Nabyvateli použitím Aplikace či v důsledku použití dat prostřednictvím Aplikace získaných.</w:t>
      </w:r>
    </w:p>
    <w:p w14:paraId="57E3EB7B" w14:textId="77777777" w:rsidR="002412A6" w:rsidRPr="00451237" w:rsidRDefault="002412A6" w:rsidP="002412A6">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lastRenderedPageBreak/>
        <w:t xml:space="preserve">Nabyvatel bere na vědomí, že data zpřístupněná Aplikací mohou být a jsou předmětem autorských, osobnostních či jiných práv třetích osob a nese plnou odpovědnost za jejich případné další užití či šíření. </w:t>
      </w:r>
    </w:p>
    <w:p w14:paraId="5DCDA6FF" w14:textId="77777777" w:rsidR="002412A6" w:rsidRPr="00451237" w:rsidRDefault="002412A6" w:rsidP="002412A6">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Nabyvatel bere na vědomí, že e-mailové kontakty získané v souvislosti s plněním této smlouvy lze využívat pouze v souladu se zákonem č. 480/2004 Sb., o některých službách informační společnosti, v platném znění.</w:t>
      </w:r>
    </w:p>
    <w:p w14:paraId="358C7242" w14:textId="77777777" w:rsidR="002412A6" w:rsidRPr="00451237" w:rsidRDefault="002412A6" w:rsidP="002412A6">
      <w:pPr>
        <w:numPr>
          <w:ilvl w:val="1"/>
          <w:numId w:val="1"/>
        </w:numPr>
        <w:spacing w:before="140" w:after="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Poskytovatel neodpovídá za škody způsobené Nabyvateli anebo třetím osobám z důvodu vad Aplikace anebo dat zpřístupněných Aplikací.</w:t>
      </w:r>
    </w:p>
    <w:p w14:paraId="1FE9DCCB" w14:textId="77777777" w:rsidR="002412A6" w:rsidRPr="00451237" w:rsidRDefault="002412A6" w:rsidP="002412A6">
      <w:pPr>
        <w:pStyle w:val="Odstavecseseznamem"/>
        <w:numPr>
          <w:ilvl w:val="0"/>
          <w:numId w:val="1"/>
        </w:numPr>
        <w:spacing w:before="140" w:after="0" w:line="240" w:lineRule="auto"/>
        <w:rPr>
          <w:rFonts w:asciiTheme="minorHAnsi" w:eastAsia="Arial" w:hAnsiTheme="minorHAnsi" w:cstheme="minorHAnsi"/>
          <w:sz w:val="22"/>
          <w:szCs w:val="22"/>
        </w:rPr>
      </w:pPr>
      <w:r w:rsidRPr="00451237">
        <w:rPr>
          <w:rFonts w:asciiTheme="minorHAnsi" w:eastAsia="Arial" w:hAnsiTheme="minorHAnsi" w:cstheme="minorHAnsi"/>
          <w:b/>
          <w:sz w:val="22"/>
          <w:szCs w:val="22"/>
        </w:rPr>
        <w:t>O5. Odměna za poskytnutí Licence</w:t>
      </w:r>
    </w:p>
    <w:p w14:paraId="69C82AFD" w14:textId="20C86946" w:rsidR="002412A6" w:rsidRDefault="002412A6" w:rsidP="002412A6">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 xml:space="preserve">Celková výše měsíční odměny za 1 licenci za monitoring: </w:t>
      </w:r>
      <w:r w:rsidR="00E25CFD">
        <w:rPr>
          <w:rFonts w:asciiTheme="minorHAnsi" w:hAnsiTheme="minorHAnsi" w:cstheme="minorHAnsi"/>
          <w:b/>
          <w:sz w:val="22"/>
          <w:szCs w:val="22"/>
        </w:rPr>
        <w:t>72 600</w:t>
      </w:r>
      <w:r w:rsidRPr="00A4133B">
        <w:rPr>
          <w:rFonts w:asciiTheme="minorHAnsi" w:hAnsiTheme="minorHAnsi" w:cstheme="minorHAnsi"/>
          <w:b/>
          <w:sz w:val="22"/>
          <w:szCs w:val="22"/>
        </w:rPr>
        <w:t xml:space="preserve">,- </w:t>
      </w:r>
      <w:r w:rsidRPr="00A4133B">
        <w:rPr>
          <w:rFonts w:asciiTheme="minorHAnsi" w:eastAsia="Arial" w:hAnsiTheme="minorHAnsi" w:cstheme="minorHAnsi"/>
          <w:b/>
          <w:sz w:val="22"/>
          <w:szCs w:val="22"/>
        </w:rPr>
        <w:t>Kč bez DPH</w:t>
      </w:r>
      <w:r w:rsidRPr="00A4133B">
        <w:rPr>
          <w:rFonts w:asciiTheme="minorHAnsi" w:eastAsia="Arial" w:hAnsiTheme="minorHAnsi" w:cstheme="minorHAnsi"/>
          <w:sz w:val="22"/>
          <w:szCs w:val="22"/>
        </w:rPr>
        <w:t>.</w:t>
      </w:r>
    </w:p>
    <w:p w14:paraId="3F26248C" w14:textId="0CDDAA8B" w:rsidR="002412A6" w:rsidRPr="00451237" w:rsidRDefault="002412A6" w:rsidP="002412A6">
      <w:pPr>
        <w:numPr>
          <w:ilvl w:val="1"/>
          <w:numId w:val="1"/>
        </w:numPr>
        <w:spacing w:after="120" w:line="240" w:lineRule="auto"/>
        <w:ind w:left="720" w:hanging="720"/>
        <w:jc w:val="both"/>
        <w:rPr>
          <w:rFonts w:asciiTheme="minorHAnsi" w:eastAsia="Arial" w:hAnsiTheme="minorHAnsi" w:cstheme="minorHAnsi"/>
          <w:sz w:val="22"/>
          <w:szCs w:val="22"/>
        </w:rPr>
      </w:pPr>
      <w:r>
        <w:rPr>
          <w:rFonts w:asciiTheme="minorHAnsi" w:eastAsia="Arial" w:hAnsiTheme="minorHAnsi" w:cstheme="minorHAnsi"/>
          <w:sz w:val="22"/>
          <w:szCs w:val="22"/>
        </w:rPr>
        <w:t>Faktur</w:t>
      </w:r>
      <w:r w:rsidR="00E25CFD">
        <w:rPr>
          <w:rFonts w:asciiTheme="minorHAnsi" w:eastAsia="Arial" w:hAnsiTheme="minorHAnsi" w:cstheme="minorHAnsi"/>
          <w:sz w:val="22"/>
          <w:szCs w:val="22"/>
        </w:rPr>
        <w:t>a</w:t>
      </w:r>
      <w:r>
        <w:rPr>
          <w:rFonts w:asciiTheme="minorHAnsi" w:eastAsia="Arial" w:hAnsiTheme="minorHAnsi" w:cstheme="minorHAnsi"/>
          <w:sz w:val="22"/>
          <w:szCs w:val="22"/>
        </w:rPr>
        <w:t xml:space="preserve"> bud</w:t>
      </w:r>
      <w:r w:rsidR="00E25CFD">
        <w:rPr>
          <w:rFonts w:asciiTheme="minorHAnsi" w:eastAsia="Arial" w:hAnsiTheme="minorHAnsi" w:cstheme="minorHAnsi"/>
          <w:sz w:val="22"/>
          <w:szCs w:val="22"/>
        </w:rPr>
        <w:t>e</w:t>
      </w:r>
      <w:r>
        <w:rPr>
          <w:rFonts w:asciiTheme="minorHAnsi" w:eastAsia="Arial" w:hAnsiTheme="minorHAnsi" w:cstheme="minorHAnsi"/>
          <w:sz w:val="22"/>
          <w:szCs w:val="22"/>
        </w:rPr>
        <w:t xml:space="preserve"> odesílán</w:t>
      </w:r>
      <w:r w:rsidR="00E25CFD">
        <w:rPr>
          <w:rFonts w:asciiTheme="minorHAnsi" w:eastAsia="Arial" w:hAnsiTheme="minorHAnsi" w:cstheme="minorHAnsi"/>
          <w:sz w:val="22"/>
          <w:szCs w:val="22"/>
        </w:rPr>
        <w:t>a</w:t>
      </w:r>
      <w:r>
        <w:rPr>
          <w:rFonts w:asciiTheme="minorHAnsi" w:eastAsia="Arial" w:hAnsiTheme="minorHAnsi" w:cstheme="minorHAnsi"/>
          <w:sz w:val="22"/>
          <w:szCs w:val="22"/>
        </w:rPr>
        <w:t xml:space="preserve"> elektronicky na </w:t>
      </w:r>
      <w:r w:rsidRPr="00A4133B">
        <w:rPr>
          <w:rFonts w:asciiTheme="minorHAnsi" w:eastAsia="Arial" w:hAnsiTheme="minorHAnsi" w:cstheme="minorHAnsi"/>
          <w:sz w:val="22"/>
          <w:szCs w:val="22"/>
        </w:rPr>
        <w:t xml:space="preserve">email: </w:t>
      </w:r>
      <w:proofErr w:type="spellStart"/>
      <w:r w:rsidR="00933279">
        <w:rPr>
          <w:rFonts w:asciiTheme="minorHAnsi" w:hAnsiTheme="minorHAnsi" w:cstheme="minorHAnsi"/>
          <w:b/>
          <w:sz w:val="22"/>
          <w:szCs w:val="22"/>
        </w:rPr>
        <w:t>xxx</w:t>
      </w:r>
      <w:proofErr w:type="spellEnd"/>
      <w:r w:rsidRPr="00A4133B">
        <w:rPr>
          <w:rFonts w:asciiTheme="minorHAnsi" w:eastAsia="Arial" w:hAnsiTheme="minorHAnsi" w:cstheme="minorHAnsi"/>
          <w:sz w:val="22"/>
          <w:szCs w:val="22"/>
        </w:rPr>
        <w:t>.</w:t>
      </w:r>
      <w:r>
        <w:rPr>
          <w:rFonts w:asciiTheme="minorHAnsi" w:hAnsiTheme="minorHAnsi" w:cstheme="minorHAnsi"/>
          <w:b/>
        </w:rPr>
        <w:t xml:space="preserve"> </w:t>
      </w:r>
    </w:p>
    <w:p w14:paraId="3554D345" w14:textId="2475B24E" w:rsidR="002412A6" w:rsidRPr="002412A6" w:rsidRDefault="002412A6" w:rsidP="002412A6">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hAnsiTheme="minorHAnsi" w:cstheme="minorHAnsi"/>
          <w:sz w:val="22"/>
          <w:szCs w:val="22"/>
        </w:rPr>
        <w:t>K odměně dle čl. 5.1 bude připočtena DPH v zákonné výši.</w:t>
      </w:r>
    </w:p>
    <w:p w14:paraId="5246177A" w14:textId="0812CFAA" w:rsidR="002412A6" w:rsidRPr="009C1AC5" w:rsidRDefault="002412A6" w:rsidP="002412A6">
      <w:pPr>
        <w:numPr>
          <w:ilvl w:val="1"/>
          <w:numId w:val="1"/>
        </w:numPr>
        <w:spacing w:after="120" w:line="240" w:lineRule="auto"/>
        <w:ind w:left="720" w:hanging="720"/>
        <w:jc w:val="both"/>
        <w:rPr>
          <w:rFonts w:asciiTheme="minorHAnsi" w:eastAsia="Arial" w:hAnsiTheme="minorHAnsi" w:cstheme="minorHAnsi"/>
          <w:sz w:val="22"/>
          <w:szCs w:val="22"/>
        </w:rPr>
      </w:pPr>
      <w:r>
        <w:rPr>
          <w:rFonts w:asciiTheme="minorHAnsi" w:hAnsiTheme="minorHAnsi" w:cstheme="minorHAnsi"/>
          <w:sz w:val="22"/>
          <w:szCs w:val="22"/>
        </w:rPr>
        <w:t xml:space="preserve">Smluvní strany sjednaly, že Nabyvatel </w:t>
      </w:r>
      <w:r w:rsidR="00F21C46">
        <w:rPr>
          <w:rFonts w:asciiTheme="minorHAnsi" w:hAnsiTheme="minorHAnsi" w:cstheme="minorHAnsi"/>
          <w:sz w:val="22"/>
          <w:szCs w:val="22"/>
        </w:rPr>
        <w:t>uhradí Poskytovateli odměnu za čerpání</w:t>
      </w:r>
      <w:r w:rsidR="00C60034">
        <w:rPr>
          <w:rFonts w:asciiTheme="minorHAnsi" w:hAnsiTheme="minorHAnsi" w:cstheme="minorHAnsi"/>
          <w:sz w:val="22"/>
          <w:szCs w:val="22"/>
        </w:rPr>
        <w:t xml:space="preserve"> služby a příslušnou DPH na základě</w:t>
      </w:r>
      <w:r w:rsidR="009C1AC5">
        <w:rPr>
          <w:rFonts w:asciiTheme="minorHAnsi" w:hAnsiTheme="minorHAnsi" w:cstheme="minorHAnsi"/>
          <w:sz w:val="22"/>
          <w:szCs w:val="22"/>
        </w:rPr>
        <w:t xml:space="preserve"> daňového dokladu se splatností 14 kalendářních dnů ode dne je</w:t>
      </w:r>
      <w:r w:rsidR="00E25CFD">
        <w:rPr>
          <w:rFonts w:asciiTheme="minorHAnsi" w:hAnsiTheme="minorHAnsi" w:cstheme="minorHAnsi"/>
          <w:sz w:val="22"/>
          <w:szCs w:val="22"/>
        </w:rPr>
        <w:t>ho</w:t>
      </w:r>
      <w:r w:rsidR="009C1AC5">
        <w:rPr>
          <w:rFonts w:asciiTheme="minorHAnsi" w:hAnsiTheme="minorHAnsi" w:cstheme="minorHAnsi"/>
          <w:sz w:val="22"/>
          <w:szCs w:val="22"/>
        </w:rPr>
        <w:t xml:space="preserve"> doručení, vystaven</w:t>
      </w:r>
      <w:r w:rsidR="00E25CFD">
        <w:rPr>
          <w:rFonts w:asciiTheme="minorHAnsi" w:hAnsiTheme="minorHAnsi" w:cstheme="minorHAnsi"/>
          <w:sz w:val="22"/>
          <w:szCs w:val="22"/>
        </w:rPr>
        <w:t>ého</w:t>
      </w:r>
      <w:r w:rsidR="009C1AC5">
        <w:rPr>
          <w:rFonts w:asciiTheme="minorHAnsi" w:hAnsiTheme="minorHAnsi" w:cstheme="minorHAnsi"/>
          <w:sz w:val="22"/>
          <w:szCs w:val="22"/>
        </w:rPr>
        <w:t xml:space="preserve"> po uzavření této smlouvy, a to bezhotovostním převodem na bankovní účet uvedený na příslušném dokladu vystaveném Poskytovatelem.</w:t>
      </w:r>
    </w:p>
    <w:p w14:paraId="3F7F93D3" w14:textId="77777777" w:rsidR="009C1AC5" w:rsidRPr="00451237" w:rsidRDefault="009C1AC5" w:rsidP="009C1AC5">
      <w:pPr>
        <w:numPr>
          <w:ilvl w:val="1"/>
          <w:numId w:val="1"/>
        </w:numPr>
        <w:spacing w:after="120" w:line="240" w:lineRule="auto"/>
        <w:ind w:left="720" w:hanging="720"/>
        <w:jc w:val="both"/>
        <w:rPr>
          <w:rFonts w:asciiTheme="minorHAnsi" w:eastAsia="Arial" w:hAnsiTheme="minorHAnsi" w:cstheme="minorHAnsi"/>
          <w:sz w:val="22"/>
          <w:szCs w:val="22"/>
        </w:rPr>
      </w:pPr>
      <w:r>
        <w:rPr>
          <w:rFonts w:asciiTheme="minorHAnsi" w:eastAsia="Arial" w:hAnsiTheme="minorHAnsi" w:cstheme="minorHAnsi"/>
          <w:sz w:val="22"/>
          <w:szCs w:val="22"/>
        </w:rPr>
        <w:t xml:space="preserve">Při </w:t>
      </w:r>
      <w:r w:rsidRPr="00451237">
        <w:rPr>
          <w:rFonts w:asciiTheme="minorHAnsi" w:eastAsia="Arial" w:hAnsiTheme="minorHAnsi" w:cstheme="minorHAnsi"/>
          <w:sz w:val="22"/>
          <w:szCs w:val="22"/>
        </w:rPr>
        <w:t xml:space="preserve">prodlení úhrady faktury se sjednává smluvní pokuta ve výši </w:t>
      </w:r>
      <w:r>
        <w:rPr>
          <w:rFonts w:asciiTheme="minorHAnsi" w:eastAsia="Arial" w:hAnsiTheme="minorHAnsi" w:cstheme="minorHAnsi"/>
          <w:sz w:val="22"/>
          <w:szCs w:val="22"/>
        </w:rPr>
        <w:t>0,5</w:t>
      </w:r>
      <w:r w:rsidRPr="00451237">
        <w:rPr>
          <w:rFonts w:asciiTheme="minorHAnsi" w:eastAsia="Arial" w:hAnsiTheme="minorHAnsi" w:cstheme="minorHAnsi"/>
          <w:sz w:val="22"/>
          <w:szCs w:val="22"/>
        </w:rPr>
        <w:t xml:space="preserve"> % z dlužné částky za každý den prodlení. V případě prodlení úhrady faktury překračující </w:t>
      </w:r>
      <w:r>
        <w:rPr>
          <w:rFonts w:asciiTheme="minorHAnsi" w:eastAsia="Arial" w:hAnsiTheme="minorHAnsi" w:cstheme="minorHAnsi"/>
          <w:sz w:val="22"/>
          <w:szCs w:val="22"/>
        </w:rPr>
        <w:t>14</w:t>
      </w:r>
      <w:r w:rsidRPr="00451237">
        <w:rPr>
          <w:rFonts w:asciiTheme="minorHAnsi" w:eastAsia="Arial" w:hAnsiTheme="minorHAnsi" w:cstheme="minorHAnsi"/>
          <w:sz w:val="22"/>
          <w:szCs w:val="22"/>
        </w:rPr>
        <w:t xml:space="preserve"> kalendářních dnů má Poskytovatel nárok na pozastavení aplikace do doby úhrady, aniž by se tím narušil nárok Poskytovatele na odměnu, a to bez nároku Objednavatele na náhradu období, po které byla aplikace pozastavena</w:t>
      </w:r>
      <w:r>
        <w:rPr>
          <w:rFonts w:asciiTheme="minorHAnsi" w:eastAsia="Arial" w:hAnsiTheme="minorHAnsi" w:cstheme="minorHAnsi"/>
          <w:sz w:val="22"/>
          <w:szCs w:val="22"/>
        </w:rPr>
        <w:t>.</w:t>
      </w:r>
    </w:p>
    <w:p w14:paraId="1C56CD83" w14:textId="77777777" w:rsidR="009C1AC5" w:rsidRPr="00451237" w:rsidRDefault="009C1AC5" w:rsidP="009C1AC5">
      <w:pPr>
        <w:spacing w:after="120" w:line="240" w:lineRule="auto"/>
        <w:ind w:left="720"/>
        <w:jc w:val="both"/>
        <w:rPr>
          <w:rFonts w:asciiTheme="minorHAnsi" w:eastAsia="Arial" w:hAnsiTheme="minorHAnsi" w:cstheme="minorHAnsi"/>
          <w:sz w:val="22"/>
          <w:szCs w:val="22"/>
        </w:rPr>
      </w:pPr>
    </w:p>
    <w:p w14:paraId="4916D57C" w14:textId="77777777" w:rsidR="009C1AC5" w:rsidRPr="00451237" w:rsidRDefault="009C1AC5" w:rsidP="009C1AC5">
      <w:pPr>
        <w:pStyle w:val="Odstavecseseznamem"/>
        <w:numPr>
          <w:ilvl w:val="0"/>
          <w:numId w:val="1"/>
        </w:numPr>
        <w:spacing w:before="140" w:after="0" w:line="240" w:lineRule="auto"/>
        <w:jc w:val="both"/>
        <w:rPr>
          <w:rFonts w:asciiTheme="minorHAnsi" w:eastAsia="Arial" w:hAnsiTheme="minorHAnsi" w:cstheme="minorHAnsi"/>
          <w:sz w:val="22"/>
          <w:szCs w:val="22"/>
        </w:rPr>
      </w:pPr>
      <w:r w:rsidRPr="00451237">
        <w:rPr>
          <w:rFonts w:asciiTheme="minorHAnsi" w:eastAsia="Arial" w:hAnsiTheme="minorHAnsi" w:cstheme="minorHAnsi"/>
          <w:b/>
          <w:sz w:val="22"/>
          <w:szCs w:val="22"/>
        </w:rPr>
        <w:t>T6. Trvání smlouvy</w:t>
      </w:r>
    </w:p>
    <w:p w14:paraId="0C08C70C" w14:textId="3E9AC6C6" w:rsidR="009C1AC5" w:rsidRPr="00451237" w:rsidRDefault="009C1AC5" w:rsidP="009C1AC5">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Tato smlouva se uzavírá na dobu určitou v trvání 1 roku ode dne uzavření.</w:t>
      </w:r>
      <w:r w:rsidR="005713BD">
        <w:rPr>
          <w:rFonts w:asciiTheme="minorHAnsi" w:eastAsia="Arial" w:hAnsiTheme="minorHAnsi" w:cstheme="minorHAnsi"/>
          <w:sz w:val="22"/>
          <w:szCs w:val="22"/>
        </w:rPr>
        <w:t xml:space="preserve"> Spuštění 1.3.2022.</w:t>
      </w:r>
    </w:p>
    <w:p w14:paraId="47C8D866" w14:textId="77777777" w:rsidR="009C1AC5" w:rsidRPr="008977BF" w:rsidRDefault="009C1AC5" w:rsidP="009C1AC5">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 xml:space="preserve">Před koncem sjednané doby trvání může Poskytovatel Nabyvateli zaslat návrh na prodloužení trvání této smlouvy, a to v podobě faktury na úhradu odměny </w:t>
      </w:r>
      <w:r>
        <w:rPr>
          <w:rFonts w:asciiTheme="minorHAnsi" w:eastAsia="Arial" w:hAnsiTheme="minorHAnsi" w:cstheme="minorHAnsi"/>
          <w:sz w:val="22"/>
          <w:szCs w:val="22"/>
        </w:rPr>
        <w:t>za</w:t>
      </w:r>
      <w:r w:rsidRPr="00451237">
        <w:rPr>
          <w:rFonts w:asciiTheme="minorHAnsi" w:eastAsia="Arial" w:hAnsiTheme="minorHAnsi" w:cstheme="minorHAnsi"/>
          <w:sz w:val="22"/>
          <w:szCs w:val="22"/>
        </w:rPr>
        <w:t xml:space="preserve"> další smluvní období</w:t>
      </w:r>
      <w:r>
        <w:rPr>
          <w:rFonts w:asciiTheme="minorHAnsi" w:eastAsia="Arial" w:hAnsiTheme="minorHAnsi" w:cstheme="minorHAnsi"/>
          <w:sz w:val="22"/>
          <w:szCs w:val="22"/>
        </w:rPr>
        <w:t>, anebo jeho část,</w:t>
      </w:r>
      <w:r w:rsidRPr="00451237">
        <w:rPr>
          <w:rFonts w:asciiTheme="minorHAnsi" w:eastAsia="Arial" w:hAnsiTheme="minorHAnsi" w:cstheme="minorHAnsi"/>
          <w:sz w:val="22"/>
          <w:szCs w:val="22"/>
        </w:rPr>
        <w:t xml:space="preserve"> anebo nabídky na prodloužení smlouvy. V případě uhrazení faktury</w:t>
      </w:r>
      <w:r>
        <w:rPr>
          <w:rFonts w:asciiTheme="minorHAnsi" w:eastAsia="Arial" w:hAnsiTheme="minorHAnsi" w:cstheme="minorHAnsi"/>
          <w:sz w:val="22"/>
          <w:szCs w:val="22"/>
        </w:rPr>
        <w:t xml:space="preserve"> vztažené k dalšímu smluvnímu období,</w:t>
      </w:r>
      <w:r w:rsidRPr="00451237">
        <w:rPr>
          <w:rFonts w:asciiTheme="minorHAnsi" w:eastAsia="Arial" w:hAnsiTheme="minorHAnsi" w:cstheme="minorHAnsi"/>
          <w:sz w:val="22"/>
          <w:szCs w:val="22"/>
        </w:rPr>
        <w:t xml:space="preserve"> anebo vyjádření souhlasu Nabyvatele s prodloužením smlouvy se trvání této smlouvy prodlužuje na další </w:t>
      </w:r>
      <w:r>
        <w:rPr>
          <w:rFonts w:asciiTheme="minorHAnsi" w:eastAsia="Arial" w:hAnsiTheme="minorHAnsi" w:cstheme="minorHAnsi"/>
          <w:sz w:val="22"/>
          <w:szCs w:val="22"/>
        </w:rPr>
        <w:t>1 rok</w:t>
      </w:r>
      <w:r w:rsidRPr="00451237">
        <w:rPr>
          <w:rFonts w:asciiTheme="minorHAnsi" w:eastAsia="Arial" w:hAnsiTheme="minorHAnsi" w:cstheme="minorHAnsi"/>
          <w:sz w:val="22"/>
          <w:szCs w:val="22"/>
        </w:rPr>
        <w:t>. Nebude-li faktura uhrazena anebo nabídka přijata, smlouva uplynutím sjednané doby trvání zaniká.</w:t>
      </w:r>
    </w:p>
    <w:p w14:paraId="7F228E01" w14:textId="77777777" w:rsidR="009C1AC5" w:rsidRPr="00451237" w:rsidRDefault="009C1AC5" w:rsidP="009C1AC5">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 xml:space="preserve">Faktura a/nebo nabídka podle čl. 6.2 může být zaslána písemně nebo elektronicky. Způsobem uvedeným v čl. 6.2 může být trvání smlouvy prodlouženo i opakovaně. Případné výhrady či protinávrhy Nabyvatele při </w:t>
      </w:r>
      <w:proofErr w:type="spellStart"/>
      <w:r w:rsidRPr="00451237">
        <w:rPr>
          <w:rFonts w:asciiTheme="minorHAnsi" w:eastAsia="Arial" w:hAnsiTheme="minorHAnsi" w:cstheme="minorHAnsi"/>
          <w:sz w:val="22"/>
          <w:szCs w:val="22"/>
        </w:rPr>
        <w:t>odsouhlasování</w:t>
      </w:r>
      <w:proofErr w:type="spellEnd"/>
      <w:r w:rsidRPr="00451237">
        <w:rPr>
          <w:rFonts w:asciiTheme="minorHAnsi" w:eastAsia="Arial" w:hAnsiTheme="minorHAnsi" w:cstheme="minorHAnsi"/>
          <w:sz w:val="22"/>
          <w:szCs w:val="22"/>
        </w:rPr>
        <w:t xml:space="preserve"> prodloužení smlouvy musí být výslovně odsouhlaseny Poskytovatelem, jinak se k nim nepřihlíží.</w:t>
      </w:r>
    </w:p>
    <w:p w14:paraId="6BAEAB1B" w14:textId="77777777" w:rsidR="009C1AC5" w:rsidRPr="00451237" w:rsidRDefault="009C1AC5" w:rsidP="009C1AC5">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Nabyvatel přebírá nebezpečí změny okolností po uzavření smlouvy a není tedy oprávněn se domáhat obnovení jednání o podmínkách této smlouvy po podstatné změně okolností, nastalé po uzavření této smlouvy, a to ani při prodlužování podle čl. 6.2 výše.</w:t>
      </w:r>
    </w:p>
    <w:p w14:paraId="26E716A2" w14:textId="77777777" w:rsidR="009C1AC5" w:rsidRPr="00451237" w:rsidRDefault="009C1AC5" w:rsidP="009C1AC5">
      <w:pPr>
        <w:spacing w:after="120" w:line="240" w:lineRule="auto"/>
        <w:ind w:left="720"/>
        <w:jc w:val="both"/>
        <w:rPr>
          <w:rFonts w:asciiTheme="minorHAnsi" w:eastAsia="Arial" w:hAnsiTheme="minorHAnsi" w:cstheme="minorHAnsi"/>
          <w:sz w:val="22"/>
          <w:szCs w:val="22"/>
        </w:rPr>
      </w:pPr>
    </w:p>
    <w:p w14:paraId="0A5C0704" w14:textId="77777777" w:rsidR="009C1AC5" w:rsidRPr="00451237" w:rsidRDefault="009C1AC5" w:rsidP="009C1AC5">
      <w:pPr>
        <w:keepNext/>
        <w:numPr>
          <w:ilvl w:val="0"/>
          <w:numId w:val="1"/>
        </w:numPr>
        <w:spacing w:before="140" w:after="0" w:line="240" w:lineRule="auto"/>
        <w:ind w:left="0" w:firstLine="0"/>
        <w:jc w:val="center"/>
        <w:rPr>
          <w:rFonts w:asciiTheme="minorHAnsi" w:eastAsia="Arial" w:hAnsiTheme="minorHAnsi" w:cstheme="minorHAnsi"/>
          <w:sz w:val="22"/>
          <w:szCs w:val="22"/>
        </w:rPr>
      </w:pPr>
      <w:r w:rsidRPr="00451237">
        <w:rPr>
          <w:rFonts w:asciiTheme="minorHAnsi" w:eastAsia="Arial" w:hAnsiTheme="minorHAnsi" w:cstheme="minorHAnsi"/>
          <w:b/>
          <w:sz w:val="22"/>
          <w:szCs w:val="22"/>
        </w:rPr>
        <w:t>Závěrečná ustanovení</w:t>
      </w:r>
    </w:p>
    <w:p w14:paraId="0785E6D8" w14:textId="77777777" w:rsidR="009C1AC5" w:rsidRPr="00451237" w:rsidRDefault="009C1AC5" w:rsidP="009C1AC5">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Vztahuje-li se důvod neplatnosti resp. neúčinnosti jen na některé ustanovení této smlouvy, je neplatným resp. neúčinným pouze toto ustanovení, pokud z jeho povahy nebo obsahu anebo z okolností, za nichž bylo sjednáno, nevyplývá, že je nelze oddělit od ostatního obsahu smlouvy.</w:t>
      </w:r>
    </w:p>
    <w:p w14:paraId="36F59D66" w14:textId="77777777" w:rsidR="009C1AC5" w:rsidRPr="00451237" w:rsidRDefault="009C1AC5" w:rsidP="009C1AC5">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lastRenderedPageBreak/>
        <w:t>Tato smlouva představuje úplnou a výlučnou dohodu smluvních stran o předmětu této smlouvy a nahrazuje veškerá předchozí ujednání smluvních stran v přímé nebo nepřímé souvislosti s předmětem této smlouvy. Tam, kde se strany v této smlouvě případně odchylují od platného zákona, činí tak po pečlivém projednání a v dobré víře, že od příslušných ustanovení zákona je možné se smluvně odchýlit. Pokud bude v budoucnu konstatováno, že od konkrétního ustanovení zákona se není možné odchýlit způsobem, který strany v této smlouvě ujednaly, vzdávají se strany pro tento případ práva dovolávat se relativní neplatnosti příslušného ujednání. Tuto smlouvu je možné měnit pouze písemnou dohodou smluvních stran ve formě číslovaných dodatků této smlouvy, nevyplývá-li z této smlouvy něco jiného.</w:t>
      </w:r>
    </w:p>
    <w:p w14:paraId="07A41CFD" w14:textId="77777777" w:rsidR="009C1AC5" w:rsidRPr="00451237" w:rsidRDefault="009C1AC5" w:rsidP="009C1AC5">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Smluvní strany sjednaly, že pro řešení sporů ze vztahů vzniklých na základě této smlouvy je místně příslušný soud, v jehož obvodu je sídlo Poskytovatele.</w:t>
      </w:r>
    </w:p>
    <w:p w14:paraId="3DF8BB99" w14:textId="77777777" w:rsidR="009C1AC5" w:rsidRPr="00451237" w:rsidRDefault="009C1AC5" w:rsidP="009C1AC5">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Poskytovatel je tímto oprávněn uvádět název a/či logo Nabyvatele ve svém seznamu referenčních klientů na svých internetových prezentacích, sociálních sítích, propagačních materiálech a podobně.</w:t>
      </w:r>
    </w:p>
    <w:p w14:paraId="0A41C470" w14:textId="77777777" w:rsidR="009C1AC5" w:rsidRPr="00451237" w:rsidRDefault="009C1AC5" w:rsidP="009C1AC5">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Tato smlouva je uzavřena ve dvou vyhotoveních, z nichž každá strana obdrží po jednom.</w:t>
      </w:r>
    </w:p>
    <w:p w14:paraId="1819A6BA" w14:textId="7A935180" w:rsidR="009C1AC5" w:rsidRDefault="009C1AC5" w:rsidP="009C1AC5">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 xml:space="preserve">Smluvní strany prohlašují, že si tuto smlouvu řádně přečetly, a na důkaz souhlasu s jejím obsahem připojují své podpisy. </w:t>
      </w:r>
    </w:p>
    <w:p w14:paraId="00AAA1ED" w14:textId="00239A41" w:rsidR="005643F3" w:rsidRPr="00451237" w:rsidRDefault="005643F3" w:rsidP="009C1AC5">
      <w:pPr>
        <w:numPr>
          <w:ilvl w:val="1"/>
          <w:numId w:val="1"/>
        </w:numPr>
        <w:spacing w:after="120" w:line="240" w:lineRule="auto"/>
        <w:ind w:left="720" w:hanging="720"/>
        <w:jc w:val="both"/>
        <w:rPr>
          <w:rFonts w:asciiTheme="minorHAnsi" w:eastAsia="Arial" w:hAnsiTheme="minorHAnsi" w:cstheme="minorHAnsi"/>
          <w:sz w:val="22"/>
          <w:szCs w:val="22"/>
        </w:rPr>
      </w:pPr>
      <w:r>
        <w:rPr>
          <w:rFonts w:asciiTheme="minorHAnsi" w:eastAsia="Arial" w:hAnsiTheme="minorHAnsi" w:cstheme="minorHAnsi"/>
          <w:sz w:val="22"/>
          <w:szCs w:val="22"/>
        </w:rPr>
        <w:t>Smlouva nabývá účinnosti ode dne zveřejnění v Registru smluv.</w:t>
      </w:r>
    </w:p>
    <w:p w14:paraId="2B1DDD3A" w14:textId="77777777" w:rsidR="009C1AC5" w:rsidRPr="00451237" w:rsidRDefault="009C1AC5" w:rsidP="009C1AC5">
      <w:pPr>
        <w:spacing w:after="120" w:line="240" w:lineRule="auto"/>
        <w:rPr>
          <w:rFonts w:asciiTheme="minorHAnsi" w:eastAsia="Arial" w:hAnsiTheme="minorHAnsi" w:cstheme="minorHAnsi"/>
          <w:b/>
          <w:sz w:val="22"/>
          <w:szCs w:val="22"/>
          <w:highlight w:val="yellow"/>
        </w:rPr>
      </w:pPr>
    </w:p>
    <w:p w14:paraId="33BCC1A1" w14:textId="77777777" w:rsidR="009C1AC5" w:rsidRPr="00451237" w:rsidRDefault="009C1AC5" w:rsidP="009C1AC5">
      <w:pPr>
        <w:spacing w:after="120" w:line="240" w:lineRule="auto"/>
        <w:rPr>
          <w:rFonts w:asciiTheme="minorHAnsi" w:eastAsia="Arial" w:hAnsiTheme="minorHAnsi" w:cstheme="minorHAnsi"/>
          <w:b/>
          <w:sz w:val="22"/>
          <w:szCs w:val="22"/>
          <w:highlight w:val="yellow"/>
        </w:rPr>
      </w:pPr>
    </w:p>
    <w:tbl>
      <w:tblPr>
        <w:tblStyle w:val="Mkatabulky"/>
        <w:tblpPr w:leftFromText="141" w:rightFromText="141" w:vertAnchor="text" w:horzAnchor="margin" w:tblpY="-6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9C1AC5" w:rsidRPr="00451237" w14:paraId="71C1ADE9" w14:textId="77777777" w:rsidTr="001957A6">
        <w:tc>
          <w:tcPr>
            <w:tcW w:w="4606" w:type="dxa"/>
          </w:tcPr>
          <w:p w14:paraId="6B5D02DF" w14:textId="77777777" w:rsidR="009C1AC5" w:rsidRPr="00904DC5" w:rsidRDefault="009C1AC5" w:rsidP="001957A6">
            <w:pPr>
              <w:pStyle w:val="slovn"/>
              <w:numPr>
                <w:ilvl w:val="0"/>
                <w:numId w:val="0"/>
              </w:numPr>
              <w:spacing w:after="0"/>
              <w:jc w:val="center"/>
              <w:rPr>
                <w:rFonts w:asciiTheme="minorHAnsi" w:hAnsiTheme="minorHAnsi" w:cstheme="minorHAnsi"/>
                <w:lang w:val="cs-CZ"/>
              </w:rPr>
            </w:pPr>
            <w:r w:rsidRPr="00904DC5">
              <w:rPr>
                <w:rFonts w:asciiTheme="minorHAnsi" w:hAnsiTheme="minorHAnsi" w:cstheme="minorHAnsi"/>
                <w:lang w:val="cs-CZ"/>
              </w:rPr>
              <w:t>Praha, dne 14/02/2022</w:t>
            </w:r>
          </w:p>
          <w:p w14:paraId="6A44067E" w14:textId="77777777" w:rsidR="009C1AC5" w:rsidRPr="00904DC5" w:rsidRDefault="009C1AC5" w:rsidP="001957A6">
            <w:pPr>
              <w:pStyle w:val="slovn"/>
              <w:numPr>
                <w:ilvl w:val="0"/>
                <w:numId w:val="0"/>
              </w:numPr>
              <w:spacing w:after="0"/>
              <w:jc w:val="both"/>
              <w:rPr>
                <w:rFonts w:asciiTheme="minorHAnsi" w:hAnsiTheme="minorHAnsi" w:cstheme="minorHAnsi"/>
                <w:lang w:val="cs-CZ"/>
              </w:rPr>
            </w:pPr>
          </w:p>
          <w:p w14:paraId="4EB9F5C0" w14:textId="2EE43C09" w:rsidR="009C1AC5" w:rsidRPr="00904DC5" w:rsidRDefault="009C1AC5" w:rsidP="001957A6">
            <w:pPr>
              <w:pStyle w:val="slovn"/>
              <w:numPr>
                <w:ilvl w:val="0"/>
                <w:numId w:val="0"/>
              </w:numPr>
              <w:spacing w:after="0"/>
              <w:jc w:val="both"/>
              <w:rPr>
                <w:rFonts w:asciiTheme="minorHAnsi" w:hAnsiTheme="minorHAnsi" w:cstheme="minorHAnsi"/>
                <w:lang w:val="cs-CZ"/>
              </w:rPr>
            </w:pPr>
            <w:bookmarkStart w:id="1" w:name="_GoBack"/>
            <w:bookmarkEnd w:id="1"/>
          </w:p>
          <w:p w14:paraId="4F15A8C1" w14:textId="77777777" w:rsidR="009C1AC5" w:rsidRPr="00904DC5" w:rsidRDefault="009C1AC5" w:rsidP="001957A6">
            <w:pPr>
              <w:pStyle w:val="slovn"/>
              <w:numPr>
                <w:ilvl w:val="0"/>
                <w:numId w:val="0"/>
              </w:numPr>
              <w:spacing w:after="0"/>
              <w:jc w:val="both"/>
              <w:rPr>
                <w:rFonts w:asciiTheme="minorHAnsi" w:hAnsiTheme="minorHAnsi" w:cstheme="minorHAnsi"/>
                <w:lang w:val="cs-CZ"/>
              </w:rPr>
            </w:pPr>
          </w:p>
          <w:p w14:paraId="0CF7E46F" w14:textId="77777777" w:rsidR="009C1AC5" w:rsidRPr="00904DC5" w:rsidRDefault="009C1AC5" w:rsidP="001957A6">
            <w:pPr>
              <w:pStyle w:val="slovn"/>
              <w:numPr>
                <w:ilvl w:val="0"/>
                <w:numId w:val="0"/>
              </w:numPr>
              <w:spacing w:after="0"/>
              <w:jc w:val="both"/>
              <w:rPr>
                <w:rFonts w:asciiTheme="minorHAnsi" w:hAnsiTheme="minorHAnsi" w:cstheme="minorHAnsi"/>
                <w:lang w:val="cs-CZ"/>
              </w:rPr>
            </w:pPr>
          </w:p>
          <w:p w14:paraId="1D033484" w14:textId="77777777" w:rsidR="009C1AC5" w:rsidRPr="00904DC5" w:rsidRDefault="009C1AC5" w:rsidP="001957A6">
            <w:pPr>
              <w:pStyle w:val="slovn"/>
              <w:numPr>
                <w:ilvl w:val="0"/>
                <w:numId w:val="0"/>
              </w:numPr>
              <w:spacing w:after="0"/>
              <w:jc w:val="both"/>
              <w:rPr>
                <w:rFonts w:asciiTheme="minorHAnsi" w:hAnsiTheme="minorHAnsi" w:cstheme="minorHAnsi"/>
                <w:lang w:val="cs-CZ"/>
              </w:rPr>
            </w:pPr>
          </w:p>
          <w:p w14:paraId="1F027CA7" w14:textId="77777777" w:rsidR="009C1AC5" w:rsidRPr="00904DC5" w:rsidRDefault="009C1AC5" w:rsidP="001957A6">
            <w:pPr>
              <w:pStyle w:val="slovn"/>
              <w:numPr>
                <w:ilvl w:val="0"/>
                <w:numId w:val="0"/>
              </w:numPr>
              <w:spacing w:after="0"/>
              <w:jc w:val="both"/>
              <w:rPr>
                <w:rFonts w:asciiTheme="minorHAnsi" w:hAnsiTheme="minorHAnsi" w:cstheme="minorHAnsi"/>
                <w:lang w:val="cs-CZ"/>
              </w:rPr>
            </w:pPr>
          </w:p>
          <w:p w14:paraId="3D74DE32" w14:textId="77777777" w:rsidR="009C1AC5" w:rsidRPr="00904DC5" w:rsidRDefault="009C1AC5" w:rsidP="001957A6">
            <w:pPr>
              <w:pStyle w:val="slovn"/>
              <w:numPr>
                <w:ilvl w:val="0"/>
                <w:numId w:val="0"/>
              </w:numPr>
              <w:spacing w:after="0"/>
              <w:jc w:val="both"/>
              <w:rPr>
                <w:rFonts w:asciiTheme="minorHAnsi" w:hAnsiTheme="minorHAnsi" w:cstheme="minorHAnsi"/>
                <w:lang w:val="cs-CZ"/>
              </w:rPr>
            </w:pPr>
          </w:p>
          <w:p w14:paraId="477D0199" w14:textId="77777777" w:rsidR="009C1AC5" w:rsidRPr="00904DC5" w:rsidRDefault="009C1AC5" w:rsidP="001957A6">
            <w:pPr>
              <w:pStyle w:val="slovn"/>
              <w:numPr>
                <w:ilvl w:val="0"/>
                <w:numId w:val="0"/>
              </w:numPr>
              <w:spacing w:after="0"/>
              <w:jc w:val="both"/>
              <w:rPr>
                <w:rFonts w:asciiTheme="minorHAnsi" w:hAnsiTheme="minorHAnsi" w:cstheme="minorHAnsi"/>
                <w:lang w:val="cs-CZ"/>
              </w:rPr>
            </w:pPr>
          </w:p>
          <w:p w14:paraId="21B337D4" w14:textId="77777777" w:rsidR="009C1AC5" w:rsidRPr="00904DC5" w:rsidRDefault="009C1AC5" w:rsidP="001957A6">
            <w:pPr>
              <w:pStyle w:val="slovn"/>
              <w:numPr>
                <w:ilvl w:val="0"/>
                <w:numId w:val="0"/>
              </w:numPr>
              <w:spacing w:after="0"/>
              <w:jc w:val="both"/>
              <w:rPr>
                <w:rFonts w:asciiTheme="minorHAnsi" w:hAnsiTheme="minorHAnsi" w:cstheme="minorHAnsi"/>
                <w:lang w:val="cs-CZ"/>
              </w:rPr>
            </w:pPr>
          </w:p>
          <w:p w14:paraId="73719368" w14:textId="77777777" w:rsidR="009C1AC5" w:rsidRPr="00904DC5" w:rsidRDefault="009C1AC5" w:rsidP="001957A6">
            <w:pPr>
              <w:pStyle w:val="slovn"/>
              <w:numPr>
                <w:ilvl w:val="0"/>
                <w:numId w:val="0"/>
              </w:numPr>
              <w:spacing w:after="0"/>
              <w:jc w:val="center"/>
              <w:rPr>
                <w:rFonts w:asciiTheme="minorHAnsi" w:hAnsiTheme="minorHAnsi" w:cstheme="minorHAnsi"/>
                <w:lang w:val="cs-CZ"/>
              </w:rPr>
            </w:pPr>
            <w:r w:rsidRPr="00904DC5">
              <w:rPr>
                <w:rFonts w:asciiTheme="minorHAnsi" w:hAnsiTheme="minorHAnsi" w:cstheme="minorHAnsi"/>
                <w:lang w:val="cs-CZ"/>
              </w:rPr>
              <w:t>……………………………………………………</w:t>
            </w:r>
          </w:p>
          <w:p w14:paraId="6731035A" w14:textId="77777777" w:rsidR="009C1AC5" w:rsidRPr="00904DC5" w:rsidRDefault="009C1AC5" w:rsidP="001957A6">
            <w:pPr>
              <w:pStyle w:val="slovn"/>
              <w:numPr>
                <w:ilvl w:val="0"/>
                <w:numId w:val="0"/>
              </w:numPr>
              <w:spacing w:after="0"/>
              <w:jc w:val="center"/>
              <w:rPr>
                <w:rFonts w:asciiTheme="minorHAnsi" w:hAnsiTheme="minorHAnsi" w:cstheme="minorHAnsi"/>
                <w:lang w:val="cs-CZ"/>
              </w:rPr>
            </w:pPr>
            <w:r w:rsidRPr="00904DC5">
              <w:rPr>
                <w:rFonts w:asciiTheme="minorHAnsi" w:hAnsiTheme="minorHAnsi" w:cstheme="minorHAnsi"/>
                <w:lang w:val="cs-CZ"/>
              </w:rPr>
              <w:t>Poskytovatel</w:t>
            </w:r>
          </w:p>
          <w:p w14:paraId="5E5A7639" w14:textId="77777777" w:rsidR="009C1AC5" w:rsidRPr="00904DC5" w:rsidRDefault="009C1AC5" w:rsidP="001957A6">
            <w:pPr>
              <w:pStyle w:val="slovn"/>
              <w:numPr>
                <w:ilvl w:val="0"/>
                <w:numId w:val="0"/>
              </w:numPr>
              <w:spacing w:after="0"/>
              <w:jc w:val="center"/>
              <w:rPr>
                <w:rFonts w:asciiTheme="minorHAnsi" w:hAnsiTheme="minorHAnsi" w:cstheme="minorHAnsi"/>
                <w:b/>
                <w:lang w:val="cs-CZ"/>
              </w:rPr>
            </w:pPr>
            <w:proofErr w:type="spellStart"/>
            <w:r w:rsidRPr="00904DC5">
              <w:rPr>
                <w:rFonts w:asciiTheme="minorHAnsi" w:hAnsiTheme="minorHAnsi" w:cstheme="minorHAnsi"/>
                <w:b/>
                <w:lang w:val="cs-CZ"/>
              </w:rPr>
              <w:t>Monitora</w:t>
            </w:r>
            <w:proofErr w:type="spellEnd"/>
            <w:r w:rsidRPr="00904DC5">
              <w:rPr>
                <w:rFonts w:asciiTheme="minorHAnsi" w:hAnsiTheme="minorHAnsi" w:cstheme="minorHAnsi"/>
                <w:b/>
                <w:lang w:val="cs-CZ"/>
              </w:rPr>
              <w:t xml:space="preserve"> media, s.r.o.</w:t>
            </w:r>
          </w:p>
          <w:p w14:paraId="4F766370" w14:textId="77777777" w:rsidR="009C1AC5" w:rsidRPr="00451237" w:rsidRDefault="009C1AC5" w:rsidP="001957A6">
            <w:pPr>
              <w:pStyle w:val="slovn"/>
              <w:numPr>
                <w:ilvl w:val="0"/>
                <w:numId w:val="0"/>
              </w:numPr>
              <w:spacing w:after="0"/>
              <w:jc w:val="center"/>
              <w:rPr>
                <w:rFonts w:asciiTheme="minorHAnsi" w:hAnsiTheme="minorHAnsi" w:cstheme="minorHAnsi"/>
                <w:b/>
              </w:rPr>
            </w:pPr>
            <w:r w:rsidRPr="00451237">
              <w:rPr>
                <w:rFonts w:asciiTheme="minorHAnsi" w:hAnsiTheme="minorHAnsi" w:cstheme="minorHAnsi"/>
                <w:b/>
              </w:rPr>
              <w:t xml:space="preserve">Tomáš Berger, </w:t>
            </w:r>
            <w:proofErr w:type="spellStart"/>
            <w:r w:rsidRPr="00451237">
              <w:rPr>
                <w:rFonts w:asciiTheme="minorHAnsi" w:hAnsiTheme="minorHAnsi" w:cstheme="minorHAnsi"/>
                <w:b/>
              </w:rPr>
              <w:t>jednatel</w:t>
            </w:r>
            <w:proofErr w:type="spellEnd"/>
          </w:p>
          <w:p w14:paraId="0BD1ADC3" w14:textId="77777777" w:rsidR="009C1AC5" w:rsidRPr="00451237" w:rsidRDefault="009C1AC5" w:rsidP="001957A6">
            <w:pPr>
              <w:pStyle w:val="Bezmezer"/>
              <w:tabs>
                <w:tab w:val="left" w:pos="2835"/>
              </w:tabs>
              <w:jc w:val="center"/>
              <w:rPr>
                <w:rFonts w:asciiTheme="minorHAnsi" w:hAnsiTheme="minorHAnsi" w:cstheme="minorHAnsi"/>
                <w:b/>
              </w:rPr>
            </w:pPr>
          </w:p>
        </w:tc>
        <w:tc>
          <w:tcPr>
            <w:tcW w:w="4606" w:type="dxa"/>
          </w:tcPr>
          <w:p w14:paraId="0603BECD" w14:textId="0172A065" w:rsidR="009C1AC5" w:rsidRPr="00451237" w:rsidRDefault="009C1AC5" w:rsidP="001957A6">
            <w:pPr>
              <w:pStyle w:val="slovn"/>
              <w:numPr>
                <w:ilvl w:val="0"/>
                <w:numId w:val="0"/>
              </w:numPr>
              <w:spacing w:after="0"/>
              <w:jc w:val="center"/>
              <w:rPr>
                <w:rFonts w:asciiTheme="minorHAnsi" w:hAnsiTheme="minorHAnsi" w:cstheme="minorHAnsi"/>
              </w:rPr>
            </w:pPr>
            <w:r w:rsidRPr="00451237">
              <w:rPr>
                <w:rFonts w:asciiTheme="minorHAnsi" w:hAnsiTheme="minorHAnsi" w:cstheme="minorHAnsi"/>
              </w:rPr>
              <w:t xml:space="preserve">Olomouc, </w:t>
            </w:r>
            <w:proofErr w:type="spellStart"/>
            <w:r w:rsidRPr="00451237">
              <w:rPr>
                <w:rFonts w:asciiTheme="minorHAnsi" w:hAnsiTheme="minorHAnsi" w:cstheme="minorHAnsi"/>
              </w:rPr>
              <w:t>dne</w:t>
            </w:r>
            <w:proofErr w:type="spellEnd"/>
            <w:r w:rsidRPr="00451237">
              <w:rPr>
                <w:rFonts w:asciiTheme="minorHAnsi" w:hAnsiTheme="minorHAnsi" w:cstheme="minorHAnsi"/>
              </w:rPr>
              <w:t xml:space="preserve"> </w:t>
            </w:r>
            <w:r w:rsidR="00044F2A">
              <w:rPr>
                <w:rFonts w:asciiTheme="minorHAnsi" w:hAnsiTheme="minorHAnsi" w:cstheme="minorHAnsi"/>
              </w:rPr>
              <w:t>14. 2. 2022</w:t>
            </w:r>
          </w:p>
          <w:p w14:paraId="58BB7159" w14:textId="77777777" w:rsidR="009C1AC5" w:rsidRPr="00451237" w:rsidRDefault="009C1AC5" w:rsidP="001957A6">
            <w:pPr>
              <w:pStyle w:val="slovn"/>
              <w:numPr>
                <w:ilvl w:val="0"/>
                <w:numId w:val="0"/>
              </w:numPr>
              <w:spacing w:after="0"/>
              <w:jc w:val="center"/>
              <w:rPr>
                <w:rFonts w:asciiTheme="minorHAnsi" w:hAnsiTheme="minorHAnsi" w:cstheme="minorHAnsi"/>
              </w:rPr>
            </w:pPr>
          </w:p>
          <w:p w14:paraId="29F849FC" w14:textId="77777777" w:rsidR="009C1AC5" w:rsidRPr="00451237" w:rsidRDefault="009C1AC5" w:rsidP="001957A6">
            <w:pPr>
              <w:pStyle w:val="slovn"/>
              <w:numPr>
                <w:ilvl w:val="0"/>
                <w:numId w:val="0"/>
              </w:numPr>
              <w:spacing w:after="0"/>
              <w:jc w:val="center"/>
              <w:rPr>
                <w:rFonts w:asciiTheme="minorHAnsi" w:hAnsiTheme="minorHAnsi" w:cstheme="minorHAnsi"/>
              </w:rPr>
            </w:pPr>
          </w:p>
          <w:p w14:paraId="353B1C8B" w14:textId="77777777" w:rsidR="009C1AC5" w:rsidRPr="00451237" w:rsidRDefault="009C1AC5" w:rsidP="001957A6">
            <w:pPr>
              <w:pStyle w:val="slovn"/>
              <w:numPr>
                <w:ilvl w:val="0"/>
                <w:numId w:val="0"/>
              </w:numPr>
              <w:spacing w:after="0"/>
              <w:jc w:val="center"/>
              <w:rPr>
                <w:rFonts w:asciiTheme="minorHAnsi" w:hAnsiTheme="minorHAnsi" w:cstheme="minorHAnsi"/>
              </w:rPr>
            </w:pPr>
          </w:p>
          <w:p w14:paraId="37C2CBBA" w14:textId="77777777" w:rsidR="009C1AC5" w:rsidRPr="00451237" w:rsidRDefault="009C1AC5" w:rsidP="001957A6">
            <w:pPr>
              <w:pStyle w:val="slovn"/>
              <w:numPr>
                <w:ilvl w:val="0"/>
                <w:numId w:val="0"/>
              </w:numPr>
              <w:spacing w:after="0"/>
              <w:jc w:val="center"/>
              <w:rPr>
                <w:rFonts w:asciiTheme="minorHAnsi" w:hAnsiTheme="minorHAnsi" w:cstheme="minorHAnsi"/>
              </w:rPr>
            </w:pPr>
          </w:p>
          <w:p w14:paraId="470E6022" w14:textId="77777777" w:rsidR="009C1AC5" w:rsidRPr="00451237" w:rsidRDefault="009C1AC5" w:rsidP="001957A6">
            <w:pPr>
              <w:pStyle w:val="slovn"/>
              <w:numPr>
                <w:ilvl w:val="0"/>
                <w:numId w:val="0"/>
              </w:numPr>
              <w:spacing w:after="0"/>
              <w:jc w:val="center"/>
              <w:rPr>
                <w:rFonts w:asciiTheme="minorHAnsi" w:hAnsiTheme="minorHAnsi" w:cstheme="minorHAnsi"/>
              </w:rPr>
            </w:pPr>
          </w:p>
          <w:p w14:paraId="0D8ACFB9" w14:textId="77777777" w:rsidR="009C1AC5" w:rsidRPr="00451237" w:rsidRDefault="009C1AC5" w:rsidP="001957A6">
            <w:pPr>
              <w:pStyle w:val="slovn"/>
              <w:numPr>
                <w:ilvl w:val="0"/>
                <w:numId w:val="0"/>
              </w:numPr>
              <w:spacing w:after="0"/>
              <w:jc w:val="center"/>
              <w:rPr>
                <w:rFonts w:asciiTheme="minorHAnsi" w:hAnsiTheme="minorHAnsi" w:cstheme="minorHAnsi"/>
              </w:rPr>
            </w:pPr>
          </w:p>
          <w:p w14:paraId="214F97BE" w14:textId="77777777" w:rsidR="009C1AC5" w:rsidRPr="00451237" w:rsidRDefault="009C1AC5" w:rsidP="001957A6">
            <w:pPr>
              <w:pStyle w:val="slovn"/>
              <w:numPr>
                <w:ilvl w:val="0"/>
                <w:numId w:val="0"/>
              </w:numPr>
              <w:spacing w:after="0"/>
              <w:jc w:val="center"/>
              <w:rPr>
                <w:rFonts w:asciiTheme="minorHAnsi" w:hAnsiTheme="minorHAnsi" w:cstheme="minorHAnsi"/>
              </w:rPr>
            </w:pPr>
          </w:p>
          <w:p w14:paraId="057D1BF5" w14:textId="77777777" w:rsidR="009C1AC5" w:rsidRPr="00451237" w:rsidRDefault="009C1AC5" w:rsidP="001957A6">
            <w:pPr>
              <w:pStyle w:val="slovn"/>
              <w:numPr>
                <w:ilvl w:val="0"/>
                <w:numId w:val="0"/>
              </w:numPr>
              <w:spacing w:after="0"/>
              <w:jc w:val="center"/>
              <w:rPr>
                <w:rFonts w:asciiTheme="minorHAnsi" w:hAnsiTheme="minorHAnsi" w:cstheme="minorHAnsi"/>
              </w:rPr>
            </w:pPr>
          </w:p>
          <w:p w14:paraId="2BA647DE" w14:textId="77777777" w:rsidR="009C1AC5" w:rsidRPr="00451237" w:rsidRDefault="009C1AC5" w:rsidP="001957A6">
            <w:pPr>
              <w:pStyle w:val="slovn"/>
              <w:numPr>
                <w:ilvl w:val="0"/>
                <w:numId w:val="0"/>
              </w:numPr>
              <w:spacing w:after="0"/>
              <w:jc w:val="center"/>
              <w:rPr>
                <w:rFonts w:asciiTheme="minorHAnsi" w:hAnsiTheme="minorHAnsi" w:cstheme="minorHAnsi"/>
              </w:rPr>
            </w:pPr>
          </w:p>
          <w:p w14:paraId="251FDC87" w14:textId="77777777" w:rsidR="009C1AC5" w:rsidRPr="00451237" w:rsidRDefault="009C1AC5" w:rsidP="001957A6">
            <w:pPr>
              <w:pStyle w:val="slovn"/>
              <w:numPr>
                <w:ilvl w:val="0"/>
                <w:numId w:val="0"/>
              </w:numPr>
              <w:spacing w:after="0"/>
              <w:jc w:val="center"/>
              <w:rPr>
                <w:rFonts w:asciiTheme="minorHAnsi" w:hAnsiTheme="minorHAnsi" w:cstheme="minorHAnsi"/>
              </w:rPr>
            </w:pPr>
            <w:r w:rsidRPr="00451237">
              <w:rPr>
                <w:rFonts w:asciiTheme="minorHAnsi" w:hAnsiTheme="minorHAnsi" w:cstheme="minorHAnsi"/>
              </w:rPr>
              <w:t>……………………………………………………</w:t>
            </w:r>
          </w:p>
          <w:p w14:paraId="525BE874" w14:textId="77777777" w:rsidR="009C1AC5" w:rsidRPr="00451237" w:rsidRDefault="009C1AC5" w:rsidP="001957A6">
            <w:pPr>
              <w:pStyle w:val="slovn"/>
              <w:numPr>
                <w:ilvl w:val="0"/>
                <w:numId w:val="0"/>
              </w:numPr>
              <w:spacing w:after="0"/>
              <w:jc w:val="center"/>
              <w:rPr>
                <w:rFonts w:asciiTheme="minorHAnsi" w:hAnsiTheme="minorHAnsi" w:cstheme="minorHAnsi"/>
              </w:rPr>
            </w:pPr>
            <w:proofErr w:type="spellStart"/>
            <w:r w:rsidRPr="00451237">
              <w:rPr>
                <w:rFonts w:asciiTheme="minorHAnsi" w:hAnsiTheme="minorHAnsi" w:cstheme="minorHAnsi"/>
              </w:rPr>
              <w:t>Nabyvatel</w:t>
            </w:r>
            <w:proofErr w:type="spellEnd"/>
          </w:p>
          <w:p w14:paraId="2AF199EF" w14:textId="77777777" w:rsidR="009C1AC5" w:rsidRPr="00451237" w:rsidRDefault="009C1AC5" w:rsidP="001957A6">
            <w:pPr>
              <w:pStyle w:val="slovn"/>
              <w:numPr>
                <w:ilvl w:val="0"/>
                <w:numId w:val="0"/>
              </w:numPr>
              <w:spacing w:after="0"/>
              <w:jc w:val="center"/>
              <w:rPr>
                <w:rFonts w:asciiTheme="minorHAnsi" w:hAnsiTheme="minorHAnsi" w:cstheme="minorHAnsi"/>
                <w:b/>
              </w:rPr>
            </w:pPr>
            <w:proofErr w:type="spellStart"/>
            <w:r w:rsidRPr="00451237">
              <w:rPr>
                <w:rFonts w:asciiTheme="minorHAnsi" w:hAnsiTheme="minorHAnsi" w:cstheme="minorHAnsi"/>
                <w:b/>
              </w:rPr>
              <w:t>Muzeum</w:t>
            </w:r>
            <w:proofErr w:type="spellEnd"/>
            <w:r w:rsidRPr="00451237">
              <w:rPr>
                <w:rFonts w:asciiTheme="minorHAnsi" w:hAnsiTheme="minorHAnsi" w:cstheme="minorHAnsi"/>
                <w:b/>
              </w:rPr>
              <w:t xml:space="preserve"> </w:t>
            </w:r>
            <w:proofErr w:type="spellStart"/>
            <w:r w:rsidRPr="00451237">
              <w:rPr>
                <w:rFonts w:asciiTheme="minorHAnsi" w:hAnsiTheme="minorHAnsi" w:cstheme="minorHAnsi"/>
                <w:b/>
              </w:rPr>
              <w:t>umění</w:t>
            </w:r>
            <w:proofErr w:type="spellEnd"/>
            <w:r w:rsidRPr="00451237">
              <w:rPr>
                <w:rFonts w:asciiTheme="minorHAnsi" w:hAnsiTheme="minorHAnsi" w:cstheme="minorHAnsi"/>
                <w:b/>
              </w:rPr>
              <w:t xml:space="preserve"> Olomouc</w:t>
            </w:r>
          </w:p>
          <w:p w14:paraId="11AB3FF7" w14:textId="43ACA955" w:rsidR="009C1AC5" w:rsidRPr="002458B4" w:rsidRDefault="009538F2" w:rsidP="009538F2">
            <w:pPr>
              <w:pStyle w:val="slovn"/>
              <w:numPr>
                <w:ilvl w:val="0"/>
                <w:numId w:val="0"/>
              </w:numPr>
              <w:spacing w:after="0"/>
              <w:jc w:val="center"/>
              <w:rPr>
                <w:rFonts w:asciiTheme="minorHAnsi" w:hAnsiTheme="minorHAnsi" w:cstheme="minorHAnsi"/>
                <w:b/>
              </w:rPr>
            </w:pPr>
            <w:r>
              <w:rPr>
                <w:rFonts w:asciiTheme="minorHAnsi" w:hAnsiTheme="minorHAnsi" w:cstheme="minorHAnsi"/>
                <w:b/>
              </w:rPr>
              <w:t xml:space="preserve">Mgr. Ondřej Zatloukal, </w:t>
            </w:r>
            <w:proofErr w:type="spellStart"/>
            <w:r>
              <w:rPr>
                <w:rFonts w:asciiTheme="minorHAnsi" w:hAnsiTheme="minorHAnsi" w:cstheme="minorHAnsi"/>
                <w:b/>
              </w:rPr>
              <w:t>ředitel</w:t>
            </w:r>
            <w:proofErr w:type="spellEnd"/>
          </w:p>
        </w:tc>
      </w:tr>
    </w:tbl>
    <w:p w14:paraId="68B9FB53" w14:textId="76918ACE" w:rsidR="009C1AC5" w:rsidRPr="00451237" w:rsidRDefault="009C1AC5" w:rsidP="005643F3">
      <w:pPr>
        <w:spacing w:after="120" w:line="240" w:lineRule="auto"/>
        <w:ind w:left="720"/>
        <w:jc w:val="both"/>
        <w:rPr>
          <w:rFonts w:asciiTheme="minorHAnsi" w:eastAsia="Arial" w:hAnsiTheme="minorHAnsi" w:cstheme="minorHAnsi"/>
          <w:sz w:val="22"/>
          <w:szCs w:val="22"/>
        </w:rPr>
      </w:pPr>
    </w:p>
    <w:p w14:paraId="122C9F13" w14:textId="77777777" w:rsidR="00B41EE0" w:rsidRDefault="00933279"/>
    <w:sectPr w:rsidR="00B41EE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74FE93" w14:textId="77777777" w:rsidR="004E532A" w:rsidRDefault="004E532A" w:rsidP="00422867">
      <w:pPr>
        <w:spacing w:after="0" w:line="240" w:lineRule="auto"/>
      </w:pPr>
      <w:r>
        <w:separator/>
      </w:r>
    </w:p>
  </w:endnote>
  <w:endnote w:type="continuationSeparator" w:id="0">
    <w:p w14:paraId="2569D421" w14:textId="77777777" w:rsidR="004E532A" w:rsidRDefault="004E532A" w:rsidP="00422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9CEB78" w14:textId="77777777" w:rsidR="00422867" w:rsidRDefault="00422867" w:rsidP="00422867">
    <w:pPr>
      <w:tabs>
        <w:tab w:val="center" w:pos="4536"/>
        <w:tab w:val="right" w:pos="9072"/>
      </w:tabs>
      <w:spacing w:before="100" w:after="280" w:line="240" w:lineRule="auto"/>
      <w:jc w:val="center"/>
    </w:pPr>
    <w:proofErr w:type="spellStart"/>
    <w:r>
      <w:rPr>
        <w:rFonts w:ascii="Arial" w:eastAsia="Arial" w:hAnsi="Arial" w:cs="Arial"/>
        <w:b/>
        <w:color w:val="434343"/>
        <w:sz w:val="16"/>
        <w:szCs w:val="16"/>
      </w:rPr>
      <w:t>Monitora</w:t>
    </w:r>
    <w:proofErr w:type="spellEnd"/>
    <w:r>
      <w:rPr>
        <w:rFonts w:ascii="Arial" w:eastAsia="Arial" w:hAnsi="Arial" w:cs="Arial"/>
        <w:b/>
        <w:color w:val="434343"/>
        <w:sz w:val="16"/>
        <w:szCs w:val="16"/>
      </w:rPr>
      <w:t xml:space="preserve"> media, s.r.o. (IČ: 3980481)      </w:t>
    </w:r>
    <w:r w:rsidRPr="003E7973">
      <w:rPr>
        <w:rFonts w:ascii="Arial" w:eastAsia="Arial" w:hAnsi="Arial" w:cs="Arial"/>
        <w:b/>
        <w:color w:val="434343"/>
        <w:sz w:val="16"/>
        <w:szCs w:val="16"/>
      </w:rPr>
      <w:t>Nádražní 762/32</w:t>
    </w:r>
    <w:r>
      <w:rPr>
        <w:rFonts w:ascii="Arial" w:eastAsia="Arial" w:hAnsi="Arial" w:cs="Arial"/>
        <w:b/>
        <w:color w:val="434343"/>
        <w:sz w:val="16"/>
        <w:szCs w:val="16"/>
      </w:rPr>
      <w:t>, Praha 5 155 00       www.monitora.cz</w:t>
    </w:r>
  </w:p>
  <w:p w14:paraId="76E612BE" w14:textId="77777777" w:rsidR="00422867" w:rsidRDefault="0042286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3296DA" w14:textId="77777777" w:rsidR="004E532A" w:rsidRDefault="004E532A" w:rsidP="00422867">
      <w:pPr>
        <w:spacing w:after="0" w:line="240" w:lineRule="auto"/>
      </w:pPr>
      <w:r>
        <w:separator/>
      </w:r>
    </w:p>
  </w:footnote>
  <w:footnote w:type="continuationSeparator" w:id="0">
    <w:p w14:paraId="32382602" w14:textId="77777777" w:rsidR="004E532A" w:rsidRDefault="004E532A" w:rsidP="004228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40C744" w14:textId="5F3F944B" w:rsidR="00422867" w:rsidRDefault="00422867">
    <w:pPr>
      <w:pStyle w:val="Zhlav"/>
    </w:pPr>
    <w:r>
      <w:rPr>
        <w:noProof/>
      </w:rPr>
      <w:drawing>
        <wp:anchor distT="0" distB="0" distL="114300" distR="114300" simplePos="0" relativeHeight="251659264" behindDoc="0" locked="0" layoutInCell="1" allowOverlap="1" wp14:anchorId="2528DCA9" wp14:editId="7EBBA868">
          <wp:simplePos x="0" y="0"/>
          <wp:positionH relativeFrom="column">
            <wp:posOffset>-370390</wp:posOffset>
          </wp:positionH>
          <wp:positionV relativeFrom="paragraph">
            <wp:posOffset>-162456</wp:posOffset>
          </wp:positionV>
          <wp:extent cx="1905635" cy="434340"/>
          <wp:effectExtent l="0" t="0" r="0" b="0"/>
          <wp:wrapTight wrapText="bothSides">
            <wp:wrapPolygon edited="0">
              <wp:start x="2303" y="0"/>
              <wp:lineTo x="0" y="5053"/>
              <wp:lineTo x="0" y="18947"/>
              <wp:lineTo x="3455" y="20211"/>
              <wp:lineTo x="6334" y="20211"/>
              <wp:lineTo x="21305" y="16421"/>
              <wp:lineTo x="21305" y="3789"/>
              <wp:lineTo x="4606" y="0"/>
              <wp:lineTo x="2303" y="0"/>
            </wp:wrapPolygon>
          </wp:wrapTight>
          <wp:docPr id="10" name="Obrázek 10"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ek 10" descr="Obsah obrázku text, klipar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905635" cy="4343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82CC5"/>
    <w:multiLevelType w:val="multilevel"/>
    <w:tmpl w:val="94920FE0"/>
    <w:lvl w:ilvl="0">
      <w:start w:val="1"/>
      <w:numFmt w:val="decimal"/>
      <w:pStyle w:val="lnekslovn"/>
      <w:lvlText w:val="%1."/>
      <w:lvlJc w:val="left"/>
      <w:pPr>
        <w:ind w:left="3900" w:hanging="360"/>
      </w:pPr>
      <w:rPr>
        <w:rFonts w:hint="default"/>
        <w:b/>
        <w:i w:val="0"/>
      </w:rPr>
    </w:lvl>
    <w:lvl w:ilvl="1">
      <w:start w:val="1"/>
      <w:numFmt w:val="decimal"/>
      <w:pStyle w:val="slovn"/>
      <w:lvlText w:val="%1.%2"/>
      <w:lvlJc w:val="left"/>
      <w:pPr>
        <w:ind w:left="1107" w:hanging="567"/>
      </w:pPr>
      <w:rPr>
        <w:b w:val="0"/>
      </w:rPr>
    </w:lvl>
    <w:lvl w:ilvl="2">
      <w:start w:val="1"/>
      <w:numFmt w:val="decimal"/>
      <w:isLgl/>
      <w:lvlText w:val="%1.%2.%3"/>
      <w:lvlJc w:val="left"/>
      <w:pPr>
        <w:ind w:left="704" w:hanging="566"/>
      </w:pPr>
      <w:rPr>
        <w:rFonts w:hint="default"/>
      </w:rPr>
    </w:lvl>
    <w:lvl w:ilvl="3">
      <w:start w:val="1"/>
      <w:numFmt w:val="lowerLetter"/>
      <w:lvlText w:val="(%4)"/>
      <w:lvlJc w:val="left"/>
      <w:pPr>
        <w:ind w:left="988" w:hanging="284"/>
      </w:pPr>
      <w:rPr>
        <w:rFonts w:hint="default"/>
      </w:rPr>
    </w:lvl>
    <w:lvl w:ilvl="4">
      <w:start w:val="1"/>
      <w:numFmt w:val="lowerRoman"/>
      <w:lvlText w:val="(%5)"/>
      <w:lvlJc w:val="left"/>
      <w:pPr>
        <w:ind w:left="1271" w:hanging="283"/>
      </w:pPr>
      <w:rPr>
        <w:rFonts w:hint="default"/>
      </w:rPr>
    </w:lvl>
    <w:lvl w:ilvl="5">
      <w:start w:val="1"/>
      <w:numFmt w:val="bullet"/>
      <w:lvlText w:val=""/>
      <w:lvlJc w:val="left"/>
      <w:pPr>
        <w:ind w:left="990" w:firstLine="0"/>
      </w:pPr>
      <w:rPr>
        <w:rFonts w:ascii="Symbol" w:hAnsi="Symbol" w:hint="default"/>
        <w:color w:val="auto"/>
      </w:rPr>
    </w:lvl>
    <w:lvl w:ilvl="6">
      <w:start w:val="1"/>
      <w:numFmt w:val="decimal"/>
      <w:lvlText w:val="%7."/>
      <w:lvlJc w:val="left"/>
      <w:pPr>
        <w:ind w:left="1274" w:firstLine="0"/>
      </w:pPr>
      <w:rPr>
        <w:rFonts w:hint="default"/>
      </w:rPr>
    </w:lvl>
    <w:lvl w:ilvl="7">
      <w:start w:val="1"/>
      <w:numFmt w:val="lowerLetter"/>
      <w:lvlText w:val="%8."/>
      <w:lvlJc w:val="left"/>
      <w:pPr>
        <w:ind w:left="1558" w:firstLine="0"/>
      </w:pPr>
      <w:rPr>
        <w:rFonts w:hint="default"/>
      </w:rPr>
    </w:lvl>
    <w:lvl w:ilvl="8">
      <w:start w:val="1"/>
      <w:numFmt w:val="lowerRoman"/>
      <w:lvlText w:val="%9."/>
      <w:lvlJc w:val="left"/>
      <w:pPr>
        <w:ind w:left="1842" w:firstLine="0"/>
      </w:pPr>
      <w:rPr>
        <w:rFonts w:hint="default"/>
      </w:rPr>
    </w:lvl>
  </w:abstractNum>
  <w:abstractNum w:abstractNumId="1">
    <w:nsid w:val="448E4DC4"/>
    <w:multiLevelType w:val="multilevel"/>
    <w:tmpl w:val="19F4FAB0"/>
    <w:lvl w:ilvl="0">
      <w:start w:val="1"/>
      <w:numFmt w:val="decimal"/>
      <w:lvlText w:val="%1."/>
      <w:lvlJc w:val="right"/>
      <w:pPr>
        <w:ind w:left="3970" w:firstLine="7940"/>
      </w:pPr>
      <w:rPr>
        <w:rFonts w:ascii="Calibri" w:eastAsia="Calibri" w:hAnsi="Calibri" w:cs="Calibri"/>
        <w:b/>
        <w:i w:val="0"/>
      </w:rPr>
    </w:lvl>
    <w:lvl w:ilvl="1">
      <w:start w:val="1"/>
      <w:numFmt w:val="decimal"/>
      <w:lvlText w:val="%1.%2."/>
      <w:lvlJc w:val="right"/>
      <w:pPr>
        <w:ind w:left="567" w:firstLine="567"/>
      </w:pPr>
      <w:rPr>
        <w:b w:val="0"/>
      </w:rPr>
    </w:lvl>
    <w:lvl w:ilvl="2">
      <w:start w:val="1"/>
      <w:numFmt w:val="decimal"/>
      <w:lvlText w:val="%1.%2.%3."/>
      <w:lvlJc w:val="right"/>
      <w:pPr>
        <w:ind w:left="704" w:firstLine="842"/>
      </w:pPr>
    </w:lvl>
    <w:lvl w:ilvl="3">
      <w:start w:val="1"/>
      <w:numFmt w:val="decimal"/>
      <w:lvlText w:val="%1.%2.%3.%4."/>
      <w:lvlJc w:val="right"/>
      <w:pPr>
        <w:ind w:left="988" w:firstLine="1692"/>
      </w:pPr>
    </w:lvl>
    <w:lvl w:ilvl="4">
      <w:start w:val="1"/>
      <w:numFmt w:val="decimal"/>
      <w:lvlText w:val="%1.%2.%3.%4.%5."/>
      <w:lvlJc w:val="right"/>
      <w:pPr>
        <w:ind w:left="1271" w:firstLine="2259"/>
      </w:pPr>
    </w:lvl>
    <w:lvl w:ilvl="5">
      <w:start w:val="1"/>
      <w:numFmt w:val="decimal"/>
      <w:lvlText w:val="%1.%2.%3.%4.%5.%6."/>
      <w:lvlJc w:val="right"/>
      <w:pPr>
        <w:ind w:left="990" w:firstLine="1980"/>
      </w:pPr>
      <w:rPr>
        <w:rFonts w:ascii="Arial" w:eastAsia="Arial" w:hAnsi="Arial" w:cs="Arial"/>
      </w:rPr>
    </w:lvl>
    <w:lvl w:ilvl="6">
      <w:start w:val="1"/>
      <w:numFmt w:val="decimal"/>
      <w:lvlText w:val="%1.%2.%3.%4.%5.%6.%7."/>
      <w:lvlJc w:val="right"/>
      <w:pPr>
        <w:ind w:left="1274" w:firstLine="2548"/>
      </w:pPr>
    </w:lvl>
    <w:lvl w:ilvl="7">
      <w:start w:val="1"/>
      <w:numFmt w:val="decimal"/>
      <w:lvlText w:val="%1.%2.%3.%4.%5.%6.%7.%8."/>
      <w:lvlJc w:val="right"/>
      <w:pPr>
        <w:ind w:left="1558" w:firstLine="3116"/>
      </w:pPr>
    </w:lvl>
    <w:lvl w:ilvl="8">
      <w:start w:val="1"/>
      <w:numFmt w:val="decimal"/>
      <w:lvlText w:val="%1.%2.%3.%4.%5.%6.%7.%8.%9."/>
      <w:lvlJc w:val="right"/>
      <w:pPr>
        <w:ind w:left="1842" w:firstLine="3684"/>
      </w:pPr>
    </w:lvl>
  </w:abstractNum>
  <w:abstractNum w:abstractNumId="2">
    <w:nsid w:val="4F2D36E8"/>
    <w:multiLevelType w:val="multilevel"/>
    <w:tmpl w:val="19F4FAB0"/>
    <w:lvl w:ilvl="0">
      <w:start w:val="1"/>
      <w:numFmt w:val="decimal"/>
      <w:lvlText w:val="%1."/>
      <w:lvlJc w:val="right"/>
      <w:pPr>
        <w:ind w:left="3970" w:firstLine="7940"/>
      </w:pPr>
      <w:rPr>
        <w:rFonts w:ascii="Calibri" w:eastAsia="Calibri" w:hAnsi="Calibri" w:cs="Calibri"/>
        <w:b/>
        <w:i w:val="0"/>
      </w:rPr>
    </w:lvl>
    <w:lvl w:ilvl="1">
      <w:start w:val="1"/>
      <w:numFmt w:val="decimal"/>
      <w:lvlText w:val="%1.%2."/>
      <w:lvlJc w:val="right"/>
      <w:pPr>
        <w:ind w:left="567" w:firstLine="567"/>
      </w:pPr>
      <w:rPr>
        <w:b w:val="0"/>
      </w:rPr>
    </w:lvl>
    <w:lvl w:ilvl="2">
      <w:start w:val="1"/>
      <w:numFmt w:val="decimal"/>
      <w:lvlText w:val="%1.%2.%3."/>
      <w:lvlJc w:val="right"/>
      <w:pPr>
        <w:ind w:left="704" w:firstLine="842"/>
      </w:pPr>
    </w:lvl>
    <w:lvl w:ilvl="3">
      <w:start w:val="1"/>
      <w:numFmt w:val="decimal"/>
      <w:lvlText w:val="%1.%2.%3.%4."/>
      <w:lvlJc w:val="right"/>
      <w:pPr>
        <w:ind w:left="988" w:firstLine="1692"/>
      </w:pPr>
    </w:lvl>
    <w:lvl w:ilvl="4">
      <w:start w:val="1"/>
      <w:numFmt w:val="decimal"/>
      <w:lvlText w:val="%1.%2.%3.%4.%5."/>
      <w:lvlJc w:val="right"/>
      <w:pPr>
        <w:ind w:left="1271" w:firstLine="2259"/>
      </w:pPr>
    </w:lvl>
    <w:lvl w:ilvl="5">
      <w:start w:val="1"/>
      <w:numFmt w:val="decimal"/>
      <w:lvlText w:val="%1.%2.%3.%4.%5.%6."/>
      <w:lvlJc w:val="right"/>
      <w:pPr>
        <w:ind w:left="990" w:firstLine="1980"/>
      </w:pPr>
      <w:rPr>
        <w:rFonts w:ascii="Arial" w:eastAsia="Arial" w:hAnsi="Arial" w:cs="Arial"/>
      </w:rPr>
    </w:lvl>
    <w:lvl w:ilvl="6">
      <w:start w:val="1"/>
      <w:numFmt w:val="decimal"/>
      <w:lvlText w:val="%1.%2.%3.%4.%5.%6.%7."/>
      <w:lvlJc w:val="right"/>
      <w:pPr>
        <w:ind w:left="1274" w:firstLine="2548"/>
      </w:pPr>
    </w:lvl>
    <w:lvl w:ilvl="7">
      <w:start w:val="1"/>
      <w:numFmt w:val="decimal"/>
      <w:lvlText w:val="%1.%2.%3.%4.%5.%6.%7.%8."/>
      <w:lvlJc w:val="right"/>
      <w:pPr>
        <w:ind w:left="1558" w:firstLine="3116"/>
      </w:pPr>
    </w:lvl>
    <w:lvl w:ilvl="8">
      <w:start w:val="1"/>
      <w:numFmt w:val="decimal"/>
      <w:lvlText w:val="%1.%2.%3.%4.%5.%6.%7.%8.%9."/>
      <w:lvlJc w:val="right"/>
      <w:pPr>
        <w:ind w:left="1842" w:firstLine="3684"/>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2A6"/>
    <w:rsid w:val="00044F2A"/>
    <w:rsid w:val="002405F0"/>
    <w:rsid w:val="002412A6"/>
    <w:rsid w:val="003D4CB8"/>
    <w:rsid w:val="003F0212"/>
    <w:rsid w:val="00422867"/>
    <w:rsid w:val="004E532A"/>
    <w:rsid w:val="005643F3"/>
    <w:rsid w:val="005713BD"/>
    <w:rsid w:val="00665D5B"/>
    <w:rsid w:val="00933279"/>
    <w:rsid w:val="009538F2"/>
    <w:rsid w:val="009C1AC5"/>
    <w:rsid w:val="00A63788"/>
    <w:rsid w:val="00C60034"/>
    <w:rsid w:val="00E25CFD"/>
    <w:rsid w:val="00F07994"/>
    <w:rsid w:val="00F21C46"/>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07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2412A6"/>
    <w:pPr>
      <w:spacing w:after="200" w:line="312" w:lineRule="auto"/>
    </w:pPr>
    <w:rPr>
      <w:rFonts w:ascii="Calibri" w:eastAsia="Calibri" w:hAnsi="Calibri" w:cs="Calibri"/>
      <w:color w:val="00000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2412A6"/>
    <w:rPr>
      <w:rFonts w:ascii="Calibri" w:eastAsia="Calibri" w:hAnsi="Calibri" w:cs="Times New Roman"/>
      <w:sz w:val="22"/>
      <w:szCs w:val="22"/>
      <w:lang w:eastAsia="en-US"/>
    </w:rPr>
  </w:style>
  <w:style w:type="paragraph" w:styleId="Odstavecseseznamem">
    <w:name w:val="List Paragraph"/>
    <w:basedOn w:val="Normln"/>
    <w:uiPriority w:val="34"/>
    <w:qFormat/>
    <w:rsid w:val="002412A6"/>
    <w:pPr>
      <w:ind w:left="720"/>
      <w:contextualSpacing/>
    </w:pPr>
  </w:style>
  <w:style w:type="table" w:styleId="Mkatabulky">
    <w:name w:val="Table Grid"/>
    <w:basedOn w:val="Normlntabulka"/>
    <w:rsid w:val="009C1AC5"/>
    <w:pPr>
      <w:spacing w:after="200"/>
    </w:pPr>
    <w:rPr>
      <w:rFonts w:ascii="Calibri" w:eastAsia="Times New Roman" w:hAnsi="Calibri" w:cs="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vn">
    <w:name w:val="Číslování"/>
    <w:basedOn w:val="Odstavecseseznamem"/>
    <w:qFormat/>
    <w:rsid w:val="009C1AC5"/>
    <w:pPr>
      <w:numPr>
        <w:ilvl w:val="1"/>
        <w:numId w:val="3"/>
      </w:numPr>
      <w:spacing w:after="120" w:line="240" w:lineRule="auto"/>
      <w:contextualSpacing w:val="0"/>
    </w:pPr>
    <w:rPr>
      <w:rFonts w:ascii="Arial Narrow" w:hAnsi="Arial Narrow" w:cs="Times New Roman"/>
      <w:color w:val="auto"/>
      <w:sz w:val="22"/>
      <w:szCs w:val="22"/>
      <w:lang w:val="en-US" w:eastAsia="en-US"/>
    </w:rPr>
  </w:style>
  <w:style w:type="paragraph" w:customStyle="1" w:styleId="lnekslovn">
    <w:name w:val="Článek číslování"/>
    <w:next w:val="slovn"/>
    <w:qFormat/>
    <w:rsid w:val="009C1AC5"/>
    <w:pPr>
      <w:numPr>
        <w:numId w:val="3"/>
      </w:numPr>
      <w:spacing w:before="360" w:after="120"/>
    </w:pPr>
    <w:rPr>
      <w:rFonts w:ascii="Calibri" w:eastAsia="Calibri" w:hAnsi="Calibri" w:cs="Times New Roman"/>
      <w:b/>
      <w:sz w:val="22"/>
      <w:szCs w:val="22"/>
      <w:lang w:eastAsia="cs-CZ"/>
    </w:rPr>
  </w:style>
  <w:style w:type="paragraph" w:styleId="Zhlav">
    <w:name w:val="header"/>
    <w:basedOn w:val="Normln"/>
    <w:link w:val="ZhlavChar"/>
    <w:uiPriority w:val="99"/>
    <w:unhideWhenUsed/>
    <w:rsid w:val="0042286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22867"/>
    <w:rPr>
      <w:rFonts w:ascii="Calibri" w:eastAsia="Calibri" w:hAnsi="Calibri" w:cs="Calibri"/>
      <w:color w:val="000000"/>
      <w:lang w:eastAsia="cs-CZ"/>
    </w:rPr>
  </w:style>
  <w:style w:type="paragraph" w:styleId="Zpat">
    <w:name w:val="footer"/>
    <w:basedOn w:val="Normln"/>
    <w:link w:val="ZpatChar"/>
    <w:uiPriority w:val="99"/>
    <w:unhideWhenUsed/>
    <w:rsid w:val="00422867"/>
    <w:pPr>
      <w:tabs>
        <w:tab w:val="center" w:pos="4536"/>
        <w:tab w:val="right" w:pos="9072"/>
      </w:tabs>
      <w:spacing w:after="0" w:line="240" w:lineRule="auto"/>
    </w:pPr>
  </w:style>
  <w:style w:type="character" w:customStyle="1" w:styleId="ZpatChar">
    <w:name w:val="Zápatí Char"/>
    <w:basedOn w:val="Standardnpsmoodstavce"/>
    <w:link w:val="Zpat"/>
    <w:uiPriority w:val="99"/>
    <w:rsid w:val="00422867"/>
    <w:rPr>
      <w:rFonts w:ascii="Calibri" w:eastAsia="Calibri" w:hAnsi="Calibri" w:cs="Calibri"/>
      <w:color w:val="000000"/>
      <w:lang w:eastAsia="cs-CZ"/>
    </w:rPr>
  </w:style>
  <w:style w:type="paragraph" w:styleId="Textbubliny">
    <w:name w:val="Balloon Text"/>
    <w:basedOn w:val="Normln"/>
    <w:link w:val="TextbublinyChar"/>
    <w:uiPriority w:val="99"/>
    <w:semiHidden/>
    <w:unhideWhenUsed/>
    <w:rsid w:val="003D4CB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4CB8"/>
    <w:rPr>
      <w:rFonts w:ascii="Segoe UI" w:eastAsia="Calibri" w:hAnsi="Segoe UI" w:cs="Segoe UI"/>
      <w:color w:val="000000"/>
      <w:sz w:val="18"/>
      <w:szCs w:val="18"/>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2412A6"/>
    <w:pPr>
      <w:spacing w:after="200" w:line="312" w:lineRule="auto"/>
    </w:pPr>
    <w:rPr>
      <w:rFonts w:ascii="Calibri" w:eastAsia="Calibri" w:hAnsi="Calibri" w:cs="Calibri"/>
      <w:color w:val="00000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2412A6"/>
    <w:rPr>
      <w:rFonts w:ascii="Calibri" w:eastAsia="Calibri" w:hAnsi="Calibri" w:cs="Times New Roman"/>
      <w:sz w:val="22"/>
      <w:szCs w:val="22"/>
      <w:lang w:eastAsia="en-US"/>
    </w:rPr>
  </w:style>
  <w:style w:type="paragraph" w:styleId="Odstavecseseznamem">
    <w:name w:val="List Paragraph"/>
    <w:basedOn w:val="Normln"/>
    <w:uiPriority w:val="34"/>
    <w:qFormat/>
    <w:rsid w:val="002412A6"/>
    <w:pPr>
      <w:ind w:left="720"/>
      <w:contextualSpacing/>
    </w:pPr>
  </w:style>
  <w:style w:type="table" w:styleId="Mkatabulky">
    <w:name w:val="Table Grid"/>
    <w:basedOn w:val="Normlntabulka"/>
    <w:rsid w:val="009C1AC5"/>
    <w:pPr>
      <w:spacing w:after="200"/>
    </w:pPr>
    <w:rPr>
      <w:rFonts w:ascii="Calibri" w:eastAsia="Times New Roman" w:hAnsi="Calibri" w:cs="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vn">
    <w:name w:val="Číslování"/>
    <w:basedOn w:val="Odstavecseseznamem"/>
    <w:qFormat/>
    <w:rsid w:val="009C1AC5"/>
    <w:pPr>
      <w:numPr>
        <w:ilvl w:val="1"/>
        <w:numId w:val="3"/>
      </w:numPr>
      <w:spacing w:after="120" w:line="240" w:lineRule="auto"/>
      <w:contextualSpacing w:val="0"/>
    </w:pPr>
    <w:rPr>
      <w:rFonts w:ascii="Arial Narrow" w:hAnsi="Arial Narrow" w:cs="Times New Roman"/>
      <w:color w:val="auto"/>
      <w:sz w:val="22"/>
      <w:szCs w:val="22"/>
      <w:lang w:val="en-US" w:eastAsia="en-US"/>
    </w:rPr>
  </w:style>
  <w:style w:type="paragraph" w:customStyle="1" w:styleId="lnekslovn">
    <w:name w:val="Článek číslování"/>
    <w:next w:val="slovn"/>
    <w:qFormat/>
    <w:rsid w:val="009C1AC5"/>
    <w:pPr>
      <w:numPr>
        <w:numId w:val="3"/>
      </w:numPr>
      <w:spacing w:before="360" w:after="120"/>
    </w:pPr>
    <w:rPr>
      <w:rFonts w:ascii="Calibri" w:eastAsia="Calibri" w:hAnsi="Calibri" w:cs="Times New Roman"/>
      <w:b/>
      <w:sz w:val="22"/>
      <w:szCs w:val="22"/>
      <w:lang w:eastAsia="cs-CZ"/>
    </w:rPr>
  </w:style>
  <w:style w:type="paragraph" w:styleId="Zhlav">
    <w:name w:val="header"/>
    <w:basedOn w:val="Normln"/>
    <w:link w:val="ZhlavChar"/>
    <w:uiPriority w:val="99"/>
    <w:unhideWhenUsed/>
    <w:rsid w:val="0042286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22867"/>
    <w:rPr>
      <w:rFonts w:ascii="Calibri" w:eastAsia="Calibri" w:hAnsi="Calibri" w:cs="Calibri"/>
      <w:color w:val="000000"/>
      <w:lang w:eastAsia="cs-CZ"/>
    </w:rPr>
  </w:style>
  <w:style w:type="paragraph" w:styleId="Zpat">
    <w:name w:val="footer"/>
    <w:basedOn w:val="Normln"/>
    <w:link w:val="ZpatChar"/>
    <w:uiPriority w:val="99"/>
    <w:unhideWhenUsed/>
    <w:rsid w:val="00422867"/>
    <w:pPr>
      <w:tabs>
        <w:tab w:val="center" w:pos="4536"/>
        <w:tab w:val="right" w:pos="9072"/>
      </w:tabs>
      <w:spacing w:after="0" w:line="240" w:lineRule="auto"/>
    </w:pPr>
  </w:style>
  <w:style w:type="character" w:customStyle="1" w:styleId="ZpatChar">
    <w:name w:val="Zápatí Char"/>
    <w:basedOn w:val="Standardnpsmoodstavce"/>
    <w:link w:val="Zpat"/>
    <w:uiPriority w:val="99"/>
    <w:rsid w:val="00422867"/>
    <w:rPr>
      <w:rFonts w:ascii="Calibri" w:eastAsia="Calibri" w:hAnsi="Calibri" w:cs="Calibri"/>
      <w:color w:val="000000"/>
      <w:lang w:eastAsia="cs-CZ"/>
    </w:rPr>
  </w:style>
  <w:style w:type="paragraph" w:styleId="Textbubliny">
    <w:name w:val="Balloon Text"/>
    <w:basedOn w:val="Normln"/>
    <w:link w:val="TextbublinyChar"/>
    <w:uiPriority w:val="99"/>
    <w:semiHidden/>
    <w:unhideWhenUsed/>
    <w:rsid w:val="003D4CB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4CB8"/>
    <w:rPr>
      <w:rFonts w:ascii="Segoe UI" w:eastAsia="Calibri" w:hAnsi="Segoe UI" w:cs="Segoe UI"/>
      <w:color w:val="000000"/>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itora.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1386</Words>
  <Characters>8180</Characters>
  <Application>Microsoft Office Word</Application>
  <DocSecurity>4</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Artner</dc:creator>
  <cp:lastModifiedBy>Ing. Jana Kovaříková</cp:lastModifiedBy>
  <cp:revision>2</cp:revision>
  <cp:lastPrinted>2022-02-17T11:56:00Z</cp:lastPrinted>
  <dcterms:created xsi:type="dcterms:W3CDTF">2022-02-17T13:15:00Z</dcterms:created>
  <dcterms:modified xsi:type="dcterms:W3CDTF">2022-02-17T13:15:00Z</dcterms:modified>
</cp:coreProperties>
</file>