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0" w:name="bookmark0"/>
      <w:r>
        <w:rPr>
          <w:rStyle w:val="CharStyle8"/>
        </w:rPr>
        <w:t>Illllllllllllllllllllllll</w:t>
      </w:r>
      <w:bookmarkEnd w:id="0"/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firstLine="0"/>
        <w:jc w:val="right"/>
      </w:pPr>
      <w:r>
        <w:rPr>
          <w:rStyle w:val="CharStyle14"/>
        </w:rPr>
        <w:t>2022000995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16"/>
          <w:b/>
          <w:bCs/>
        </w:rPr>
        <w:t>RÁMCOVÁ KUPNÍ SMLOUVA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2100" w:right="0" w:hanging="1320"/>
        <w:jc w:val="both"/>
        <w:rPr>
          <w:sz w:val="19"/>
          <w:szCs w:val="19"/>
        </w:rPr>
      </w:pPr>
      <w:r>
        <w:rPr>
          <w:rStyle w:val="CharStyle3"/>
          <w:sz w:val="19"/>
          <w:szCs w:val="19"/>
        </w:rPr>
        <w:t>uzavřená v souladu s ustanovením § 2079 a násl. zákona č. 89/2012 Sb., občanský zákoník, mezi níže uvedenými smluvními stranami</w:t>
      </w:r>
    </w:p>
    <w:tbl>
      <w:tblPr>
        <w:tblOverlap w:val="never"/>
        <w:jc w:val="center"/>
        <w:tblLayout w:type="fixed"/>
      </w:tblPr>
      <w:tblGrid>
        <w:gridCol w:w="2746"/>
        <w:gridCol w:w="6379"/>
      </w:tblGrid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Zdravotnická záchranná služba Jihomoravského kraje, příspěvková organizace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Kamenice 798/1 d, 625 00 Brno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MUDr. Hana Albrechtová, ředitelka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spacing w:val="4"/>
                <w:shd w:val="clear" w:color="auto" w:fill="000000"/>
              </w:rPr>
              <w:t>..........</w:t>
            </w:r>
            <w:r>
              <w:rPr>
                <w:rStyle w:val="CharStyle22"/>
                <w:shd w:val="clear" w:color="auto" w:fill="000000"/>
              </w:rPr>
              <w:t>​...</w:t>
            </w:r>
            <w:r>
              <w:rPr>
                <w:rStyle w:val="CharStyle22"/>
                <w:spacing w:val="1"/>
                <w:shd w:val="clear" w:color="auto" w:fill="000000"/>
              </w:rPr>
              <w:t>........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3"/>
                <w:shd w:val="clear" w:color="auto" w:fill="000000"/>
              </w:rPr>
              <w:t>..</w:t>
            </w:r>
            <w:r>
              <w:rPr>
                <w:rStyle w:val="CharStyle22"/>
                <w:spacing w:val="4"/>
                <w:shd w:val="clear" w:color="auto" w:fill="000000"/>
              </w:rPr>
              <w:t>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3"/>
                <w:shd w:val="clear" w:color="auto" w:fill="000000"/>
              </w:rPr>
              <w:t>..</w:t>
            </w:r>
            <w:r>
              <w:rPr>
                <w:rStyle w:val="CharStyle22"/>
                <w:spacing w:val="4"/>
                <w:shd w:val="clear" w:color="auto" w:fill="000000"/>
              </w:rPr>
              <w:t>......</w:t>
            </w:r>
            <w:r>
              <w:rPr>
                <w:rStyle w:val="CharStyle22"/>
                <w:u w:val="single"/>
                <w:shd w:val="clear" w:color="auto" w:fill="000000"/>
                <w:lang w:val="en-US" w:eastAsia="en-US" w:bidi="en-US"/>
              </w:rPr>
              <w:t>​...............</w:t>
            </w:r>
            <w:r>
              <w:rPr>
                <w:rStyle w:val="CharStyle22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</w:t>
            </w:r>
            <w:r>
              <w:rPr>
                <w:rStyle w:val="CharStyle22"/>
                <w:shd w:val="clear" w:color="auto" w:fill="000000"/>
                <w:lang w:val="en-US" w:eastAsia="en-US" w:bidi="en-US"/>
              </w:rPr>
              <w:t>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8"/>
                <w:shd w:val="clear" w:color="auto" w:fill="000000"/>
              </w:rPr>
              <w:t>..</w:t>
            </w:r>
            <w:r>
              <w:rPr>
                <w:rStyle w:val="CharStyle22"/>
                <w:spacing w:val="9"/>
                <w:shd w:val="clear" w:color="auto" w:fill="000000"/>
              </w:rPr>
              <w:t>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8"/>
                <w:shd w:val="clear" w:color="auto" w:fill="000000"/>
              </w:rPr>
              <w:t>.</w:t>
            </w:r>
            <w:r>
              <w:rPr>
                <w:rStyle w:val="CharStyle22"/>
                <w:spacing w:val="9"/>
                <w:shd w:val="clear" w:color="auto" w:fill="000000"/>
              </w:rPr>
              <w:t>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6"/>
                <w:shd w:val="clear" w:color="auto" w:fill="000000"/>
              </w:rPr>
              <w:t>....</w:t>
            </w:r>
            <w:r>
              <w:rPr>
                <w:rStyle w:val="CharStyle22"/>
                <w:spacing w:val="7"/>
                <w:shd w:val="clear" w:color="auto" w:fill="000000"/>
              </w:rPr>
              <w:t>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10"/>
                <w:shd w:val="clear" w:color="auto" w:fill="000000"/>
              </w:rPr>
              <w:t>..</w:t>
            </w:r>
            <w:r>
              <w:rPr>
                <w:rStyle w:val="CharStyle22"/>
                <w:spacing w:val="11"/>
                <w:shd w:val="clear" w:color="auto" w:fill="000000"/>
              </w:rPr>
              <w:t>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00346292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CZ00346292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Krajský soud v Brně sp. zn. Pr 1245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 xml:space="preserve">MONETA Money Bank, a.s„ č. ú. </w:t>
            </w:r>
            <w:r>
              <w:rPr>
                <w:rStyle w:val="CharStyle22"/>
                <w:spacing w:val="1"/>
                <w:shd w:val="clear" w:color="auto" w:fill="000000"/>
              </w:rPr>
              <w:t>.........</w:t>
            </w:r>
            <w:r>
              <w:rPr>
                <w:rStyle w:val="CharStyle22"/>
                <w:spacing w:val="2"/>
                <w:shd w:val="clear" w:color="auto" w:fill="000000"/>
              </w:rPr>
              <w:t>.................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rStyle w:val="CharStyle19"/>
          <w:sz w:val="20"/>
          <w:szCs w:val="20"/>
        </w:rPr>
        <w:t xml:space="preserve">(dále jen </w:t>
      </w:r>
      <w:r>
        <w:rPr>
          <w:rStyle w:val="CharStyle19"/>
          <w:b/>
          <w:bCs/>
          <w:i/>
          <w:iCs/>
        </w:rPr>
        <w:t>„kupující )</w:t>
      </w:r>
    </w:p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746"/>
        <w:gridCol w:w="6374"/>
      </w:tblGrid>
      <w:tr>
        <w:trPr>
          <w:trHeight w:val="57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a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Mediform, spol. s r.o.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Olšová 1, 637 00 Brno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Jednající: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2"/>
              </w:rPr>
              <w:t>MUDr. Libor Dřevěný, osoba pověřená jednat za či jménem dodavatele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  <w:shd w:val="clear" w:color="auto" w:fill="000000"/>
              </w:rPr>
              <w:t>....</w:t>
            </w:r>
            <w:r>
              <w:rPr>
                <w:rStyle w:val="CharStyle22"/>
                <w:spacing w:val="1"/>
                <w:shd w:val="clear" w:color="auto" w:fill="000000"/>
              </w:rPr>
              <w:t>.......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6"/>
                <w:shd w:val="clear" w:color="auto" w:fill="000000"/>
              </w:rPr>
              <w:t>....</w:t>
            </w:r>
            <w:r>
              <w:rPr>
                <w:rStyle w:val="CharStyle22"/>
                <w:spacing w:val="7"/>
                <w:shd w:val="clear" w:color="auto" w:fill="000000"/>
              </w:rPr>
              <w:t>....</w:t>
            </w:r>
            <w:r>
              <w:rPr>
                <w:rStyle w:val="CharStyle22"/>
                <w:shd w:val="clear" w:color="auto" w:fill="000000"/>
              </w:rPr>
              <w:t>​</w:t>
            </w:r>
            <w:r>
              <w:rPr>
                <w:rStyle w:val="CharStyle22"/>
                <w:spacing w:val="1"/>
                <w:shd w:val="clear" w:color="auto" w:fill="000000"/>
              </w:rPr>
              <w:t>..........</w:t>
            </w:r>
            <w:r>
              <w:rPr>
                <w:rStyle w:val="CharStyle22"/>
                <w:spacing w:val="2"/>
                <w:shd w:val="clear" w:color="auto" w:fill="000000"/>
              </w:rPr>
              <w:t>...</w:t>
            </w:r>
          </w:p>
        </w:tc>
      </w:tr>
      <w:tr>
        <w:trPr>
          <w:trHeight w:val="79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IČO: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DIČ:</w:t>
            </w:r>
          </w:p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22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CharStyle22"/>
              </w:rPr>
              <w:t>49976770 CZ49976770 vložka C 14086</w:t>
            </w:r>
          </w:p>
        </w:tc>
      </w:tr>
      <w:tr>
        <w:trPr>
          <w:trHeight w:val="38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2"/>
              </w:rPr>
              <w:t>ČSOB, č.ú.:</w:t>
            </w:r>
            <w:r>
              <w:rPr>
                <w:rStyle w:val="CharStyle22"/>
                <w:shd w:val="clear" w:color="auto" w:fill="000000"/>
              </w:rPr>
              <w:t>.​</w:t>
            </w:r>
            <w:r>
              <w:rPr>
                <w:rStyle w:val="CharStyle22"/>
                <w:spacing w:val="1"/>
                <w:shd w:val="clear" w:color="auto" w:fill="000000"/>
              </w:rPr>
              <w:t>.........</w:t>
            </w:r>
            <w:r>
              <w:rPr>
                <w:rStyle w:val="CharStyle22"/>
                <w:spacing w:val="2"/>
                <w:shd w:val="clear" w:color="auto" w:fill="000000"/>
              </w:rPr>
              <w:t>.................</w:t>
            </w: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</w:pPr>
      <w:r>
        <w:rPr>
          <w:rStyle w:val="CharStyle19"/>
          <w:sz w:val="20"/>
          <w:szCs w:val="20"/>
        </w:rPr>
        <w:t xml:space="preserve">(dále jen </w:t>
      </w:r>
      <w:r>
        <w:rPr>
          <w:rStyle w:val="CharStyle19"/>
          <w:b/>
          <w:bCs/>
          <w:i/>
          <w:iCs/>
        </w:rPr>
        <w:t>„prodávající )</w:t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71" w:lineRule="auto"/>
        <w:ind w:left="420" w:right="0" w:hanging="420"/>
        <w:jc w:val="both"/>
      </w:pPr>
      <w:r>
        <w:rPr>
          <w:rStyle w:val="CharStyle3"/>
        </w:rPr>
        <w:t xml:space="preserve">Prodávající je oprávněn na základě svého vlastnického práva nakládat s tímto zbožím: </w:t>
      </w:r>
      <w:r>
        <w:rPr>
          <w:rStyle w:val="CharStyle3"/>
          <w:b/>
          <w:bCs/>
          <w:sz w:val="17"/>
          <w:szCs w:val="17"/>
        </w:rPr>
        <w:t xml:space="preserve">pomůcky k odběru a aplikaci. </w:t>
      </w:r>
      <w:r>
        <w:rPr>
          <w:rStyle w:val="CharStyle3"/>
        </w:rPr>
        <w:t>Bližší specifikace tohoto zboží je uvedena v příloze č. 1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Ihůtě podle čl. 4 této smlouvy a ve specifikaci a rozsahu dle jednotlivých dílčích kupních smluv. Jednotlivá dílčí kupní smlouva se přitom považuje za uzavřenou doručením jednotlivé písemné výzvy (objednávky) do rukou prodávajícího,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 Prodávající je povinen tuto objednávku potvrdit.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71" w:lineRule="auto"/>
        <w:ind w:left="420" w:right="0" w:hanging="420"/>
        <w:jc w:val="both"/>
      </w:pPr>
      <w:r>
        <w:rPr>
          <w:rStyle w:val="CharStyle3"/>
        </w:rPr>
        <w:t>Součástí dodávky zboží podle čl. 1 a čl. 2 této smlouvy je vždy předání veškerých písemných dokladů, které jsou potřebné k používání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240" w:line="271" w:lineRule="auto"/>
        <w:ind w:left="420" w:right="0" w:hanging="420"/>
        <w:jc w:val="both"/>
      </w:pPr>
      <w:r>
        <w:rPr>
          <w:rStyle w:val="CharStyle3"/>
        </w:rPr>
        <w:t xml:space="preserve">Prodávající se zavazuje plnit svůj závazek k dodání zboží podle čl. 1 této smlouvy vždy nejpozději do </w:t>
      </w:r>
      <w:r>
        <w:rPr>
          <w:rStyle w:val="CharStyle3"/>
          <w:b/>
          <w:bCs/>
          <w:sz w:val="17"/>
          <w:szCs w:val="17"/>
        </w:rPr>
        <w:t xml:space="preserve">3 pracovních dnů </w:t>
      </w:r>
      <w:r>
        <w:rPr>
          <w:rStyle w:val="CharStyle3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objednatele dle záhlaví k této smlouvě.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Kupující se zavazuje převzít objednané zboží podle čí. 1 této smlouvy, prosté všech zjevných vad, ve lhůtě a místě podle této smlouvy. Kupující je oprávněn odmítnout převzetí zboží, bude-li se na něm vyskytovat jakákoliv vada.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71" w:lineRule="auto"/>
        <w:ind w:left="400" w:right="0" w:hanging="400"/>
        <w:jc w:val="both"/>
      </w:pPr>
      <w:r>
        <w:rPr>
          <w:rStyle w:val="CharStyle3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Kupující se zavazuje zaplatit prodávajícímu za předmět koupě a prodeje podle čl. 1 této smlouvy jednotkovou kupní cenu. Kupní cena za jednotlivé dílčí kupní smlouvy dle č. 2 této smlouvy se stanoví jako součin odebraného množství a jednotkových cen příslušného zboží. Jednotkové ceny zboží jsou uvedeny v příloze č. 2 této smlouvy. Součástí těchto cen jsou veškeré náklady prodávajícího na splnění jeho závazku k dodání zboží podle této smlouvy. Výše uvedené ceny se prodávající zavazuje garantovat po dobu podle čl. 21 této smlouvy. Změna ceny je možná pouze v případě zákonné změny sazby DPH.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(daňového dokladu/ faktury). Faktura bude doručena elektronicky na email: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</w:t>
      </w:r>
      <w:r>
        <w:rPr>
          <w:rStyle w:val="CharStyle3"/>
          <w:spacing w:val="27"/>
          <w:shd w:val="clear" w:color="auto" w:fill="000000"/>
        </w:rPr>
        <w:t>.</w:t>
      </w:r>
      <w:r>
        <w:rPr>
          <w:rStyle w:val="CharStyle3"/>
          <w:spacing w:val="28"/>
          <w:shd w:val="clear" w:color="auto" w:fill="000000"/>
        </w:rPr>
        <w:t>.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​...............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color w:val="2B79B6"/>
          <w:lang w:val="en-US" w:eastAsia="en-US" w:bidi="en-US"/>
        </w:rPr>
        <w:t xml:space="preserve"> </w:t>
      </w:r>
      <w:r>
        <w:rPr>
          <w:rStyle w:val="CharStyle3"/>
        </w:rPr>
        <w:t xml:space="preserve">Na faktuře musí být mimo jiné vždy uvedeno toto číslo veřejné zakázky, ke které se faktura vztahuje: </w:t>
      </w:r>
      <w:r>
        <w:rPr>
          <w:rStyle w:val="CharStyle3"/>
          <w:b/>
          <w:bCs/>
          <w:sz w:val="17"/>
          <w:szCs w:val="17"/>
        </w:rPr>
        <w:t xml:space="preserve">P22V00000152.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S převodem zboží podle čl. 1 této smlouvy je spojena záruka za jeho jakost v trvání 24 měsíců ode dne předání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další vlastnosti, které jsou stanoveny touto smlouvou, právními předpisy nebo technickými normami nebo jsou u zboží tohoto druhu obvyklé, a že bude po dobu záruční lhůty bezplatně odstraňovat vady, které se na zboží podle čl. 1 této smlouvy vyskytnou, a to ve lhůtě do 3 pracovních dnů od doručení příslušné písemné nebo e-mailové reklamace kupujícího, pokud nebude dohodnuto jinak. Vzhledem k povaze zboží podle čl. 1 této smlouvy lze přitom odstranění vady provést jen výměnou vadného zboží za nové bezvadné.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00" w:right="0" w:hanging="40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bez DPH nedodané části zboží podle čl. 7 této smlouvy,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prodlení se splněním závazku prodávajícího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71" w:lineRule="auto"/>
        <w:ind w:left="420" w:right="0" w:hanging="42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jejích podstatných náležitostech, čímž se rozumí celý obsah této smlouvy, jak je uveden v čl. 1 až 22 této smlouvy. Kupující přitom předem vylučuje přijetí tohoto návrhu s dodatkem nebo odchylkou ve smyslu ust.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Prodávající uděluje kupujícímu svůj výslovný souhlas se zveřejněním podmínek této smlouvy v rozsahu a za podmínek vyplývajících z příslušných právních předpisů (zejména zákona č. 106/1999 Sb., o svobodném přístupu k informacím, v platném znění).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420" w:right="0" w:hanging="420"/>
        <w:jc w:val="both"/>
      </w:pPr>
      <w:r>
        <w:rPr>
          <w:rStyle w:val="CharStyle3"/>
        </w:rPr>
        <w:t>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 registru smluv (ISRS) včetně uvedení metadat provede kupující.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line="271" w:lineRule="auto"/>
        <w:ind w:left="420" w:right="0" w:hanging="420"/>
        <w:jc w:val="both"/>
      </w:pPr>
      <w:r>
        <w:rPr>
          <w:rStyle w:val="CharStyle3"/>
        </w:rPr>
        <w:t>Tato smlouva nabývá účinnosti po jejím podpisu oběma smluvními stranami dnem jejího uveřejnění v Registru smluv dle čl. 19.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/>
        <w:ind w:left="0" w:right="0" w:firstLine="0"/>
        <w:jc w:val="both"/>
      </w:pPr>
      <w:r>
        <w:rPr>
          <w:rStyle w:val="CharStyle3"/>
        </w:rPr>
        <w:t xml:space="preserve">Tato smlouva se uzavírá na dobu </w:t>
      </w:r>
      <w:r>
        <w:rPr>
          <w:rStyle w:val="CharStyle3"/>
          <w:b/>
          <w:bCs/>
          <w:sz w:val="17"/>
          <w:szCs w:val="17"/>
        </w:rPr>
        <w:t xml:space="preserve">24 měsíců </w:t>
      </w:r>
      <w:r>
        <w:rPr>
          <w:rStyle w:val="CharStyle3"/>
        </w:rPr>
        <w:t>ode dne nabytí její účinnosti.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22" w:val="left"/>
        </w:tabs>
        <w:bidi w:val="0"/>
        <w:spacing w:before="0" w:after="800" w:line="271" w:lineRule="auto"/>
        <w:ind w:left="420" w:right="0" w:hanging="420"/>
        <w:jc w:val="both"/>
      </w:pPr>
      <w:r>
        <mc:AlternateContent>
          <mc:Choice Requires="wps">
            <w:drawing>
              <wp:anchor distT="0" distB="1972310" distL="114300" distR="1680845" simplePos="0" relativeHeight="125829378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812800</wp:posOffset>
                </wp:positionV>
                <wp:extent cx="692150" cy="17970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5pt;margin-top:64.pt;width:54.5pt;height:14.15pt;z-index:-125829375;mso-wrap-distance-left:9.pt;mso-wrap-distance-right:132.34999999999999pt;mso-wrap-distance-bottom:155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466090" distB="771525" distL="842645" distR="532130" simplePos="0" relativeHeight="125829380" behindDoc="0" locked="0" layoutInCell="1" allowOverlap="1">
            <wp:simplePos x="0" y="0"/>
            <wp:positionH relativeFrom="page">
              <wp:posOffset>1522095</wp:posOffset>
            </wp:positionH>
            <wp:positionV relativeFrom="paragraph">
              <wp:posOffset>1278890</wp:posOffset>
            </wp:positionV>
            <wp:extent cx="1115695" cy="914400"/>
            <wp:wrapSquare wrapText="bothSides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15695" cy="9144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1927860</wp:posOffset>
                </wp:positionV>
                <wp:extent cx="1429385" cy="277495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9385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6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  <w:sz w:val="20"/>
                                <w:szCs w:val="20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.5pt;margin-top:151.80000000000001pt;width:112.55pt;height:21.85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6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5"/>
                          <w:color w:val="000000"/>
                          <w:sz w:val="20"/>
                          <w:szCs w:val="20"/>
                        </w:rPr>
                        <w:t>MUDr. Hana Albrechtová ředitelka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1418590</wp:posOffset>
                </wp:positionH>
                <wp:positionV relativeFrom="paragraph">
                  <wp:posOffset>2394585</wp:posOffset>
                </wp:positionV>
                <wp:extent cx="1633855" cy="57023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33855" cy="570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Zdravotnická záchranná služba Jihomoravského kraje, p.o.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Kamenice 798/1 d, 625 00 Brno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5"/>
                              </w:rPr>
                              <w:t>21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11.7pt;margin-top:188.55000000000001pt;width:128.65000000000001pt;height:44.899999999999999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</w:rPr>
                        <w:t>Zdravotnická záchranná služba Jihomoravského kraje, p.o.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Kamenice 798/1 d, 625 00 Brno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Style w:val="CharStyle5"/>
                        </w:rPr>
                        <w:t>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395730" distB="594995" distL="114300" distR="1909445" simplePos="0" relativeHeight="125829381" behindDoc="0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2208530</wp:posOffset>
                </wp:positionV>
                <wp:extent cx="463550" cy="16129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kupující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2.5pt;margin-top:173.90000000000001pt;width:36.5pt;height:12.700000000000001pt;z-index:-125829372;mso-wrap-distance-left:9.pt;mso-wrap-distance-top:109.90000000000001pt;mso-wrap-distance-right:150.34999999999999pt;mso-wrap-distance-bottom:46.8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kupující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drawing>
          <wp:anchor distT="332105" distB="0" distL="129540" distR="114300" simplePos="0" relativeHeight="125829383" behindDoc="0" locked="0" layoutInCell="1" allowOverlap="1">
            <wp:simplePos x="0" y="0"/>
            <wp:positionH relativeFrom="page">
              <wp:posOffset>3945890</wp:posOffset>
            </wp:positionH>
            <wp:positionV relativeFrom="paragraph">
              <wp:posOffset>1183005</wp:posOffset>
            </wp:positionV>
            <wp:extent cx="1816735" cy="719455"/>
            <wp:wrapTopAndBottom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16735" cy="71945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850900</wp:posOffset>
                </wp:positionV>
                <wp:extent cx="1295400" cy="158750"/>
                <wp:wrapNone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540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5"/>
                                <w:color w:val="000000"/>
                                <w:sz w:val="20"/>
                                <w:szCs w:val="20"/>
                              </w:rPr>
                              <w:t>V Brně, dne 9. 2. 2022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9.5pt;margin-top:67.pt;width:102.pt;height:12.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5"/>
                          <w:color w:val="000000"/>
                          <w:sz w:val="20"/>
                          <w:szCs w:val="20"/>
                        </w:rPr>
                        <w:t>V Brně, dne 9. 2.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40" w:after="0" w:line="240" w:lineRule="auto"/>
        <w:ind w:left="1200" w:right="0" w:firstLine="0"/>
        <w:jc w:val="both"/>
      </w:pPr>
      <w:r>
        <w:rPr>
          <w:rStyle w:val="CharStyle3"/>
        </w:rPr>
        <w:t>MUDr. Libor Dřevěný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200" w:right="0" w:firstLine="0"/>
        <w:jc w:val="both"/>
        <w:sectPr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519" w:right="1515" w:bottom="1500" w:left="1250" w:header="91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</w:rPr>
        <w:t>osoba pověřená jednat za dodavatele prodávající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SPECIFIKACE</w:t>
      </w:r>
    </w:p>
    <w:tbl>
      <w:tblPr>
        <w:tblOverlap w:val="never"/>
        <w:jc w:val="center"/>
        <w:tblLayout w:type="fixed"/>
      </w:tblPr>
      <w:tblGrid>
        <w:gridCol w:w="557"/>
        <w:gridCol w:w="2117"/>
        <w:gridCol w:w="1397"/>
        <w:gridCol w:w="1752"/>
        <w:gridCol w:w="4224"/>
        <w:gridCol w:w="1915"/>
        <w:gridCol w:w="2458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Název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Materiál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Specifikace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Požadavek na balení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Výrobce/typ</w:t>
            </w:r>
          </w:p>
        </w:tc>
      </w:tr>
      <w:tr>
        <w:trPr>
          <w:trHeight w:val="29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Infuzní souprava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PVC pro zdrav, účely, certifikace 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Délka min. 150, max. 180 cm.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Infuzní souprava gravitační, Pevný, hladký napichovací trn dle ISO, DIN. Průhledná kapková komůrka, uzavíratelné zavzdušnění, kvalitní tlačka z jednoho kusu plastu, délka hadičky 150 - 180 cm, na konci šroubovací konektor Luer Lock s krycím uzávěrem. Infuzní set musí být plně funkční při propojení se spojovací hadičkou. Podmínkou je snadná manipulace v ochranných rukavicích, zejména při roztrhávání ochranného obalu! Při nevyhovující manipulaci, či protékáni spoje mezi hadičkou a infuzní soupravou, anebo kanylou, si vyhrazujeme právo na vrácení zboží.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Sterilní, baleno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Webest</w:t>
            </w:r>
          </w:p>
        </w:tc>
      </w:tr>
      <w:tr>
        <w:trPr>
          <w:trHeight w:val="19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Hadička spojovací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Hadička 1,8x450 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Spojovací hadička k propojeni infuzního setu nebo injekční stříkačky s intravenózní kanylou, zakončení Female Luer Lock/Male Luer Lock, se systémem závitu. Spojovací hadička musí být plně funkční při propojení s infuzní soupravou. Podmínkou je snadná manipulace v ochranných rukavicích, zejména při roztrhávání ochranného obalu!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Sterilní baleno jednotlivě, velikost jednoho baleni max. 12cm x 12 cm.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MPH Medical s.r.o.</w:t>
            </w:r>
          </w:p>
        </w:tc>
      </w:tr>
      <w:tr>
        <w:trPr>
          <w:trHeight w:val="20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Hadička spojovací dlouhá pro ID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1,8 x 1800 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Prodloužená spojovací hadička k propojení infuzního setu nebo injekční stříkačky s intravenózní kanylou, zakončení Female Luer Lock/Male Luer Lock, se systémem závitu. Spojovací hadička musí být plně funkční při propojeni s infuzní soupravou. Podmínkou je snadná manipulace v ochranných rukavicích, zejména při roztrhávání ochranného obalu.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Sterilní, baleno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MPH Medical s.r.o.</w:t>
            </w:r>
          </w:p>
        </w:tc>
      </w:tr>
      <w:tr>
        <w:trPr>
          <w:trHeight w:val="115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Jehla injekční G 25 oranžová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Nerezová ocel/ plast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0,5 mm x 20 mm, G25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Jednorázová injekční jehla z nerezové oceli, lubrikovaná silikonovým olejem, s kónusem Luer i Luer Lock oranžové barvy, šikmé ostři jehly, sterilně balena v měkkém obalu (NE typu blistr).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Baleni po 100 ks v krabici, více krabic v kartonu.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57"/>
        <w:gridCol w:w="2107"/>
        <w:gridCol w:w="1406"/>
        <w:gridCol w:w="1738"/>
        <w:gridCol w:w="4214"/>
        <w:gridCol w:w="1925"/>
        <w:gridCol w:w="2443"/>
      </w:tblGrid>
      <w:tr>
        <w:trPr>
          <w:trHeight w:val="1176" w:hRule="exact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5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Jehla injekční G18 růžová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1,2 mm x40 mm, G18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Jednorázová injekční jehla z nerezové oceli, lubrikovaná silikonovým olejem, s kónusem Luer I Luer Lock růžové barvy, šikmé ostří jehly, sterilně balena v měkkém obalu (NE typu blistr).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Balení po 100 ks v krabicí, více krabic v kartonu.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Jehla injekční G 22 černá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0,7 mm x 30 mm, G22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9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Jednorázová injekční jehla z nerezové oceli, lubrikovaná silikonovým olejem, s kónusem Luer i Luer Lock černé barvy, šikmé ostří jehly, sterilně balena v měkkém obalu (NE typu blistr).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Balení po 100 ks v krabici, více krabic v kartonu.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Stříkačka injekční 10 ml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PVC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Objem 10 ml + 2 ml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Sterilní stříkačka pro aplikaci léčiv, Bezproblémový chod pistu. Píst průhledný kalibrovaný, Snadný úchop.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Baleno v krabici, sterilní stříkačky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Stříkačka injekční 20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Objem 20 ml + 4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Baleno v krabici, sterilní stříkačky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Stříkačka injekční 2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Objem 2 ml + 1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Baleno v krabici, sterilní stříkačky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Stříkačka injekční 5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Objem 5 ml + 1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Baleno v krabící, sterilní stříkačky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Stříkačka injekční 50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Objem 50 ml + 10 ml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Baleno v krabici, sterilní stříkačky jednotlivě.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Becton Dickinson</w:t>
            </w:r>
          </w:p>
        </w:tc>
      </w:tr>
      <w:tr>
        <w:trPr>
          <w:trHeight w:val="18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Trojcestný kohout pro infuzní aplikaci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Standard.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Trojcestný kohout bez spojovací hadičky, jeden otočný kohout o 360°, připojovací kužel pozitivní s Male Luer Lock pro připojení na přívod pacienta, připojovací kužely negativní Female Luer Lock pro připojení na přívod infúzních roztoků a ochranné kryty na připojovacích kuželech. Sterilně baleno á 1 ks.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Sterilně baleno á 1 ks. Více kusů v krabici.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Harsoria</w:t>
            </w:r>
          </w:p>
        </w:tc>
      </w:tr>
      <w:tr>
        <w:trPr>
          <w:trHeight w:val="11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Zaškrcovadlo Esmarchovo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Pryž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Min 5 cm šířky a min 100 cm délky. Max 7 cm šířky a max. 120 cm délky.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Pryžové obinadlo/ zaškrcovadlo pro stavění masivního krvácení anebo provedení nekrvavé venepunkce, případně pro aplikaci léčiv. Baleno jednotlivě.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Nesterilni, baleno po jednom kusu. Více kusů v krabici.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Phoenix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52"/>
        <w:gridCol w:w="2107"/>
        <w:gridCol w:w="1406"/>
        <w:gridCol w:w="1738"/>
        <w:gridCol w:w="4219"/>
        <w:gridCol w:w="1920"/>
        <w:gridCol w:w="2453"/>
      </w:tblGrid>
      <w:tr>
        <w:trPr>
          <w:trHeight w:val="119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14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b/>
                <w:bCs/>
                <w:sz w:val="17"/>
                <w:szCs w:val="17"/>
              </w:rPr>
              <w:t>Zaškrcovadlo s plastovou sponou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PVC a guma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Standardní velikost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Škrtidlo s plastovou sponou. Na opakované použití při intravenozní aplikaci, případně odběrech biologického materiálu. Libovolná barva, bez obrázků.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-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22"/>
                <w:sz w:val="17"/>
                <w:szCs w:val="17"/>
              </w:rPr>
              <w:t>Schubert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  <w:rPr>
          <w:sz w:val="22"/>
          <w:szCs w:val="22"/>
        </w:rPr>
      </w:pPr>
      <w:r>
        <w:rPr>
          <w:rStyle w:val="CharStyle3"/>
          <w:b/>
          <w:bCs/>
          <w:sz w:val="22"/>
          <w:szCs w:val="22"/>
        </w:rPr>
        <w:t>SEZNAM ZBOŽÍ, CENÍK</w:t>
      </w:r>
    </w:p>
    <w:tbl>
      <w:tblPr>
        <w:tblOverlap w:val="never"/>
        <w:jc w:val="center"/>
        <w:tblLayout w:type="fixed"/>
      </w:tblPr>
      <w:tblGrid>
        <w:gridCol w:w="734"/>
        <w:gridCol w:w="3418"/>
        <w:gridCol w:w="1973"/>
        <w:gridCol w:w="1973"/>
        <w:gridCol w:w="1694"/>
        <w:gridCol w:w="1968"/>
        <w:gridCol w:w="1982"/>
      </w:tblGrid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  <w:sz w:val="20"/>
                <w:szCs w:val="20"/>
              </w:rPr>
              <w:t>P./Č.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  <w:sz w:val="20"/>
                <w:szCs w:val="20"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  <w:sz w:val="20"/>
                <w:szCs w:val="20"/>
              </w:rPr>
              <w:t>Cena za 1 ks v Kč bez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  <w:sz w:val="20"/>
                <w:szCs w:val="20"/>
              </w:rPr>
              <w:t>Cena za 1 ks v Kč vč. DPH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  <w:sz w:val="20"/>
                <w:szCs w:val="20"/>
              </w:rPr>
              <w:t>Velikost balení vMJ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  <w:sz w:val="20"/>
                <w:szCs w:val="20"/>
              </w:rPr>
              <w:t>Cena vícekusového balení v Kč bez DPH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2"/>
                <w:b/>
                <w:bCs/>
                <w:sz w:val="20"/>
                <w:szCs w:val="20"/>
              </w:rPr>
              <w:t>Cena vícekusového balení v Kč včetně DPH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Infuzní souprava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25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141,25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170,91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Hadička spojovací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217,80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Hadička spojovací dlouhá pro ID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270,00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326,70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Jehla injekční G 25 oranžová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60,50 Kč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Jehla injekční G18 růžová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60,50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Jehla injekční G22 černá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60,50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Stříkačka injekční 10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1,21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121,00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Stříkačka injekční 20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80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112,00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135,52 Kč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Stříkačka injekční 50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9,80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392,00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474,32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Stříkačka injekční 2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72,60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Stříkačka injekční 5 ml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0,97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100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80,00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96,80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Trojcestný kohout pro infuzní aplikaci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6,90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8,35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50 ks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345,00 Kč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417,45 Kč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Zaškrcovadlo Esmarchovo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29,04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2"/>
                <w:b/>
                <w:bCs/>
                <w:sz w:val="15"/>
                <w:szCs w:val="15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5"/>
                <w:szCs w:val="15"/>
              </w:rPr>
            </w:pPr>
            <w:r>
              <w:rPr>
                <w:rStyle w:val="CharStyle22"/>
                <w:b/>
                <w:bCs/>
                <w:sz w:val="15"/>
                <w:szCs w:val="15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5"/>
                <w:szCs w:val="15"/>
              </w:rPr>
            </w:pPr>
            <w:r>
              <w:rPr>
                <w:rStyle w:val="CharStyle22"/>
                <w:b/>
                <w:bCs/>
                <w:sz w:val="15"/>
                <w:szCs w:val="15"/>
              </w:rPr>
              <w:t>X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Zaškrcovadlo s plastovou sponou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59,00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Style w:val="CharStyle22"/>
                <w:sz w:val="19"/>
                <w:szCs w:val="19"/>
              </w:rPr>
              <w:t>71,39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2"/>
                <w:b/>
                <w:bCs/>
                <w:sz w:val="15"/>
                <w:szCs w:val="15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5"/>
                <w:szCs w:val="15"/>
              </w:rPr>
            </w:pPr>
            <w:r>
              <w:rPr>
                <w:rStyle w:val="CharStyle22"/>
                <w:b/>
                <w:bCs/>
                <w:sz w:val="15"/>
                <w:szCs w:val="15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Style w:val="CharStyle22"/>
                <w:b/>
                <w:bCs/>
                <w:sz w:val="15"/>
                <w:szCs w:val="15"/>
              </w:rPr>
              <w:t>X</w:t>
            </w:r>
          </w:p>
        </w:tc>
      </w:tr>
    </w:tbl>
    <w:sectPr>
      <w:headerReference w:type="default" r:id="rId10"/>
      <w:footerReference w:type="default" r:id="rId11"/>
      <w:footnotePr>
        <w:pos w:val="pageBottom"/>
        <w:numFmt w:val="decimal"/>
        <w:numRestart w:val="continuous"/>
      </w:footnotePr>
      <w:pgSz w:w="16840" w:h="11900" w:orient="landscape"/>
      <w:pgMar w:top="1151" w:right="1075" w:bottom="1371" w:left="134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806450</wp:posOffset>
              </wp:positionH>
              <wp:positionV relativeFrom="page">
                <wp:posOffset>10354310</wp:posOffset>
              </wp:positionV>
              <wp:extent cx="2157730" cy="11874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577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</w:rPr>
                            <w:t xml:space="preserve">\/Z </w:t>
                          </w: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03-22 Pomůcky k odběru a aplikaci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63.5pt;margin-top:815.30000000000007pt;width:169.90000000000001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</w:rPr>
                      <w:t xml:space="preserve">\/Z </w:t>
                    </w: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03-22 Pomůcky k odběru a aplikaci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960755</wp:posOffset>
              </wp:positionH>
              <wp:positionV relativeFrom="page">
                <wp:posOffset>7082790</wp:posOffset>
              </wp:positionV>
              <wp:extent cx="2127250" cy="11874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12725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i/>
                              <w:iCs/>
                              <w:sz w:val="19"/>
                              <w:szCs w:val="19"/>
                            </w:rPr>
                            <w:t>VZ 03-22 Pomůcky k odběru a aplikaci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5.650000000000006pt;margin-top:557.70000000000005pt;width:167.5pt;height:9.34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i/>
                        <w:iCs/>
                        <w:sz w:val="19"/>
                        <w:szCs w:val="19"/>
                      </w:rPr>
                      <w:t>VZ 03-22 Pomůcky k odběru a aplikaci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945515</wp:posOffset>
              </wp:positionH>
              <wp:positionV relativeFrom="page">
                <wp:posOffset>401320</wp:posOffset>
              </wp:positionV>
              <wp:extent cx="612775" cy="9461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1277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CharStyle10"/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sz w:val="19"/>
                              <w:szCs w:val="19"/>
                            </w:rPr>
                            <w:t>Příloha č.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74.450000000000003pt;margin-top:31.600000000000001pt;width:48.25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Style w:val="CharStyle10"/>
                        <w:rFonts w:ascii="Arial" w:eastAsia="Arial" w:hAnsi="Arial" w:cs="Arial"/>
                        <w:b/>
                        <w:bCs/>
                        <w:i/>
                        <w:iCs/>
                        <w:sz w:val="19"/>
                        <w:szCs w:val="19"/>
                      </w:rPr>
                      <w:t>Příloha č.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color w:val="5EBFEB"/>
      <w:sz w:val="17"/>
      <w:szCs w:val="17"/>
      <w:u w:val="none"/>
    </w:rPr>
  </w:style>
  <w:style w:type="character" w:customStyle="1" w:styleId="CharStyle8">
    <w:name w:val="Nadpis #1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character" w:customStyle="1" w:styleId="CharStyle10">
    <w:name w:val="Záhlaví nebo zápatí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Základní text (2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6">
    <w:name w:val="Nadpis #2_"/>
    <w:basedOn w:val="DefaultParagraphFont"/>
    <w:link w:val="Style15"/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character" w:customStyle="1" w:styleId="CharStyle19">
    <w:name w:val="Titulek tabulky_"/>
    <w:basedOn w:val="DefaultParagraphFont"/>
    <w:link w:val="Style18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harStyle22">
    <w:name w:val="Jiné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  <w:spacing w:line="25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5EBFEB"/>
      <w:sz w:val="17"/>
      <w:szCs w:val="17"/>
      <w:u w:val="none"/>
    </w:rPr>
  </w:style>
  <w:style w:type="paragraph" w:customStyle="1" w:styleId="Style7">
    <w:name w:val="Nadpis #1"/>
    <w:basedOn w:val="Normal"/>
    <w:link w:val="CharStyle8"/>
    <w:pPr>
      <w:widowControl w:val="0"/>
      <w:shd w:val="clear" w:color="auto" w:fill="auto"/>
      <w:spacing w:after="60"/>
      <w:jc w:val="right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64"/>
      <w:szCs w:val="64"/>
      <w:u w:val="none"/>
    </w:rPr>
  </w:style>
  <w:style w:type="paragraph" w:customStyle="1" w:styleId="Style9">
    <w:name w:val="Záhlaví nebo zápatí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Základní text (2)"/>
    <w:basedOn w:val="Normal"/>
    <w:link w:val="CharStyle14"/>
    <w:pPr>
      <w:widowControl w:val="0"/>
      <w:shd w:val="clear" w:color="auto" w:fill="auto"/>
      <w:spacing w:after="120"/>
      <w:ind w:right="24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auto"/>
      <w:spacing w:after="32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single"/>
    </w:rPr>
  </w:style>
  <w:style w:type="paragraph" w:customStyle="1" w:styleId="Style18">
    <w:name w:val="Titulek tabulky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Style21">
    <w:name w:val="Jiné"/>
    <w:basedOn w:val="Normal"/>
    <w:link w:val="CharStyle22"/>
    <w:pPr>
      <w:widowControl w:val="0"/>
      <w:shd w:val="clear" w:color="auto" w:fill="auto"/>
      <w:spacing w:after="22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Relationship Id="rId11" Type="http://schemas.openxmlformats.org/officeDocument/2006/relationships/footer" Target="footer2.xml"/></Relationships>
</file>