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Illllllllllllllllllllllll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5"/>
        </w:rPr>
        <w:t>2022000923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rStyle w:val="CharStyle7"/>
        </w:rPr>
        <w:t>Smlouva</w:t>
        <w:br/>
      </w:r>
      <w:r>
        <w:rPr>
          <w:rStyle w:val="CharStyle7"/>
        </w:rPr>
        <w:t>o dílo podle ust. par. 2586 občanského zákoníku, uzavřená mezi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both"/>
      </w:pPr>
      <w:r>
        <w:rPr>
          <w:rStyle w:val="CharStyle7"/>
        </w:rPr>
        <w:t>1/ Zdravotnickou záchrannou službou Jihomoravského kraje, příspěvkovou organizací, IČ 00346292, se sídlem v Brně, Kamenice Id, zastoupenou svou ředitelkou paní MUDr. Hanou Albrechtovou jako objednatelem / dále jen „ objedna</w:t>
        <w:softHyphen/>
        <w:t>tel “ /, 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rStyle w:val="CharStyle7"/>
        </w:rPr>
        <w:t>2/ společností GARANT projekt s.r.o., IČ 06722865, se sídlem v Brně, Staňkova 103/18, zastoupenou svým jednatelem panem ing. Stanislavem Smolíkem, ing. Michalem Novákem a ing. Jakubem Karmazínem, jako zhotovitelem / dále jen „ zhotovitel “ /.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Style w:val="CharStyle7"/>
        </w:rPr>
        <w:t>Zhotovitel se zavazuje, že pro objednatele provede dílo, spočívající ve zhotovení projektové dokumentace pro provedení stavby rekonstrukce objektu objednatele ve Velkých Opatovicích, nám. Míru čp. 538, a to za účelem rozšíření garáže tohoto objektu pro potřeby umístění dieselagregátu a chladícího boxu, v rozsahu dle příslušných ustanovení přílohy č. 13 k vyhl. 499/2006 Sb. o dokumentaci staveb a dle písemného zadání stavby a dle geometrického plánu č. 1391-284/2021, které jsou jako příloha č. 1 a příloha č. 2 nedílnou součástí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rStyle w:val="CharStyle7"/>
        </w:rPr>
        <w:t>Součástí díla podle čl. 1 této smlouvy je také a/ zaměření stávajícího stavu, b/ hluková studie, c/ výkaz výměr s položkovým rozpočtem, a d/ konzultační činnost.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286" w:right="1344" w:bottom="286" w:left="141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7"/>
        </w:rPr>
        <w:t>Součástí díla podle čl. 1 není obstarání vyjádření a stanovisek dotčených orgánů státní správy, vyřízení územního a stavebního povolení, historický a stavebně technický průzkum, inženýrsko-geologický průzkum a autorský a technický dozor.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140" w:line="240" w:lineRule="auto"/>
        <w:ind w:left="0" w:right="0" w:firstLine="540"/>
        <w:jc w:val="both"/>
      </w:pPr>
      <w:r>
        <w:rPr>
          <w:rStyle w:val="CharStyle7"/>
        </w:rPr>
        <w:t>Zhotovitel se zavazuje provést dílo podle čl. 1 ve lhůtě nejpozději do 31. 3. 2022. Místem splnění závazku zhotovitele k provedení díla podle čl. 1 této smlouvy je přitom sídlo objednatele dle záhlaví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80"/>
        <w:jc w:val="both"/>
      </w:pPr>
      <w:r>
        <w:rPr>
          <w:rStyle w:val="CharStyle7"/>
        </w:rPr>
        <w:t>Zhotovitel se zavazuje postupovat při provádění díla podle čl. 1 této smlouvy podle této smlouvy, podle příslušných právních, technických a hygienických norem, podle průběžných pokynů objednatele a s náležitou odbornou péčí. Za tímto účelem se zhotovitel zavazuje umožňovat objednateli průběžnou kontrolu provádění díla, a to způsobem a v rozsahu dle pokynů objednatele.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40"/>
        <w:jc w:val="both"/>
      </w:pPr>
      <w:r>
        <w:rPr>
          <w:rStyle w:val="CharStyle7"/>
        </w:rPr>
        <w:t>Závazek zhotovitele k provedení díla podle čl. 1 této smlouvy se považuje za splněný odevzdáním díla do rukou objednatele, a to v písemné formě a v obvyklém počtu písemných vyhotovení, nejméně však ve třech vyhotoveních. O tomto předání a převzetí díla bude pořízen písemný zápis, potvrzený oběma stranami. Objednatel není povinen potvrdit zhotoviteli převzetí díla nebo jeho části, zjistí-li se na něm jakákoliv vada.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80"/>
        <w:jc w:val="both"/>
      </w:pPr>
      <w:r>
        <w:rPr>
          <w:rStyle w:val="CharStyle7"/>
        </w:rPr>
        <w:t>Nebezpečí škody na díle podle čl. 1 této smlouvy a vlastnické právo k tomuto dílu přechází ze zhotovitele na objednatele dnem splnění závazku zhotovitele k provedení tohoto díla ve smyslu ust. čl. 6 této smlouvy. Tímto dnem se také zřizuje ve prospěch objednatele časově neomezená uživatelská licence k těm částem díla, které mají povahu autorského díla ve smyslu ust. par. 2 odst. 2 zák. 121/2000 Sb.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80"/>
        <w:jc w:val="both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387" w:right="1375" w:bottom="1714" w:left="1371" w:header="0" w:footer="1286" w:gutter="0"/>
          <w:pgNumType w:start="4"/>
          <w:cols w:space="720"/>
          <w:noEndnote/>
          <w:rtlGutter w:val="0"/>
          <w:docGrid w:linePitch="360"/>
        </w:sectPr>
      </w:pPr>
      <w:r>
        <w:rPr>
          <w:rStyle w:val="CharStyle7"/>
        </w:rPr>
        <w:t>Pro případ prodlení se splněním svého závazku podle čl. 1 této smlouvy ve lhůtě podle čl. 4 této smlouvy se zhotovitel zavazuje zaplatit objednateli smluvní pokutu ve výši 0,1 % z celkové ceny díla podle čl. 9 této smlouvy za každý započatý den prodlení. Zaplacením této smluvní pokuty není dotčen nárok objednatele na případnou náhradu škody v plné výši.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r>
        <w:rPr>
          <w:rStyle w:val="CharStyle7"/>
        </w:rPr>
        <w:t>Objednatel se zavazuje zaplatit zhotoviteli za dílo podle čl. 1 této smlouvy cenu díla ve výši 199 045,-Kč s tím, že součástí této ceny jsou veškeré náklady zhotovitele, spojené s plněním závazku zhotovitele podle čl. 1 této smlouvy, včetně odměny za poskytnutí licence a daně z přidané hodnoty.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Style w:val="CharStyle7"/>
        </w:rPr>
        <w:t>Cena díla podle čl. 9 této smlouvy je splatná po splnění závazku zhotovitele k provedení díla způsobem podle čl. 6 této smlouvy ve lhůtě do 30-ti dnů od předložení jejího písemného vyúčtování / faktury /.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r>
        <w:rPr>
          <w:rStyle w:val="CharStyle7"/>
        </w:rPr>
        <w:t>Pro případ prodlení s úhradou ceny díla ve lhůtě podle čl. 11 této smlouvy se objednatel zavazuje zaplatit zhotoviteli úrok z prodlení v sazbě dle zákona.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280" w:line="257" w:lineRule="auto"/>
        <w:ind w:left="0" w:right="0" w:firstLine="0"/>
        <w:jc w:val="center"/>
        <w:rPr>
          <w:sz w:val="24"/>
          <w:szCs w:val="24"/>
        </w:r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r>
        <w:rPr>
          <w:rStyle w:val="CharStyle7"/>
        </w:rPr>
        <w:t>Zhotovitel odpovídá objednateli za to, že dílo podle čl. 1 této smlouvy bude odpovídat tuzemským technickým, hygienickým a jiným normám, a že bude mít ty vlastnosti, které jsou u děl tohoto druhu obvyklé. V tomto smyslu se zhotovitel zavazuje bezplatně odstraňovat vady, které se na dílo podle čl. 1 této smlouvy vyskytnou, a to po celou dobu, po kterou to bude mít pro objednatele nějaký ekonomický či jiný praktický význam.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r>
        <w:rPr>
          <w:rStyle w:val="CharStyle7"/>
        </w:rPr>
        <w:t>Zhotovitel se zavazuje rozhodovat o písemných reklamacích objednatelů v období po dokončení díla písemně ve lhůtě do 10-ti dnů od jejich doručení, a ve stejné lhůtě provést odstranění vad z oprávněných reklamací, nebude-li mezi oběma stranami v jednotlivém případě dohodnuto jinak.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520"/>
        <w:jc w:val="both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387" w:right="1375" w:bottom="1714" w:left="1371" w:header="0" w:footer="1286" w:gutter="0"/>
          <w:pgNumType w:start="9"/>
          <w:cols w:space="720"/>
          <w:noEndnote/>
          <w:rtlGutter w:val="0"/>
          <w:docGrid w:linePitch="360"/>
        </w:sectPr>
      </w:pPr>
      <w:r>
        <w:rPr>
          <w:rStyle w:val="CharStyle7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rStyle w:val="CharStyle7"/>
        </w:rPr>
        <w:t>Pro případ prodlení zhotovitele s odstraněním vady díla ve lhůtě podle čl. 13 této smlouvy, se zhotovitel zavazuje zaplatit objednateli smluvní pokutu ve výši 1 000,-Kč za každý započatý den prodlení.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rStyle w:val="CharStyle7"/>
        </w:rPr>
        <w:t>Nepřikročí-li zhotovitel k odstranění vady ve lhůtě podle čl. 13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20"/>
        <w:jc w:val="both"/>
      </w:pPr>
      <w:r>
        <w:rPr>
          <w:rStyle w:val="CharStyle7"/>
        </w:rPr>
        <w:t>Objednatel je oprávněn odstoupit od této smlouvy o dílo s účinky ex tunc, bude-li zhotovitel v prodlení se splněním svého závazku podle čl. 1 této smlouvy ve lhůtě podle čl. 3 této smlouvy o víc, než 1 měsíc.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rStyle w:val="CharStyle7"/>
        </w:rPr>
        <w:t>Zhotovitel je oprávněn odstoupit od této smlouvy, bude-li objednatel v prodlení se splněním jeho uhrazovací povinnosti podle této smlouvy o víc, než jeden měsíc.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rStyle w:val="CharStyle7"/>
        </w:rPr>
        <w:t>Není-li touto smlouvou ujednáno jinak, řídí se vzájemný právní vztah mezi zhotovitelem a objednatelem ust. par. 2586 až 2635 občanského zákoníku.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80" w:line="240" w:lineRule="auto"/>
        <w:ind w:left="0" w:right="0" w:firstLine="0"/>
        <w:jc w:val="center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60"/>
        <w:jc w:val="both"/>
      </w:pPr>
      <w:r>
        <w:rPr>
          <w:rStyle w:val="CharStyle7"/>
        </w:rPr>
        <w:t xml:space="preserve">Zhotovitel uděluje objednateli svůj výslovný souhlas se zveřejněním podmínek této smlouvy v rozsahu a za podmínek vyplývajících z příslušných právních předpisů /zejména zákona č. 106/1999 Sb., o svobodném přístupu k informacím, v platném znění </w:t>
      </w:r>
      <w:r>
        <w:rPr>
          <w:rStyle w:val="CharStyle7"/>
          <w:i/>
          <w:iCs/>
        </w:rPr>
        <w:t>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2387" w:right="1375" w:bottom="1714" w:left="1371" w:header="0" w:footer="1286" w:gutter="0"/>
          <w:pgNumType w:start="15"/>
          <w:cols w:space="720"/>
          <w:noEndnote/>
          <w:rtlGutter w:val="0"/>
          <w:docGrid w:linePitch="360"/>
        </w:sectPr>
      </w:pPr>
      <w:r>
        <w:rPr>
          <w:rStyle w:val="CharStyle7"/>
        </w:rPr>
        <w:t>21.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40" w:line="296" w:lineRule="exact"/>
        <w:ind w:left="0" w:right="0" w:firstLine="420"/>
        <w:jc w:val="both"/>
      </w:pPr>
      <w:r>
        <w:rPr>
          <w:rStyle w:val="CharStyle7"/>
        </w:rPr>
        <w:t>Tato smlouva se uzavírá na základě návrhu na její uzavření ze strany objednatele. Předpokladem uzavření této smlouvy je její písemná forma a dohoda o celém jejím obsahu jak je obsažen v jejích článcích 1 až 25. Objednatel přitom předem vylučuje přijetí tohoto návrhu s dodatkem nebo odchylkou ve smyslu § 1740 odst. 3 občanského zákoníku.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96" w:lineRule="exact"/>
        <w:ind w:left="0" w:right="0" w:firstLine="0"/>
        <w:jc w:val="center"/>
      </w:pPr>
      <w:r>
        <w:rPr>
          <w:rStyle w:val="CharStyle7"/>
        </w:rPr>
        <w:t>22.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00" w:line="298" w:lineRule="exact"/>
        <w:ind w:left="0" w:right="0" w:firstLine="420"/>
        <w:jc w:val="both"/>
      </w:pPr>
      <w:r>
        <w:rPr>
          <w:rStyle w:val="CharStyle7"/>
        </w:rPr>
        <w:t>Tuto smlouvu lze změnit nebo zrušit pouze jinou písemnou dohodu obou smluvních stran.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rStyle w:val="CharStyle7"/>
        </w:rPr>
        <w:t>23.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40" w:line="300" w:lineRule="exact"/>
        <w:ind w:left="0" w:right="0" w:firstLine="420"/>
        <w:jc w:val="both"/>
      </w:pPr>
      <w:r>
        <w:rPr>
          <w:rStyle w:val="CharStyle7"/>
        </w:rPr>
        <w:t>Tato smlouva nabývá platnosti dnem jejího uzavření a účinnosti dnem jejího uveřejnění v registru smluv podle příslušných ustanovení zákona č. 340/2015 Sb. o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rStyle w:val="CharStyle7"/>
        </w:rPr>
        <w:t>24.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98" w:lineRule="exact"/>
        <w:ind w:left="0" w:right="0" w:firstLine="420"/>
        <w:jc w:val="both"/>
      </w:pPr>
      <w:r>
        <w:rPr>
          <w:rStyle w:val="CharStyle7"/>
        </w:rPr>
        <w:t>Dáno v Brně dne 28. 1. 2022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522" w:right="1376" w:bottom="1522" w:left="1390" w:header="1094" w:footer="1094" w:gutter="0"/>
          <w:pgNumType w:start="5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247775" distB="246380" distL="0" distR="0" simplePos="0" relativeHeight="125829378" behindDoc="0" locked="0" layoutInCell="1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1247775</wp:posOffset>
                </wp:positionV>
                <wp:extent cx="709930" cy="1860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</w:rPr>
                              <w:t>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8.75pt;margin-top:98.25pt;width:55.899999999999999pt;height:14.65pt;z-index:-125829375;mso-wrap-distance-left:0;mso-wrap-distance-top:98.25pt;mso-wrap-distance-right:0;mso-wrap-distance-bottom:19.400000000000002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</w:rPr>
                        <w:t>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77800" distB="0" distL="0" distR="0" simplePos="0" relativeHeight="125829380" behindDoc="0" locked="0" layoutInCell="1" allowOverlap="1">
            <wp:simplePos x="0" y="0"/>
            <wp:positionH relativeFrom="page">
              <wp:posOffset>3381375</wp:posOffset>
            </wp:positionH>
            <wp:positionV relativeFrom="paragraph">
              <wp:posOffset>177800</wp:posOffset>
            </wp:positionV>
            <wp:extent cx="2846705" cy="150558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846705" cy="15055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223010" distB="252730" distL="0" distR="0" simplePos="0" relativeHeight="125829381" behindDoc="0" locked="0" layoutInCell="1" allowOverlap="1">
                <wp:simplePos x="0" y="0"/>
                <wp:positionH relativeFrom="page">
                  <wp:posOffset>4847590</wp:posOffset>
                </wp:positionH>
                <wp:positionV relativeFrom="paragraph">
                  <wp:posOffset>1223010</wp:posOffset>
                </wp:positionV>
                <wp:extent cx="591185" cy="2044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8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8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1.69999999999999pt;margin-top:96.299999999999997pt;width:46.550000000000004pt;height:16.100000000000001pt;z-index:-125829372;mso-wrap-distance-left:0;mso-wrap-distance-top:96.299999999999997pt;mso-wrap-distance-right:0;mso-wrap-distance-bottom:19.900000000000002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8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8"/>
                          <w:spacing w:val="1"/>
                          <w:shd w:val="clear" w:color="auto" w:fill="000000"/>
                        </w:rPr>
                        <w:t>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22"/>
        </w:rPr>
        <w:t>Příloha č. 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Věc 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22"/>
          <w:u w:val="single"/>
        </w:rPr>
        <w:t>Zadání stavby ve Velkých Opatovicích.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480"/>
        <w:jc w:val="left"/>
      </w:pPr>
      <w:r>
        <w:rPr>
          <w:rStyle w:val="CharStyle22"/>
        </w:rPr>
        <w:t>Prodloužit garáž na pozemku 801/11 na úroveň stěny budovy VZ.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right="0"/>
        <w:jc w:val="left"/>
      </w:pPr>
      <w:r>
        <w:rPr>
          <w:rStyle w:val="CharStyle22"/>
        </w:rPr>
        <w:t>Umístit náhradní zdroj el. energie. Zajistit k němu přístup v souladu s požadavky dodavatele.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rStyle w:val="CharStyle22"/>
        </w:rPr>
        <w:t>Doplnit strukturovanou kabeláž od MG do RACK ve 2. NP budovy VZ.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rStyle w:val="CharStyle22"/>
        </w:rPr>
        <w:t>Silový kabel pod balkonem řešit ve vhodném žlabu, dále pokračovat pod omítkou až do rozváděče.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rStyle w:val="CharStyle22"/>
        </w:rPr>
        <w:t>Umístit chladící box infekčního odpadu přístupný z vnitřku garáže i zvenčí tak, aby byl umožněn jeho svoz i při nepřítomnosti výjezdové skupiny na VZ.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80"/>
        <w:jc w:val="left"/>
      </w:pPr>
      <w:r>
        <w:rPr>
          <w:rStyle w:val="CharStyle22"/>
        </w:rPr>
        <w:t>Nově umístit dezinfekční vanu tak, aby byla pro VS dobře přístupná.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rStyle w:val="CharStyle22"/>
        </w:rPr>
        <w:t>Vrata posunout na úroveň obvodového zdivá budovy VZ. Ovládací panel posunout do těsné blízkosti nového umístění vrat.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rStyle w:val="CharStyle22"/>
        </w:rPr>
        <w:t>Instalovat semafory na vjezdu i výjezdu z garáže (zelená, červená, případně měnící barvu), a to na obou stranách garáže.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rStyle w:val="CharStyle22"/>
        </w:rPr>
        <w:t>U záložního výjezdu nahradit stávající vrata sekčními s průmyslovým pohonem.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rStyle w:val="CharStyle22"/>
        </w:rPr>
        <w:t>U vstupních dveří do garáže instalovat čtečku ACS (přístupový systém) k urychlení vstupu při výjezdu.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both"/>
      </w:pPr>
      <w:r>
        <w:rPr>
          <w:rStyle w:val="CharStyle22"/>
        </w:rPr>
        <w:t>Doplnit zásuvky 230 V.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both"/>
      </w:pPr>
      <w:r>
        <w:rPr>
          <w:rStyle w:val="CharStyle22"/>
        </w:rPr>
        <w:t>Doplnit LED svítidla do přistavěné části garáže. Stávající nahradit stejným typem, jako budou doplněna.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rStyle w:val="CharStyle22"/>
        </w:rPr>
        <w:t>Pohyblivé přívody k napájení sanitních vozidel řešit šikmými zásuvkami na stropu garáže.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/>
        <w:ind w:right="0"/>
        <w:jc w:val="left"/>
      </w:pPr>
      <w:r>
        <w:rPr>
          <w:rStyle w:val="CharStyle22"/>
        </w:rPr>
        <w:t>Vodovodní kohoutek přemístit do zadní části garáže k záložním vratům. Doplnit vývod na vnějším plášti garáže v blízkosti záložních vrat a osadit ho nezámrzným ventilem.</w:t>
      </w:r>
    </w:p>
    <w:sectPr>
      <w:headerReference w:type="default" r:id="rId11"/>
      <w:footerReference w:type="default" r:id="rId12"/>
      <w:footnotePr>
        <w:pos w:val="pageBottom"/>
        <w:numFmt w:val="decimal"/>
        <w:numRestart w:val="continuous"/>
      </w:footnotePr>
      <w:pgSz w:w="11900" w:h="16840"/>
      <w:pgMar w:top="2120" w:right="1543" w:bottom="5946" w:left="1404" w:header="1692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919480</wp:posOffset>
              </wp:positionH>
              <wp:positionV relativeFrom="page">
                <wp:posOffset>7096125</wp:posOffset>
              </wp:positionV>
              <wp:extent cx="963295" cy="14033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9"/>
                              <w:sz w:val="22"/>
                              <w:szCs w:val="22"/>
                            </w:rPr>
                            <w:t>Za objednatele 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2.400000000000006pt;margin-top:558.75pt;width:75.850000000000009pt;height:11.0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9"/>
                        <w:sz w:val="22"/>
                        <w:szCs w:val="22"/>
                      </w:rPr>
                      <w:t>Za objednatele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1278255</wp:posOffset>
              </wp:positionV>
              <wp:extent cx="10985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Style w:val="CharStyle9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69999999999999pt;margin-top:100.65000000000001pt;width:8.6500000000000004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Style w:val="CharStyle9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9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1183640</wp:posOffset>
              </wp:positionV>
              <wp:extent cx="103505" cy="1155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0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Style w:val="CharStyle9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3.44999999999999pt;margin-top:93.200000000000003pt;width:8.1500000000000004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Style w:val="CharStyle9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9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1339215</wp:posOffset>
              </wp:positionV>
              <wp:extent cx="173990" cy="1130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39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fldSimple w:instr=" PAGE \* MERGEFORMAT ">
                            <w:r>
                              <w:rPr>
                                <w:rStyle w:val="CharStyle9"/>
                                <w:sz w:val="26"/>
                                <w:szCs w:val="2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9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1.05000000000001pt;margin-top:105.45pt;width:13.700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fldSimple w:instr=" PAGE \* MERGEFORMAT ">
                      <w:r>
                        <w:rPr>
                          <w:rStyle w:val="CharStyle9"/>
                          <w:sz w:val="26"/>
                          <w:szCs w:val="26"/>
                        </w:rPr>
                        <w:t>#</w:t>
                      </w:r>
                    </w:fldSimple>
                    <w:r>
                      <w:rPr>
                        <w:rStyle w:val="CharStyle9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hlaví nebo zápatí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Titulek obrázku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200"/>
      <w:ind w:right="4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5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hlaví nebo zápatí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7">
    <w:name w:val="Titulek obrázku"/>
    <w:basedOn w:val="Normal"/>
    <w:link w:val="CharStyle18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auto"/>
      <w:spacing w:line="264" w:lineRule="auto"/>
      <w:ind w:left="400" w:firstLine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header" Target="header5.xml"/><Relationship Id="rId12" Type="http://schemas.openxmlformats.org/officeDocument/2006/relationships/footer" Target="footer1.xml"/></Relationships>
</file>