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979" w:rsidRDefault="00D16239">
      <w:pPr>
        <w:jc w:val="right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noProof/>
          <w:sz w:val="12"/>
          <w:szCs w:val="12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900430</wp:posOffset>
            </wp:positionH>
            <wp:positionV relativeFrom="page">
              <wp:posOffset>290195</wp:posOffset>
            </wp:positionV>
            <wp:extent cx="1371600" cy="5810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2"/>
          <w:szCs w:val="12"/>
        </w:rPr>
        <w:t>C/02/12</w:t>
      </w:r>
    </w:p>
    <w:p w:rsidR="00CA5979" w:rsidRDefault="00CA5979">
      <w:pPr>
        <w:spacing w:line="200" w:lineRule="exact"/>
        <w:rPr>
          <w:sz w:val="24"/>
          <w:szCs w:val="24"/>
        </w:rPr>
      </w:pPr>
    </w:p>
    <w:p w:rsidR="00CA5979" w:rsidRDefault="00CA5979">
      <w:pPr>
        <w:spacing w:line="200" w:lineRule="exact"/>
        <w:rPr>
          <w:sz w:val="24"/>
          <w:szCs w:val="24"/>
        </w:rPr>
      </w:pPr>
    </w:p>
    <w:p w:rsidR="00CA5979" w:rsidRDefault="00CA5979">
      <w:pPr>
        <w:spacing w:line="200" w:lineRule="exact"/>
        <w:rPr>
          <w:sz w:val="24"/>
          <w:szCs w:val="24"/>
        </w:rPr>
      </w:pPr>
    </w:p>
    <w:p w:rsidR="00CA5979" w:rsidRDefault="00CA5979">
      <w:pPr>
        <w:spacing w:line="207" w:lineRule="exact"/>
        <w:rPr>
          <w:sz w:val="24"/>
          <w:szCs w:val="24"/>
        </w:rPr>
      </w:pPr>
    </w:p>
    <w:p w:rsidR="00CA5979" w:rsidRDefault="00D16239">
      <w:pPr>
        <w:ind w:left="461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>Všeobecné obchodní podmínky ke smlouvě o zprostředkování Benefitů (dále jen „VOP“)</w:t>
      </w:r>
    </w:p>
    <w:p w:rsidR="00CA5979" w:rsidRDefault="00CA5979">
      <w:pPr>
        <w:sectPr w:rsidR="00CA5979">
          <w:pgSz w:w="11900" w:h="16838"/>
          <w:pgMar w:top="706" w:right="1126" w:bottom="337" w:left="1419" w:header="0" w:footer="0" w:gutter="0"/>
          <w:cols w:space="708" w:equalWidth="0">
            <w:col w:w="9361"/>
          </w:cols>
        </w:sectPr>
      </w:pPr>
    </w:p>
    <w:p w:rsidR="00CA5979" w:rsidRDefault="00CA5979">
      <w:pPr>
        <w:spacing w:line="215" w:lineRule="exact"/>
        <w:rPr>
          <w:sz w:val="24"/>
          <w:szCs w:val="24"/>
        </w:rPr>
      </w:pPr>
    </w:p>
    <w:p w:rsidR="00CA5979" w:rsidRDefault="00D16239">
      <w:pPr>
        <w:ind w:left="1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A.SPOLEČNÁ ČÁST</w:t>
      </w:r>
    </w:p>
    <w:p w:rsidR="00CA5979" w:rsidRDefault="00CA5979">
      <w:pPr>
        <w:spacing w:line="169" w:lineRule="exact"/>
        <w:rPr>
          <w:sz w:val="24"/>
          <w:szCs w:val="24"/>
        </w:rPr>
      </w:pPr>
    </w:p>
    <w:p w:rsidR="00CA5979" w:rsidRDefault="00D16239">
      <w:pPr>
        <w:ind w:left="1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I. ÚVODNÍ USTANOVENÍ</w:t>
      </w:r>
    </w:p>
    <w:p w:rsidR="00CA5979" w:rsidRDefault="00CA5979">
      <w:pPr>
        <w:spacing w:line="171" w:lineRule="exact"/>
        <w:rPr>
          <w:sz w:val="24"/>
          <w:szCs w:val="24"/>
        </w:rPr>
      </w:pPr>
    </w:p>
    <w:p w:rsidR="00CA5979" w:rsidRDefault="00D16239">
      <w:pPr>
        <w:numPr>
          <w:ilvl w:val="0"/>
          <w:numId w:val="1"/>
        </w:numPr>
        <w:tabs>
          <w:tab w:val="left" w:pos="281"/>
        </w:tabs>
        <w:spacing w:line="239" w:lineRule="auto"/>
        <w:ind w:left="281" w:hanging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Tyto VOP upravují vztahy a vzájemná práva a povinnosti Sodexo a Klienta při spolupráci na základě</w:t>
      </w:r>
      <w:r>
        <w:rPr>
          <w:rFonts w:ascii="Tahoma" w:eastAsia="Tahoma" w:hAnsi="Tahoma" w:cs="Tahoma"/>
          <w:sz w:val="14"/>
          <w:szCs w:val="14"/>
        </w:rPr>
        <w:t xml:space="preserve"> Smlouvy.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1"/>
        </w:numPr>
        <w:tabs>
          <w:tab w:val="left" w:pos="281"/>
        </w:tabs>
        <w:spacing w:line="259" w:lineRule="auto"/>
        <w:ind w:left="281" w:hanging="281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Pojmy, které nejsou definovány přímo ve Smlouvě, mají ve Smlouvě a VOP a jejich přílohách význam uvedený v článku II. VOP.</w:t>
      </w:r>
    </w:p>
    <w:p w:rsidR="00CA5979" w:rsidRDefault="00D16239">
      <w:pPr>
        <w:numPr>
          <w:ilvl w:val="0"/>
          <w:numId w:val="1"/>
        </w:numPr>
        <w:tabs>
          <w:tab w:val="left" w:pos="281"/>
        </w:tabs>
        <w:spacing w:line="239" w:lineRule="auto"/>
        <w:ind w:left="281" w:hanging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Na právní vztah mezi Sodexo a Klientem se uplatní společná část </w:t>
      </w:r>
      <w:hyperlink w:anchor="page1">
        <w:r>
          <w:rPr>
            <w:rFonts w:ascii="Tahoma" w:eastAsia="Tahoma" w:hAnsi="Tahoma" w:cs="Tahoma"/>
            <w:sz w:val="14"/>
            <w:szCs w:val="14"/>
          </w:rPr>
          <w:t xml:space="preserve">A </w:t>
        </w:r>
      </w:hyperlink>
      <w:r>
        <w:rPr>
          <w:rFonts w:ascii="Tahoma" w:eastAsia="Tahoma" w:hAnsi="Tahoma" w:cs="Tahoma"/>
          <w:sz w:val="14"/>
          <w:szCs w:val="14"/>
        </w:rPr>
        <w:t>těchto VOP a dále ty zvláštn</w:t>
      </w:r>
      <w:r>
        <w:rPr>
          <w:rFonts w:ascii="Tahoma" w:eastAsia="Tahoma" w:hAnsi="Tahoma" w:cs="Tahoma"/>
          <w:sz w:val="14"/>
          <w:szCs w:val="14"/>
        </w:rPr>
        <w:t xml:space="preserve">í části VOP (označené </w:t>
      </w:r>
      <w:hyperlink w:anchor="page3">
        <w:r>
          <w:rPr>
            <w:rFonts w:ascii="Tahoma" w:eastAsia="Tahoma" w:hAnsi="Tahoma" w:cs="Tahoma"/>
            <w:sz w:val="14"/>
            <w:szCs w:val="14"/>
          </w:rPr>
          <w:t xml:space="preserve">B </w:t>
        </w:r>
      </w:hyperlink>
      <w:r>
        <w:rPr>
          <w:rFonts w:ascii="Tahoma" w:eastAsia="Tahoma" w:hAnsi="Tahoma" w:cs="Tahoma"/>
          <w:sz w:val="14"/>
          <w:szCs w:val="14"/>
        </w:rPr>
        <w:t>až G), které upravují Produkt, který byl Klientem ve Smlouvě objednán.</w:t>
      </w:r>
    </w:p>
    <w:p w:rsidR="00CA5979" w:rsidRDefault="00CA5979">
      <w:pPr>
        <w:spacing w:line="169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1"/>
          <w:numId w:val="1"/>
        </w:numPr>
        <w:tabs>
          <w:tab w:val="left" w:pos="941"/>
        </w:tabs>
        <w:ind w:left="941" w:hanging="212"/>
        <w:rPr>
          <w:rFonts w:ascii="Tahoma" w:eastAsia="Tahoma" w:hAnsi="Tahoma" w:cs="Tahoma"/>
          <w:b/>
          <w:bCs/>
          <w:sz w:val="14"/>
          <w:szCs w:val="14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VYMEZENÍ POJMU</w:t>
      </w:r>
    </w:p>
    <w:p w:rsidR="00CA5979" w:rsidRDefault="00CA5979">
      <w:pPr>
        <w:spacing w:line="17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1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AP</w:t>
      </w:r>
      <w:r>
        <w:rPr>
          <w:rFonts w:ascii="Tahoma" w:eastAsia="Tahoma" w:hAnsi="Tahoma" w:cs="Tahoma"/>
          <w:sz w:val="14"/>
          <w:szCs w:val="14"/>
        </w:rPr>
        <w:t xml:space="preserve"> znamená nepřenositelnou kartu vydanou Sodexo s názvem ActivePass nebo ActivePass Plus. AP</w:t>
      </w:r>
      <w:r>
        <w:rPr>
          <w:rFonts w:ascii="Tahoma" w:eastAsia="Tahoma" w:hAnsi="Tahoma" w:cs="Tahoma"/>
          <w:sz w:val="14"/>
          <w:szCs w:val="14"/>
        </w:rPr>
        <w:t xml:space="preserve"> slouží Beneficientovi jako průkaz oprávnění ke vstupu do provozovny Partnera za účelem sportovních relaxačních nebo zábavních aktivit.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1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Beneficient</w:t>
      </w:r>
      <w:r>
        <w:rPr>
          <w:rFonts w:ascii="Tahoma" w:eastAsia="Tahoma" w:hAnsi="Tahoma" w:cs="Tahoma"/>
          <w:sz w:val="14"/>
          <w:szCs w:val="14"/>
        </w:rPr>
        <w:t xml:space="preserve"> znamená člověka, který je na základě pracovního poměru s Klientem nebo jiné právní skutečnosti oprávněn k č</w:t>
      </w:r>
      <w:r>
        <w:rPr>
          <w:rFonts w:ascii="Tahoma" w:eastAsia="Tahoma" w:hAnsi="Tahoma" w:cs="Tahoma"/>
          <w:sz w:val="14"/>
          <w:szCs w:val="14"/>
        </w:rPr>
        <w:t>erpání Benefitu, jehož cena bude hrazena některým ze způsobů podle VOP.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1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Benefit</w:t>
      </w:r>
      <w:r>
        <w:rPr>
          <w:rFonts w:ascii="Tahoma" w:eastAsia="Tahoma" w:hAnsi="Tahoma" w:cs="Tahoma"/>
          <w:sz w:val="14"/>
          <w:szCs w:val="14"/>
        </w:rPr>
        <w:t xml:space="preserve"> znamená zboží nebo službu hrazenou některým ze způsobů dle těchto VOP.</w:t>
      </w:r>
    </w:p>
    <w:p w:rsidR="00CA5979" w:rsidRDefault="00CA5979">
      <w:pPr>
        <w:spacing w:line="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58" w:lineRule="auto"/>
        <w:ind w:left="1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3"/>
          <w:szCs w:val="13"/>
        </w:rPr>
        <w:t>Bod</w:t>
      </w:r>
      <w:r>
        <w:rPr>
          <w:rFonts w:ascii="Tahoma" w:eastAsia="Tahoma" w:hAnsi="Tahoma" w:cs="Tahoma"/>
          <w:sz w:val="13"/>
          <w:szCs w:val="13"/>
        </w:rPr>
        <w:t xml:space="preserve"> představuje jednotky oprávnění Beneficienta čerpat Benefity v rámci systému Cafeteria, které jsou v</w:t>
      </w:r>
      <w:r>
        <w:rPr>
          <w:rFonts w:ascii="Tahoma" w:eastAsia="Tahoma" w:hAnsi="Tahoma" w:cs="Tahoma"/>
          <w:sz w:val="13"/>
          <w:szCs w:val="13"/>
        </w:rPr>
        <w:t xml:space="preserve"> rámci systému Cafeteria přidělovány Beneficientům Klientem dle Benefitového programu. Body budou vždy platné po dobu individuálně dohodnutou s Klientem.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1"/>
        <w:jc w:val="both"/>
        <w:rPr>
          <w:rFonts w:ascii="Tahoma" w:eastAsia="Tahoma" w:hAnsi="Tahoma" w:cs="Tahoma"/>
          <w:color w:val="0000FF"/>
          <w:sz w:val="14"/>
          <w:szCs w:val="14"/>
          <w:u w:val="single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Cafeteria</w:t>
      </w:r>
      <w:r>
        <w:rPr>
          <w:rFonts w:ascii="Tahoma" w:eastAsia="Tahoma" w:hAnsi="Tahoma" w:cs="Tahoma"/>
          <w:sz w:val="14"/>
          <w:szCs w:val="14"/>
        </w:rPr>
        <w:t xml:space="preserve"> znamená elektronický systém umožňující zprostředkování zaměstnaneckých Benefitů, který je d</w:t>
      </w:r>
      <w:r>
        <w:rPr>
          <w:rFonts w:ascii="Tahoma" w:eastAsia="Tahoma" w:hAnsi="Tahoma" w:cs="Tahoma"/>
          <w:sz w:val="14"/>
          <w:szCs w:val="14"/>
        </w:rPr>
        <w:t>ostupný na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hyperlink r:id="rId6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www.sodexo-</w:t>
        </w:r>
      </w:hyperlink>
      <w:hyperlink r:id="rId7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ucet.cz</w:t>
        </w:r>
        <w:r>
          <w:rPr>
            <w:rFonts w:ascii="Tahoma" w:eastAsia="Tahoma" w:hAnsi="Tahoma" w:cs="Tahoma"/>
            <w:color w:val="000000"/>
            <w:sz w:val="14"/>
            <w:szCs w:val="14"/>
            <w:u w:val="single"/>
          </w:rPr>
          <w:t>.</w:t>
        </w:r>
      </w:hyperlink>
    </w:p>
    <w:p w:rsidR="00CA5979" w:rsidRDefault="00CA5979">
      <w:pPr>
        <w:spacing w:line="2" w:lineRule="exact"/>
        <w:rPr>
          <w:sz w:val="20"/>
          <w:szCs w:val="20"/>
        </w:rPr>
      </w:pPr>
    </w:p>
    <w:p w:rsidR="00CA5979" w:rsidRDefault="00D16239">
      <w:pPr>
        <w:spacing w:line="239" w:lineRule="auto"/>
        <w:ind w:left="1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Ceník</w:t>
      </w:r>
      <w:r>
        <w:rPr>
          <w:rFonts w:ascii="Tahoma" w:eastAsia="Tahoma" w:hAnsi="Tahoma" w:cs="Tahoma"/>
          <w:sz w:val="14"/>
          <w:szCs w:val="14"/>
        </w:rPr>
        <w:t xml:space="preserve"> znamená příslušný ceník (nebo ceníky) společnosti Sodexo, který upravuje výši odměny společnosti Sodexo za plnění poskytnutá Klientovi na základě Smluvní dokumentace. Aktuální znění Ceníku ke dni uzavření Smlouvy tvoří </w:t>
      </w:r>
      <w:r>
        <w:rPr>
          <w:rFonts w:ascii="Tahoma" w:eastAsia="Tahoma" w:hAnsi="Tahoma" w:cs="Tahoma"/>
          <w:sz w:val="14"/>
          <w:szCs w:val="14"/>
          <w:u w:val="single"/>
        </w:rPr>
        <w:t>přílohu č. 1</w:t>
      </w:r>
      <w:r>
        <w:rPr>
          <w:rFonts w:ascii="Tahoma" w:eastAsia="Tahoma" w:hAnsi="Tahoma" w:cs="Tahoma"/>
          <w:sz w:val="14"/>
          <w:szCs w:val="14"/>
        </w:rPr>
        <w:t xml:space="preserve"> VOP.</w:t>
      </w:r>
    </w:p>
    <w:p w:rsidR="00CA5979" w:rsidRDefault="00CA5979">
      <w:pPr>
        <w:spacing w:line="5" w:lineRule="exact"/>
        <w:rPr>
          <w:sz w:val="20"/>
          <w:szCs w:val="20"/>
        </w:rPr>
      </w:pPr>
    </w:p>
    <w:p w:rsidR="00CA5979" w:rsidRDefault="00D16239">
      <w:pPr>
        <w:spacing w:line="239" w:lineRule="auto"/>
        <w:ind w:left="1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Datum exspirace</w:t>
      </w:r>
      <w:r>
        <w:rPr>
          <w:rFonts w:ascii="Tahoma" w:eastAsia="Tahoma" w:hAnsi="Tahoma" w:cs="Tahoma"/>
          <w:sz w:val="14"/>
          <w:szCs w:val="14"/>
        </w:rPr>
        <w:t xml:space="preserve"> z</w:t>
      </w:r>
      <w:r>
        <w:rPr>
          <w:rFonts w:ascii="Tahoma" w:eastAsia="Tahoma" w:hAnsi="Tahoma" w:cs="Tahoma"/>
          <w:sz w:val="14"/>
          <w:szCs w:val="14"/>
        </w:rPr>
        <w:t>namená datum skončení platnosti Elektronické karty nebo AP uvedené na přední straně karty ve formátu MM/YY.</w:t>
      </w:r>
    </w:p>
    <w:p w:rsidR="00CA5979" w:rsidRDefault="00CA5979">
      <w:pPr>
        <w:spacing w:line="2" w:lineRule="exact"/>
        <w:rPr>
          <w:sz w:val="20"/>
          <w:szCs w:val="20"/>
        </w:rPr>
      </w:pPr>
    </w:p>
    <w:p w:rsidR="00CA5979" w:rsidRDefault="00D16239">
      <w:pPr>
        <w:spacing w:line="258" w:lineRule="auto"/>
        <w:ind w:left="1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3"/>
          <w:szCs w:val="13"/>
        </w:rPr>
        <w:t>Datum exspirace Kreditu</w:t>
      </w:r>
      <w:r>
        <w:rPr>
          <w:rFonts w:ascii="Tahoma" w:eastAsia="Tahoma" w:hAnsi="Tahoma" w:cs="Tahoma"/>
          <w:sz w:val="13"/>
          <w:szCs w:val="13"/>
        </w:rPr>
        <w:t xml:space="preserve"> znamená datum, ke kterému dochází k zániku možnosti využít Kredit k úhradě Benefitů. Datum exspirace Kreditu je uvedeno v s</w:t>
      </w:r>
      <w:r>
        <w:rPr>
          <w:rFonts w:ascii="Tahoma" w:eastAsia="Tahoma" w:hAnsi="Tahoma" w:cs="Tahoma"/>
          <w:sz w:val="13"/>
          <w:szCs w:val="13"/>
        </w:rPr>
        <w:t>ystému v rámci Přístupu Držitele.</w:t>
      </w:r>
    </w:p>
    <w:p w:rsidR="00CA5979" w:rsidRDefault="00CA5979">
      <w:pPr>
        <w:spacing w:line="2" w:lineRule="exact"/>
        <w:rPr>
          <w:sz w:val="20"/>
          <w:szCs w:val="20"/>
        </w:rPr>
      </w:pPr>
    </w:p>
    <w:p w:rsidR="00CA5979" w:rsidRDefault="00D16239">
      <w:pPr>
        <w:spacing w:line="238" w:lineRule="auto"/>
        <w:ind w:left="1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Držitel</w:t>
      </w:r>
      <w:r>
        <w:rPr>
          <w:rFonts w:ascii="Tahoma" w:eastAsia="Tahoma" w:hAnsi="Tahoma" w:cs="Tahoma"/>
          <w:sz w:val="14"/>
          <w:szCs w:val="14"/>
        </w:rPr>
        <w:t xml:space="preserve"> znamená Beneficienta, který je na základě dohody s Klientem oprávněn užívat Elektronickou kartu nebo AP.</w:t>
      </w:r>
    </w:p>
    <w:p w:rsidR="00CA5979" w:rsidRDefault="00CA5979">
      <w:pPr>
        <w:spacing w:line="4" w:lineRule="exact"/>
        <w:rPr>
          <w:sz w:val="20"/>
          <w:szCs w:val="20"/>
        </w:rPr>
      </w:pPr>
    </w:p>
    <w:p w:rsidR="00CA5979" w:rsidRDefault="00D16239">
      <w:pPr>
        <w:spacing w:line="239" w:lineRule="auto"/>
        <w:ind w:left="1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Elektronická karta</w:t>
      </w:r>
      <w:r>
        <w:rPr>
          <w:rFonts w:ascii="Tahoma" w:eastAsia="Tahoma" w:hAnsi="Tahoma" w:cs="Tahoma"/>
          <w:sz w:val="14"/>
          <w:szCs w:val="14"/>
        </w:rPr>
        <w:t xml:space="preserve"> znamená GPC a/nebo FPC.</w:t>
      </w:r>
      <w:r>
        <w:rPr>
          <w:rFonts w:ascii="Tahoma" w:eastAsia="Tahoma" w:hAnsi="Tahoma" w:cs="Tahoma"/>
          <w:b/>
          <w:bCs/>
          <w:sz w:val="14"/>
          <w:szCs w:val="14"/>
        </w:rPr>
        <w:t xml:space="preserve"> Klientský portál</w:t>
      </w:r>
      <w:r>
        <w:rPr>
          <w:rFonts w:ascii="Tahoma" w:eastAsia="Tahoma" w:hAnsi="Tahoma" w:cs="Tahoma"/>
          <w:sz w:val="14"/>
          <w:szCs w:val="14"/>
        </w:rPr>
        <w:t xml:space="preserve"> znamená zabezpečený internetový portál pro klienty dostupný z adresy</w:t>
      </w:r>
    </w:p>
    <w:p w:rsidR="00CA5979" w:rsidRDefault="00CA5979">
      <w:pPr>
        <w:spacing w:line="87" w:lineRule="exact"/>
        <w:rPr>
          <w:sz w:val="20"/>
          <w:szCs w:val="20"/>
        </w:rPr>
      </w:pPr>
    </w:p>
    <w:p w:rsidR="00CA5979" w:rsidRDefault="00D16239">
      <w:pPr>
        <w:ind w:left="1"/>
        <w:rPr>
          <w:rFonts w:ascii="Tahoma" w:eastAsia="Tahoma" w:hAnsi="Tahoma" w:cs="Tahoma"/>
          <w:color w:val="0000FF"/>
          <w:sz w:val="14"/>
          <w:szCs w:val="14"/>
          <w:u w:val="single"/>
        </w:rPr>
      </w:pPr>
      <w:hyperlink r:id="rId8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https://klient-portal.sodexo.cz</w:t>
        </w:r>
      </w:hyperlink>
    </w:p>
    <w:p w:rsidR="00CA5979" w:rsidRDefault="00CA5979">
      <w:pPr>
        <w:spacing w:line="22" w:lineRule="exact"/>
        <w:rPr>
          <w:sz w:val="20"/>
          <w:szCs w:val="20"/>
        </w:rPr>
      </w:pPr>
    </w:p>
    <w:p w:rsidR="00CA5979" w:rsidRDefault="00D16239">
      <w:pPr>
        <w:spacing w:line="239" w:lineRule="auto"/>
        <w:ind w:left="1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FPC</w:t>
      </w:r>
      <w:r>
        <w:rPr>
          <w:rFonts w:ascii="Tahoma" w:eastAsia="Tahoma" w:hAnsi="Tahoma" w:cs="Tahoma"/>
          <w:sz w:val="14"/>
          <w:szCs w:val="14"/>
        </w:rPr>
        <w:t xml:space="preserve"> je karta s názvem Flexi Pass CARD vydaná společností Sodexo, která slouží Držiteli k úhradě ceny</w:t>
      </w:r>
      <w:r>
        <w:rPr>
          <w:rFonts w:ascii="Tahoma" w:eastAsia="Tahoma" w:hAnsi="Tahoma" w:cs="Tahoma"/>
          <w:sz w:val="14"/>
          <w:szCs w:val="14"/>
        </w:rPr>
        <w:t xml:space="preserve"> nepeněžitého plnění poskytovaného zaměstnavatelem zaměstnanci nebo jeho rodinnému příslušníkovi ve formě, která je podle ZDP osvobozena od daně. FPC je přenositelná z Beneficienta na jinou osobu v rozsahu a za podmínek dle ZDP.</w:t>
      </w:r>
    </w:p>
    <w:p w:rsidR="00CA5979" w:rsidRDefault="00CA5979">
      <w:pPr>
        <w:spacing w:line="5" w:lineRule="exact"/>
        <w:rPr>
          <w:sz w:val="20"/>
          <w:szCs w:val="20"/>
        </w:rPr>
      </w:pPr>
    </w:p>
    <w:p w:rsidR="00CA5979" w:rsidRDefault="00D16239">
      <w:pPr>
        <w:spacing w:line="239" w:lineRule="auto"/>
        <w:ind w:left="1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Kredit</w:t>
      </w:r>
      <w:r>
        <w:rPr>
          <w:rFonts w:ascii="Tahoma" w:eastAsia="Tahoma" w:hAnsi="Tahoma" w:cs="Tahoma"/>
          <w:sz w:val="14"/>
          <w:szCs w:val="14"/>
        </w:rPr>
        <w:t xml:space="preserve"> znamená korunový ekvivalent hodnoty Benefitů, který je možné pomocí příslušné Elektronické karty uhradit a který byl pro určitou Elektronickou kartu připsán na základě Objednávky Kreditu.</w:t>
      </w:r>
    </w:p>
    <w:p w:rsidR="00CA5979" w:rsidRDefault="00CA5979">
      <w:pPr>
        <w:spacing w:line="3" w:lineRule="exact"/>
        <w:rPr>
          <w:sz w:val="20"/>
          <w:szCs w:val="20"/>
        </w:rPr>
      </w:pPr>
    </w:p>
    <w:p w:rsidR="00CA5979" w:rsidRDefault="00D16239">
      <w:pPr>
        <w:ind w:left="1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Garance dostupnosti systému Cafeteria</w:t>
      </w:r>
      <w:r>
        <w:rPr>
          <w:rFonts w:ascii="Tahoma" w:eastAsia="Tahoma" w:hAnsi="Tahoma" w:cs="Tahoma"/>
          <w:sz w:val="14"/>
          <w:szCs w:val="14"/>
        </w:rPr>
        <w:t xml:space="preserve"> znamená zvláštní ujednání (S</w:t>
      </w:r>
      <w:r>
        <w:rPr>
          <w:rFonts w:ascii="Tahoma" w:eastAsia="Tahoma" w:hAnsi="Tahoma" w:cs="Tahoma"/>
          <w:sz w:val="14"/>
          <w:szCs w:val="14"/>
        </w:rPr>
        <w:t>LA neboli Service Level Agreement) mezi společností Sodexo a Klientem, jehož obsahem je určení garantované</w:t>
      </w:r>
    </w:p>
    <w:p w:rsidR="00CA5979" w:rsidRDefault="00D1623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A5979" w:rsidRDefault="00CA5979">
      <w:pPr>
        <w:spacing w:line="197" w:lineRule="exact"/>
        <w:rPr>
          <w:sz w:val="20"/>
          <w:szCs w:val="20"/>
        </w:rPr>
      </w:pPr>
    </w:p>
    <w:p w:rsidR="00CA5979" w:rsidRDefault="00D16239">
      <w:pPr>
        <w:spacing w:line="239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minimální dostupnosti systému Cafeteria nebo mojeBonusy (% času Zúčtovacího období) pro potřeby Klienta a související podmínky.</w:t>
      </w:r>
    </w:p>
    <w:p w:rsidR="00CA5979" w:rsidRDefault="00CA5979">
      <w:pPr>
        <w:spacing w:line="4" w:lineRule="exact"/>
        <w:rPr>
          <w:sz w:val="20"/>
          <w:szCs w:val="20"/>
        </w:rPr>
      </w:pPr>
    </w:p>
    <w:p w:rsidR="00CA5979" w:rsidRDefault="00D16239">
      <w:pPr>
        <w:spacing w:line="238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GPC</w:t>
      </w:r>
      <w:r>
        <w:rPr>
          <w:rFonts w:ascii="Tahoma" w:eastAsia="Tahoma" w:hAnsi="Tahoma" w:cs="Tahoma"/>
          <w:sz w:val="14"/>
          <w:szCs w:val="14"/>
        </w:rPr>
        <w:t xml:space="preserve"> znamená plate</w:t>
      </w:r>
      <w:r>
        <w:rPr>
          <w:rFonts w:ascii="Tahoma" w:eastAsia="Tahoma" w:hAnsi="Tahoma" w:cs="Tahoma"/>
          <w:sz w:val="14"/>
          <w:szCs w:val="14"/>
        </w:rPr>
        <w:t>bní kartu s názvem Gastro Pass CARD vydanou společností Sodexo, která</w:t>
      </w:r>
    </w:p>
    <w:p w:rsidR="00CA5979" w:rsidRDefault="00CA5979">
      <w:pPr>
        <w:spacing w:line="1" w:lineRule="exact"/>
        <w:rPr>
          <w:sz w:val="20"/>
          <w:szCs w:val="20"/>
        </w:rPr>
      </w:pPr>
    </w:p>
    <w:p w:rsidR="00CA5979" w:rsidRDefault="00D16239">
      <w:pPr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slouží Držiteli k úhradě stravování poskytovaného podle ZDP jako nepeněžní plnění zaměstnavatelem zaměstnancům. GPC je nepřenositelná z Beneficienta na jinou osobu.</w:t>
      </w:r>
    </w:p>
    <w:p w:rsidR="00CA5979" w:rsidRDefault="00CA5979">
      <w:pPr>
        <w:spacing w:line="1" w:lineRule="exact"/>
        <w:rPr>
          <w:sz w:val="20"/>
          <w:szCs w:val="20"/>
        </w:rPr>
      </w:pPr>
    </w:p>
    <w:p w:rsidR="00CA5979" w:rsidRDefault="00D16239">
      <w:pPr>
        <w:spacing w:line="239" w:lineRule="auto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Klientský účet</w:t>
      </w:r>
      <w:r>
        <w:rPr>
          <w:rFonts w:ascii="Tahoma" w:eastAsia="Tahoma" w:hAnsi="Tahoma" w:cs="Tahoma"/>
          <w:sz w:val="14"/>
          <w:szCs w:val="14"/>
        </w:rPr>
        <w:t xml:space="preserve"> znam</w:t>
      </w:r>
      <w:r>
        <w:rPr>
          <w:rFonts w:ascii="Tahoma" w:eastAsia="Tahoma" w:hAnsi="Tahoma" w:cs="Tahoma"/>
          <w:sz w:val="14"/>
          <w:szCs w:val="14"/>
        </w:rPr>
        <w:t xml:space="preserve">ená elektronický uživatelský účet Klienta zřízený v souladu s čl. </w:t>
      </w:r>
      <w:hyperlink w:anchor="page3">
        <w:r>
          <w:rPr>
            <w:rFonts w:ascii="Tahoma" w:eastAsia="Tahoma" w:hAnsi="Tahoma" w:cs="Tahoma"/>
            <w:sz w:val="14"/>
            <w:szCs w:val="14"/>
          </w:rPr>
          <w:t>X</w:t>
        </w:r>
      </w:hyperlink>
      <w:r>
        <w:rPr>
          <w:rFonts w:ascii="Tahoma" w:eastAsia="Tahoma" w:hAnsi="Tahoma" w:cs="Tahoma"/>
          <w:sz w:val="14"/>
          <w:szCs w:val="14"/>
        </w:rPr>
        <w:t xml:space="preserve"> odst1.2 VOP pro účely registrovaného přístupu Klienta na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hyperlink r:id="rId9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www.mojesodexo.cz</w:t>
        </w:r>
        <w:r>
          <w:rPr>
            <w:rFonts w:ascii="Tahoma" w:eastAsia="Tahoma" w:hAnsi="Tahoma" w:cs="Tahoma"/>
            <w:sz w:val="14"/>
            <w:szCs w:val="14"/>
            <w:u w:val="single"/>
          </w:rPr>
          <w:t>.</w:t>
        </w:r>
      </w:hyperlink>
    </w:p>
    <w:p w:rsidR="00CA5979" w:rsidRDefault="00CA5979">
      <w:pPr>
        <w:spacing w:line="4" w:lineRule="exact"/>
        <w:rPr>
          <w:sz w:val="20"/>
          <w:szCs w:val="20"/>
        </w:rPr>
      </w:pPr>
    </w:p>
    <w:p w:rsidR="00CA5979" w:rsidRDefault="00D16239">
      <w:pPr>
        <w:spacing w:line="239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Kontaktní osoba</w:t>
      </w:r>
      <w:r>
        <w:rPr>
          <w:rFonts w:ascii="Tahoma" w:eastAsia="Tahoma" w:hAnsi="Tahoma" w:cs="Tahoma"/>
          <w:sz w:val="14"/>
          <w:szCs w:val="14"/>
        </w:rPr>
        <w:t xml:space="preserve"> znamená kontaktní osobu Klienta určenou ve Smlouvě spolu s rozsahem příslušného oprávnění zastupovat Klienta.</w:t>
      </w:r>
    </w:p>
    <w:p w:rsidR="00CA5979" w:rsidRDefault="00CA5979">
      <w:pPr>
        <w:spacing w:line="2" w:lineRule="exact"/>
        <w:rPr>
          <w:sz w:val="20"/>
          <w:szCs w:val="20"/>
        </w:rPr>
      </w:pPr>
    </w:p>
    <w:p w:rsidR="00CA5979" w:rsidRDefault="00D16239">
      <w:pPr>
        <w:spacing w:line="239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MPC</w:t>
      </w:r>
      <w:r>
        <w:rPr>
          <w:rFonts w:ascii="Tahoma" w:eastAsia="Tahoma" w:hAnsi="Tahoma" w:cs="Tahoma"/>
          <w:sz w:val="14"/>
          <w:szCs w:val="14"/>
        </w:rPr>
        <w:t xml:space="preserve"> je plastová karta, která slouží jako technický nosič umožňující implementaci funkcí GPC a FPC do jedné karty.</w:t>
      </w:r>
    </w:p>
    <w:p w:rsidR="00CA5979" w:rsidRDefault="00CA5979">
      <w:pPr>
        <w:spacing w:line="2" w:lineRule="exact"/>
        <w:rPr>
          <w:sz w:val="20"/>
          <w:szCs w:val="20"/>
        </w:rPr>
      </w:pPr>
    </w:p>
    <w:p w:rsidR="00CA5979" w:rsidRDefault="00D16239">
      <w:pPr>
        <w:spacing w:line="239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Nařízení</w:t>
      </w:r>
      <w:r>
        <w:rPr>
          <w:rFonts w:ascii="Tahoma" w:eastAsia="Tahoma" w:hAnsi="Tahoma" w:cs="Tahoma"/>
          <w:sz w:val="14"/>
          <w:szCs w:val="14"/>
        </w:rPr>
        <w:t xml:space="preserve"> znamená nařízení Evr</w:t>
      </w:r>
      <w:r>
        <w:rPr>
          <w:rFonts w:ascii="Tahoma" w:eastAsia="Tahoma" w:hAnsi="Tahoma" w:cs="Tahoma"/>
          <w:sz w:val="14"/>
          <w:szCs w:val="14"/>
        </w:rPr>
        <w:t>opského parlamentu a Rady (EU) 2016/679 ze dne 27.</w:t>
      </w:r>
    </w:p>
    <w:p w:rsidR="00CA5979" w:rsidRDefault="00CA5979">
      <w:pPr>
        <w:spacing w:line="2" w:lineRule="exact"/>
        <w:rPr>
          <w:sz w:val="20"/>
          <w:szCs w:val="20"/>
        </w:rPr>
      </w:pPr>
    </w:p>
    <w:p w:rsidR="00CA5979" w:rsidRDefault="00D16239">
      <w:pPr>
        <w:spacing w:line="239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dubna 2016 o ochraně fyzických osob v souvislosti se zpracováním osobních údajů a o volném pohybu těchto údajů a o zrušení směrnice 95/46/ES.</w:t>
      </w:r>
    </w:p>
    <w:p w:rsidR="00CA5979" w:rsidRDefault="00CA5979">
      <w:pPr>
        <w:spacing w:line="4" w:lineRule="exact"/>
        <w:rPr>
          <w:sz w:val="20"/>
          <w:szCs w:val="20"/>
        </w:rPr>
      </w:pPr>
    </w:p>
    <w:p w:rsidR="00CA5979" w:rsidRDefault="00D16239">
      <w:pPr>
        <w:spacing w:line="239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Objednávka Kreditu</w:t>
      </w:r>
      <w:r>
        <w:rPr>
          <w:rFonts w:ascii="Tahoma" w:eastAsia="Tahoma" w:hAnsi="Tahoma" w:cs="Tahoma"/>
          <w:sz w:val="14"/>
          <w:szCs w:val="14"/>
        </w:rPr>
        <w:t xml:space="preserve"> je neodvolatelný požadavek Klienta na navý</w:t>
      </w:r>
      <w:r>
        <w:rPr>
          <w:rFonts w:ascii="Tahoma" w:eastAsia="Tahoma" w:hAnsi="Tahoma" w:cs="Tahoma"/>
          <w:sz w:val="14"/>
          <w:szCs w:val="14"/>
        </w:rPr>
        <w:t>šení hodnoty Kreditu učiněný individuálně či hromadně pro více Elektronických karet prostřednictvím Systému nebo prostřednictvím Klientského portálu.</w:t>
      </w:r>
    </w:p>
    <w:p w:rsidR="00CA5979" w:rsidRDefault="00CA5979">
      <w:pPr>
        <w:spacing w:line="3" w:lineRule="exact"/>
        <w:rPr>
          <w:sz w:val="20"/>
          <w:szCs w:val="20"/>
        </w:rPr>
      </w:pPr>
    </w:p>
    <w:p w:rsidR="00CA5979" w:rsidRDefault="00D16239">
      <w:pPr>
        <w:spacing w:line="239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Objednávka Elektronické karty</w:t>
      </w:r>
      <w:r>
        <w:rPr>
          <w:rFonts w:ascii="Tahoma" w:eastAsia="Tahoma" w:hAnsi="Tahoma" w:cs="Tahoma"/>
          <w:sz w:val="14"/>
          <w:szCs w:val="14"/>
        </w:rPr>
        <w:t xml:space="preserve"> znamená neodvolatelný požadavek Klienta na vydání jedné či více Ele</w:t>
      </w:r>
      <w:bookmarkStart w:id="1" w:name="_GoBack"/>
      <w:bookmarkEnd w:id="1"/>
      <w:r>
        <w:rPr>
          <w:rFonts w:ascii="Tahoma" w:eastAsia="Tahoma" w:hAnsi="Tahoma" w:cs="Tahoma"/>
          <w:sz w:val="14"/>
          <w:szCs w:val="14"/>
        </w:rPr>
        <w:t>ktronick</w:t>
      </w:r>
      <w:r>
        <w:rPr>
          <w:rFonts w:ascii="Tahoma" w:eastAsia="Tahoma" w:hAnsi="Tahoma" w:cs="Tahoma"/>
          <w:sz w:val="14"/>
          <w:szCs w:val="14"/>
        </w:rPr>
        <w:t>ých karet učiněný prostřednictvím Systému nebo prostřednictvím Klientského portálu.</w:t>
      </w:r>
    </w:p>
    <w:p w:rsidR="00CA5979" w:rsidRDefault="00CA5979">
      <w:pPr>
        <w:spacing w:line="3" w:lineRule="exact"/>
        <w:rPr>
          <w:sz w:val="20"/>
          <w:szCs w:val="20"/>
        </w:rPr>
      </w:pPr>
    </w:p>
    <w:p w:rsidR="00CA5979" w:rsidRDefault="00D16239">
      <w:pPr>
        <w:spacing w:line="259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3"/>
          <w:szCs w:val="13"/>
        </w:rPr>
        <w:t>Osobní údaje</w:t>
      </w:r>
      <w:r>
        <w:rPr>
          <w:rFonts w:ascii="Tahoma" w:eastAsia="Tahoma" w:hAnsi="Tahoma" w:cs="Tahoma"/>
          <w:sz w:val="13"/>
          <w:szCs w:val="13"/>
        </w:rPr>
        <w:t xml:space="preserve"> jsou veškeré informace týkající se identifikovaných nebo identifikovatelných fyzických osob (subjektů údajů), jež Sodexo zpracovává na základě Smlouvy nebo v přímé souvislosti s ní při zprostředkování Benefitů. Sodexo zpracovává Osobní údaje v rozsahu: (i</w:t>
      </w:r>
      <w:r>
        <w:rPr>
          <w:rFonts w:ascii="Tahoma" w:eastAsia="Tahoma" w:hAnsi="Tahoma" w:cs="Tahoma"/>
          <w:sz w:val="13"/>
          <w:szCs w:val="13"/>
        </w:rPr>
        <w:t>) jméno, pracovní pozice, e-mail, telefonní číslo/faxové číslo u Kontaktních osob pro doručení, (ii) jméno, pracovní pozice, e-mail, telefonní číslo/faxové číslo, adresa doručení u Kontaktních osob pro objednávky, (iii) jméno, pracovní pozice, e-mail, tele</w:t>
      </w:r>
      <w:r>
        <w:rPr>
          <w:rFonts w:ascii="Tahoma" w:eastAsia="Tahoma" w:hAnsi="Tahoma" w:cs="Tahoma"/>
          <w:sz w:val="13"/>
          <w:szCs w:val="13"/>
        </w:rPr>
        <w:t>fonní číslo/faxové číslo u Kontaktních osob pro fakturaci, (iv) jméno u Beneficientů. Sodexo zpracovává Osobní údaje v bodech (i) až (iv) tohoto odstavce za účelem plnění Smlouvy a Osobní údaje v bodech (i) až (iii) za účelem zasílání obchodních a marketin</w:t>
      </w:r>
      <w:r>
        <w:rPr>
          <w:rFonts w:ascii="Tahoma" w:eastAsia="Tahoma" w:hAnsi="Tahoma" w:cs="Tahoma"/>
          <w:sz w:val="13"/>
          <w:szCs w:val="13"/>
        </w:rPr>
        <w:t>gových sdělení Klientovi spojených s předmětem Smlouvy, tj. nabízení výrobků a služeb, včetně zasílání informací o pořádaných akcích, výrobcích a jiných aktivitách, nebo zasílání dotazníků spokojenosti.</w:t>
      </w:r>
    </w:p>
    <w:p w:rsidR="00CA5979" w:rsidRDefault="00CA5979">
      <w:pPr>
        <w:spacing w:line="162" w:lineRule="exact"/>
        <w:rPr>
          <w:sz w:val="20"/>
          <w:szCs w:val="20"/>
        </w:rPr>
      </w:pPr>
    </w:p>
    <w:p w:rsidR="00CA5979" w:rsidRDefault="00D16239">
      <w:pPr>
        <w:spacing w:line="238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OZ</w:t>
      </w:r>
      <w:r>
        <w:rPr>
          <w:rFonts w:ascii="Tahoma" w:eastAsia="Tahoma" w:hAnsi="Tahoma" w:cs="Tahoma"/>
          <w:sz w:val="14"/>
          <w:szCs w:val="14"/>
        </w:rPr>
        <w:t xml:space="preserve"> znamená zákon č. 89/2012 Sb., občanský zákoník, v</w:t>
      </w:r>
      <w:r>
        <w:rPr>
          <w:rFonts w:ascii="Tahoma" w:eastAsia="Tahoma" w:hAnsi="Tahoma" w:cs="Tahoma"/>
          <w:sz w:val="14"/>
          <w:szCs w:val="14"/>
        </w:rPr>
        <w:t xml:space="preserve"> platném znění.</w:t>
      </w:r>
    </w:p>
    <w:p w:rsidR="00CA5979" w:rsidRDefault="00CA5979">
      <w:pPr>
        <w:spacing w:line="3" w:lineRule="exact"/>
        <w:rPr>
          <w:sz w:val="20"/>
          <w:szCs w:val="20"/>
        </w:rPr>
      </w:pPr>
    </w:p>
    <w:p w:rsidR="00CA5979" w:rsidRDefault="00D16239">
      <w:pPr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3"/>
          <w:szCs w:val="13"/>
        </w:rPr>
        <w:t>Podmínky užívání benefitů</w:t>
      </w:r>
      <w:r>
        <w:rPr>
          <w:rFonts w:ascii="Tahoma" w:eastAsia="Tahoma" w:hAnsi="Tahoma" w:cs="Tahoma"/>
          <w:sz w:val="13"/>
          <w:szCs w:val="13"/>
        </w:rPr>
        <w:t xml:space="preserve"> znamená závazný</w:t>
      </w:r>
    </w:p>
    <w:p w:rsidR="00CA5979" w:rsidRDefault="00CA5979">
      <w:pPr>
        <w:spacing w:line="12" w:lineRule="exact"/>
        <w:rPr>
          <w:sz w:val="20"/>
          <w:szCs w:val="20"/>
        </w:rPr>
      </w:pPr>
    </w:p>
    <w:p w:rsidR="00CA5979" w:rsidRDefault="00D16239">
      <w:pPr>
        <w:spacing w:line="239" w:lineRule="auto"/>
        <w:rPr>
          <w:rFonts w:ascii="Tahoma" w:eastAsia="Tahoma" w:hAnsi="Tahoma" w:cs="Tahoma"/>
          <w:color w:val="0000FF"/>
          <w:sz w:val="14"/>
          <w:szCs w:val="14"/>
          <w:u w:val="single"/>
        </w:rPr>
      </w:pPr>
      <w:r>
        <w:rPr>
          <w:rFonts w:ascii="Tahoma" w:eastAsia="Tahoma" w:hAnsi="Tahoma" w:cs="Tahoma"/>
          <w:sz w:val="14"/>
          <w:szCs w:val="14"/>
        </w:rPr>
        <w:t xml:space="preserve">dokument dostupný na adrese </w:t>
      </w:r>
      <w:hyperlink r:id="rId10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https://cz.sodexo.com/dokumenty-</w:t>
        </w:r>
      </w:hyperlink>
      <w:hyperlink r:id="rId11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sodexo/sodexo-benefity.html</w:t>
        </w:r>
        <w:r>
          <w:rPr>
            <w:rFonts w:ascii="Tahoma" w:eastAsia="Tahoma" w:hAnsi="Tahoma" w:cs="Tahoma"/>
            <w:color w:val="000000"/>
            <w:sz w:val="14"/>
            <w:szCs w:val="14"/>
            <w:u w:val="single"/>
          </w:rPr>
          <w:t>,</w:t>
        </w:r>
        <w:r>
          <w:rPr>
            <w:rFonts w:ascii="Tahoma" w:eastAsia="Tahoma" w:hAnsi="Tahoma" w:cs="Tahoma"/>
            <w:color w:val="000000"/>
            <w:sz w:val="14"/>
            <w:szCs w:val="14"/>
          </w:rPr>
          <w:t xml:space="preserve"> </w:t>
        </w:r>
      </w:hyperlink>
      <w:r>
        <w:rPr>
          <w:rFonts w:ascii="Tahoma" w:eastAsia="Tahoma" w:hAnsi="Tahoma" w:cs="Tahoma"/>
          <w:color w:val="000000"/>
          <w:sz w:val="14"/>
          <w:szCs w:val="14"/>
        </w:rPr>
        <w:t>určený k poučení</w:t>
      </w:r>
      <w:r>
        <w:rPr>
          <w:rFonts w:ascii="Tahoma" w:eastAsia="Tahoma" w:hAnsi="Tahoma" w:cs="Tahoma"/>
          <w:color w:val="0000FF"/>
          <w:sz w:val="14"/>
          <w:szCs w:val="14"/>
          <w:u w:val="single"/>
        </w:rPr>
        <w:t xml:space="preserve"> </w:t>
      </w:r>
      <w:r>
        <w:rPr>
          <w:rFonts w:ascii="Tahoma" w:eastAsia="Tahoma" w:hAnsi="Tahoma" w:cs="Tahoma"/>
          <w:color w:val="000000"/>
          <w:sz w:val="14"/>
          <w:szCs w:val="14"/>
        </w:rPr>
        <w:t>uživatelů o správném užívání benefitů v souladu s platnou legislativou.</w:t>
      </w:r>
    </w:p>
    <w:p w:rsidR="00CA5979" w:rsidRDefault="00CA5979">
      <w:pPr>
        <w:spacing w:line="3" w:lineRule="exact"/>
        <w:rPr>
          <w:sz w:val="20"/>
          <w:szCs w:val="20"/>
        </w:rPr>
      </w:pPr>
    </w:p>
    <w:p w:rsidR="00CA5979" w:rsidRDefault="00D16239">
      <w:pPr>
        <w:spacing w:line="239" w:lineRule="auto"/>
        <w:jc w:val="both"/>
        <w:rPr>
          <w:rFonts w:ascii="Tahoma" w:eastAsia="Tahoma" w:hAnsi="Tahoma" w:cs="Tahoma"/>
          <w:color w:val="0000FF"/>
          <w:sz w:val="14"/>
          <w:szCs w:val="14"/>
          <w:u w:val="single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Poukázka</w:t>
      </w:r>
      <w:r>
        <w:rPr>
          <w:rFonts w:ascii="Tahoma" w:eastAsia="Tahoma" w:hAnsi="Tahoma" w:cs="Tahoma"/>
          <w:sz w:val="14"/>
          <w:szCs w:val="14"/>
        </w:rPr>
        <w:t xml:space="preserve"> znamená papírovou poukázku Sodexo ve formě Asistence Pass, Bonus Pass, Dárkový Pass, Flexi Pass, Fokus Pas</w:t>
      </w:r>
      <w:r>
        <w:rPr>
          <w:rFonts w:ascii="Tahoma" w:eastAsia="Tahoma" w:hAnsi="Tahoma" w:cs="Tahoma"/>
          <w:sz w:val="14"/>
          <w:szCs w:val="14"/>
        </w:rPr>
        <w:t>s, Gastro Pass, Holiday Pass, Relax Pass nebo Vital Pass. Specifikace každé Poukázky včetně uvedení konkrétních služeb, které jí lze uhradit, je uvedena na webových stránkách Sodexo</w:t>
      </w:r>
      <w:r>
        <w:rPr>
          <w:rFonts w:ascii="Tahoma" w:eastAsia="Tahoma" w:hAnsi="Tahoma" w:cs="Tahoma"/>
          <w:color w:val="0000FF"/>
          <w:sz w:val="14"/>
          <w:szCs w:val="14"/>
          <w:u w:val="single"/>
        </w:rPr>
        <w:t xml:space="preserve"> </w:t>
      </w:r>
      <w:hyperlink r:id="rId12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www.sodexo.cz</w:t>
        </w:r>
        <w:r>
          <w:rPr>
            <w:rFonts w:ascii="Tahoma" w:eastAsia="Tahoma" w:hAnsi="Tahoma" w:cs="Tahoma"/>
            <w:color w:val="000000"/>
            <w:sz w:val="14"/>
            <w:szCs w:val="14"/>
            <w:u w:val="single"/>
          </w:rPr>
          <w:t>.</w:t>
        </w:r>
      </w:hyperlink>
    </w:p>
    <w:p w:rsidR="00CA5979" w:rsidRDefault="00CA5979">
      <w:pPr>
        <w:spacing w:line="5" w:lineRule="exact"/>
        <w:rPr>
          <w:sz w:val="20"/>
          <w:szCs w:val="20"/>
        </w:rPr>
      </w:pPr>
    </w:p>
    <w:p w:rsidR="00CA5979" w:rsidRDefault="00D16239">
      <w:pPr>
        <w:spacing w:line="239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Partner</w:t>
      </w:r>
      <w:r>
        <w:rPr>
          <w:rFonts w:ascii="Tahoma" w:eastAsia="Tahoma" w:hAnsi="Tahoma" w:cs="Tahoma"/>
          <w:sz w:val="14"/>
          <w:szCs w:val="14"/>
        </w:rPr>
        <w:t xml:space="preserve"> znamená smluvního partnera společnosti Sodexo, který bude přímým dodavatelem nebo ve vybraných případech (např. provozovatelů slevových portálů)</w:t>
      </w:r>
    </w:p>
    <w:p w:rsidR="00CA5979" w:rsidRDefault="00D1623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A5979" w:rsidRDefault="00CA5979">
      <w:pPr>
        <w:spacing w:line="197" w:lineRule="exact"/>
        <w:rPr>
          <w:sz w:val="20"/>
          <w:szCs w:val="20"/>
        </w:rPr>
      </w:pPr>
    </w:p>
    <w:p w:rsidR="00CA5979" w:rsidRDefault="00D16239">
      <w:pPr>
        <w:spacing w:line="239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zprostředkovatelem zboží a/nebo služeb Beneficientům.</w:t>
      </w:r>
    </w:p>
    <w:p w:rsidR="00CA5979" w:rsidRDefault="00CA5979">
      <w:pPr>
        <w:spacing w:line="2" w:lineRule="exact"/>
        <w:rPr>
          <w:sz w:val="20"/>
          <w:szCs w:val="20"/>
        </w:rPr>
      </w:pPr>
    </w:p>
    <w:p w:rsidR="00CA5979" w:rsidRDefault="00D16239">
      <w:pPr>
        <w:spacing w:line="239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Přístup/Přístup Klienta</w:t>
      </w:r>
      <w:r>
        <w:rPr>
          <w:rFonts w:ascii="Tahoma" w:eastAsia="Tahoma" w:hAnsi="Tahoma" w:cs="Tahoma"/>
          <w:sz w:val="14"/>
          <w:szCs w:val="14"/>
        </w:rPr>
        <w:t xml:space="preserve"> je zabezpečený elektronický </w:t>
      </w:r>
      <w:r>
        <w:rPr>
          <w:rFonts w:ascii="Tahoma" w:eastAsia="Tahoma" w:hAnsi="Tahoma" w:cs="Tahoma"/>
          <w:sz w:val="14"/>
          <w:szCs w:val="14"/>
        </w:rPr>
        <w:t>uživatelský přístup dostupný Klientovi nebo Držiteli v Systému.</w:t>
      </w:r>
    </w:p>
    <w:p w:rsidR="00CA5979" w:rsidRDefault="00CA5979">
      <w:pPr>
        <w:spacing w:line="2" w:lineRule="exact"/>
        <w:rPr>
          <w:sz w:val="20"/>
          <w:szCs w:val="20"/>
        </w:rPr>
      </w:pPr>
    </w:p>
    <w:p w:rsidR="00CA5979" w:rsidRDefault="00D16239">
      <w:pPr>
        <w:spacing w:line="239" w:lineRule="auto"/>
        <w:ind w:right="20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Reklamační řád</w:t>
      </w:r>
      <w:r>
        <w:rPr>
          <w:rFonts w:ascii="Tahoma" w:eastAsia="Tahoma" w:hAnsi="Tahoma" w:cs="Tahoma"/>
          <w:sz w:val="14"/>
          <w:szCs w:val="14"/>
        </w:rPr>
        <w:t xml:space="preserve"> znamená Reklamační řád Sodexo. Jeho aktuální znění ke dni uzavření Smlouvy tvoří </w:t>
      </w:r>
      <w:r>
        <w:rPr>
          <w:rFonts w:ascii="Tahoma" w:eastAsia="Tahoma" w:hAnsi="Tahoma" w:cs="Tahoma"/>
          <w:sz w:val="14"/>
          <w:szCs w:val="14"/>
          <w:u w:val="single"/>
        </w:rPr>
        <w:t>přílohu č. 2</w:t>
      </w:r>
      <w:r>
        <w:rPr>
          <w:rFonts w:ascii="Tahoma" w:eastAsia="Tahoma" w:hAnsi="Tahoma" w:cs="Tahoma"/>
          <w:sz w:val="14"/>
          <w:szCs w:val="14"/>
        </w:rPr>
        <w:t xml:space="preserve"> Smlouvy.</w:t>
      </w:r>
    </w:p>
    <w:p w:rsidR="00CA5979" w:rsidRDefault="00CA5979">
      <w:pPr>
        <w:spacing w:line="4" w:lineRule="exact"/>
        <w:rPr>
          <w:sz w:val="20"/>
          <w:szCs w:val="20"/>
        </w:rPr>
      </w:pPr>
    </w:p>
    <w:p w:rsidR="00CA5979" w:rsidRDefault="00D16239">
      <w:pPr>
        <w:spacing w:line="239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Smlouva</w:t>
      </w:r>
      <w:r>
        <w:rPr>
          <w:rFonts w:ascii="Tahoma" w:eastAsia="Tahoma" w:hAnsi="Tahoma" w:cs="Tahoma"/>
          <w:sz w:val="14"/>
          <w:szCs w:val="14"/>
        </w:rPr>
        <w:t xml:space="preserve"> znamená smlouvu o zprostředkování Benefitů uzavřenou mezi Sodexo</w:t>
      </w:r>
      <w:r>
        <w:rPr>
          <w:rFonts w:ascii="Tahoma" w:eastAsia="Tahoma" w:hAnsi="Tahoma" w:cs="Tahoma"/>
          <w:sz w:val="14"/>
          <w:szCs w:val="14"/>
        </w:rPr>
        <w:t xml:space="preserve"> a Klientem ve znění případných dodatků a změn. Smlouva může být uzavřena i prostřednictvím Klientského portálu.</w:t>
      </w:r>
    </w:p>
    <w:p w:rsidR="00CA5979" w:rsidRDefault="00CA5979">
      <w:pPr>
        <w:spacing w:line="3" w:lineRule="exact"/>
        <w:rPr>
          <w:sz w:val="20"/>
          <w:szCs w:val="20"/>
        </w:rPr>
      </w:pPr>
    </w:p>
    <w:p w:rsidR="00CA5979" w:rsidRDefault="00D16239">
      <w:pPr>
        <w:spacing w:line="238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Smluvní dokumentace</w:t>
      </w:r>
      <w:r>
        <w:rPr>
          <w:rFonts w:ascii="Tahoma" w:eastAsia="Tahoma" w:hAnsi="Tahoma" w:cs="Tahoma"/>
          <w:sz w:val="14"/>
          <w:szCs w:val="14"/>
        </w:rPr>
        <w:t xml:space="preserve"> znamená obecné označení pro jakýkoliv</w:t>
      </w:r>
    </w:p>
    <w:p w:rsidR="00CA5979" w:rsidRDefault="00CA5979">
      <w:pPr>
        <w:spacing w:line="3" w:lineRule="exact"/>
        <w:rPr>
          <w:sz w:val="20"/>
          <w:szCs w:val="20"/>
        </w:rPr>
      </w:pPr>
    </w:p>
    <w:p w:rsidR="00CA5979" w:rsidRDefault="00D16239">
      <w:pPr>
        <w:spacing w:line="239" w:lineRule="auto"/>
        <w:jc w:val="both"/>
        <w:rPr>
          <w:rFonts w:ascii="Tahoma" w:eastAsia="Tahoma" w:hAnsi="Tahoma" w:cs="Tahoma"/>
          <w:color w:val="000000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z následujících dokumentů nebo jejich celek - Smlouva, VOP, Reklamační řád, Ceník, </w:t>
      </w:r>
      <w:r>
        <w:rPr>
          <w:rFonts w:ascii="Tahoma" w:eastAsia="Tahoma" w:hAnsi="Tahoma" w:cs="Tahoma"/>
          <w:sz w:val="14"/>
          <w:szCs w:val="14"/>
        </w:rPr>
        <w:t xml:space="preserve">objednávky Produktů, včetně jejich dodatků včetně dodatků k vybraným Produktům a příloh. </w:t>
      </w:r>
      <w:hyperlink r:id="rId13">
        <w:r>
          <w:rPr>
            <w:rFonts w:ascii="Tahoma" w:eastAsia="Tahoma" w:hAnsi="Tahoma" w:cs="Tahoma"/>
            <w:b/>
            <w:bCs/>
            <w:color w:val="0000FF"/>
            <w:sz w:val="14"/>
            <w:szCs w:val="14"/>
            <w:u w:val="single"/>
          </w:rPr>
          <w:t>www.mojesodexo.cz</w:t>
        </w:r>
        <w:r>
          <w:rPr>
            <w:rFonts w:ascii="Tahoma" w:eastAsia="Tahoma" w:hAnsi="Tahoma" w:cs="Tahoma"/>
            <w:color w:val="000000"/>
            <w:sz w:val="14"/>
            <w:szCs w:val="14"/>
          </w:rPr>
          <w:t xml:space="preserve"> </w:t>
        </w:r>
      </w:hyperlink>
      <w:r>
        <w:rPr>
          <w:rFonts w:ascii="Tahoma" w:eastAsia="Tahoma" w:hAnsi="Tahoma" w:cs="Tahoma"/>
          <w:color w:val="000000"/>
          <w:sz w:val="14"/>
          <w:szCs w:val="14"/>
        </w:rPr>
        <w:t>znamená internetovou</w:t>
      </w:r>
      <w:r>
        <w:rPr>
          <w:rFonts w:ascii="Tahoma" w:eastAsia="Tahoma" w:hAnsi="Tahoma" w:cs="Tahoma"/>
          <w:b/>
          <w:bCs/>
          <w:color w:val="0000FF"/>
          <w:sz w:val="14"/>
          <w:szCs w:val="14"/>
          <w:u w:val="single"/>
        </w:rPr>
        <w:t xml:space="preserve"> </w:t>
      </w:r>
      <w:r>
        <w:rPr>
          <w:rFonts w:ascii="Tahoma" w:eastAsia="Tahoma" w:hAnsi="Tahoma" w:cs="Tahoma"/>
          <w:color w:val="000000"/>
          <w:sz w:val="14"/>
          <w:szCs w:val="14"/>
        </w:rPr>
        <w:t>aplikaci (objednávkový portál), nacházející se na internetové adrese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hyperlink r:id="rId14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www.mojesodexo.cz</w:t>
        </w:r>
        <w:r>
          <w:rPr>
            <w:rFonts w:ascii="Tahoma" w:eastAsia="Tahoma" w:hAnsi="Tahoma" w:cs="Tahoma"/>
            <w:color w:val="000000"/>
            <w:sz w:val="14"/>
            <w:szCs w:val="14"/>
            <w:u w:val="single"/>
          </w:rPr>
          <w:t xml:space="preserve">, </w:t>
        </w:r>
      </w:hyperlink>
      <w:r>
        <w:rPr>
          <w:rFonts w:ascii="Tahoma" w:eastAsia="Tahoma" w:hAnsi="Tahoma" w:cs="Tahoma"/>
          <w:color w:val="000000"/>
          <w:sz w:val="14"/>
          <w:szCs w:val="14"/>
        </w:rPr>
        <w:t>jejímž prostřednictvím lze elektronicky objednat Poukázky, Elektronické karty popř. další Produkty.</w:t>
      </w:r>
    </w:p>
    <w:p w:rsidR="00CA5979" w:rsidRDefault="00CA5979">
      <w:pPr>
        <w:spacing w:line="7" w:lineRule="exact"/>
        <w:rPr>
          <w:sz w:val="20"/>
          <w:szCs w:val="20"/>
        </w:rPr>
      </w:pPr>
    </w:p>
    <w:p w:rsidR="00CA5979" w:rsidRDefault="00D16239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Správce</w:t>
      </w:r>
      <w:r>
        <w:rPr>
          <w:rFonts w:ascii="Tahoma" w:eastAsia="Tahoma" w:hAnsi="Tahoma" w:cs="Tahoma"/>
          <w:sz w:val="14"/>
          <w:szCs w:val="14"/>
        </w:rPr>
        <w:t xml:space="preserve"> znamená správce osobních údajů ve smyslu Nařízení, tj. Klienta, jenž určuje účel a pr</w:t>
      </w:r>
      <w:r>
        <w:rPr>
          <w:rFonts w:ascii="Tahoma" w:eastAsia="Tahoma" w:hAnsi="Tahoma" w:cs="Tahoma"/>
          <w:sz w:val="14"/>
          <w:szCs w:val="14"/>
        </w:rPr>
        <w:t>ostředky zpracování Osobních údajů.</w:t>
      </w:r>
    </w:p>
    <w:p w:rsidR="00CA5979" w:rsidRDefault="00CA5979">
      <w:pPr>
        <w:spacing w:line="4" w:lineRule="exact"/>
        <w:rPr>
          <w:sz w:val="20"/>
          <w:szCs w:val="20"/>
        </w:rPr>
      </w:pPr>
    </w:p>
    <w:p w:rsidR="00CA5979" w:rsidRDefault="00D16239">
      <w:pPr>
        <w:spacing w:line="239" w:lineRule="auto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Strany</w:t>
      </w:r>
      <w:r>
        <w:rPr>
          <w:rFonts w:ascii="Tahoma" w:eastAsia="Tahoma" w:hAnsi="Tahoma" w:cs="Tahoma"/>
          <w:sz w:val="14"/>
          <w:szCs w:val="14"/>
        </w:rPr>
        <w:t xml:space="preserve"> znamená Sodexo a/nebo Klient.</w:t>
      </w:r>
      <w:r>
        <w:rPr>
          <w:rFonts w:ascii="Tahoma" w:eastAsia="Tahoma" w:hAnsi="Tahoma" w:cs="Tahoma"/>
          <w:b/>
          <w:bCs/>
          <w:sz w:val="14"/>
          <w:szCs w:val="14"/>
        </w:rPr>
        <w:t xml:space="preserve"> Systém</w:t>
      </w:r>
      <w:r>
        <w:rPr>
          <w:rFonts w:ascii="Tahoma" w:eastAsia="Tahoma" w:hAnsi="Tahoma" w:cs="Tahoma"/>
          <w:sz w:val="14"/>
          <w:szCs w:val="14"/>
        </w:rPr>
        <w:t xml:space="preserve"> znamená elektronický systém pro správu Elektronických karet provozovaný Sodexo a přístupný online.</w:t>
      </w:r>
    </w:p>
    <w:p w:rsidR="00CA5979" w:rsidRDefault="00CA5979">
      <w:pPr>
        <w:spacing w:line="4" w:lineRule="exact"/>
        <w:rPr>
          <w:sz w:val="20"/>
          <w:szCs w:val="20"/>
        </w:rPr>
      </w:pPr>
    </w:p>
    <w:p w:rsidR="00CA5979" w:rsidRDefault="00D16239">
      <w:pPr>
        <w:spacing w:line="238" w:lineRule="auto"/>
        <w:ind w:right="20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VOP</w:t>
      </w:r>
      <w:r>
        <w:rPr>
          <w:rFonts w:ascii="Tahoma" w:eastAsia="Tahoma" w:hAnsi="Tahoma" w:cs="Tahoma"/>
          <w:sz w:val="14"/>
          <w:szCs w:val="14"/>
        </w:rPr>
        <w:t xml:space="preserve"> znamená tyto všeobecné obchodní podmínky ke Smlouvě.</w:t>
      </w:r>
    </w:p>
    <w:p w:rsidR="00CA5979" w:rsidRDefault="00CA5979">
      <w:pPr>
        <w:spacing w:line="1" w:lineRule="exact"/>
        <w:rPr>
          <w:sz w:val="20"/>
          <w:szCs w:val="20"/>
        </w:rPr>
      </w:pPr>
    </w:p>
    <w:p w:rsidR="00CA5979" w:rsidRDefault="00D16239">
      <w:pPr>
        <w:spacing w:line="239" w:lineRule="auto"/>
        <w:ind w:right="20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ZDP</w:t>
      </w:r>
      <w:r>
        <w:rPr>
          <w:rFonts w:ascii="Tahoma" w:eastAsia="Tahoma" w:hAnsi="Tahoma" w:cs="Tahoma"/>
          <w:sz w:val="14"/>
          <w:szCs w:val="14"/>
        </w:rPr>
        <w:t xml:space="preserve"> znamená zákon č. 586/1992 Sb., o daních z příjmu, v platném znění.</w:t>
      </w:r>
    </w:p>
    <w:p w:rsidR="00CA5979" w:rsidRDefault="00CA5979">
      <w:pPr>
        <w:spacing w:line="2" w:lineRule="exact"/>
        <w:rPr>
          <w:sz w:val="20"/>
          <w:szCs w:val="20"/>
        </w:rPr>
      </w:pPr>
    </w:p>
    <w:p w:rsidR="00CA5979" w:rsidRDefault="00D16239">
      <w:pPr>
        <w:spacing w:line="239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Zpracovatel</w:t>
      </w:r>
      <w:r>
        <w:rPr>
          <w:rFonts w:ascii="Tahoma" w:eastAsia="Tahoma" w:hAnsi="Tahoma" w:cs="Tahoma"/>
          <w:sz w:val="14"/>
          <w:szCs w:val="14"/>
        </w:rPr>
        <w:t xml:space="preserve"> znamená zpracovatele osobních údajů ve smyslu Nařízení, tj. Sodexo, jež zpracovává Osobní údaje pro Klienta na základě pokynů Klienta při plnění závazků ze Smlouvy.</w:t>
      </w:r>
    </w:p>
    <w:p w:rsidR="00CA5979" w:rsidRDefault="00CA5979">
      <w:pPr>
        <w:spacing w:line="4" w:lineRule="exact"/>
        <w:rPr>
          <w:sz w:val="20"/>
          <w:szCs w:val="20"/>
        </w:rPr>
      </w:pPr>
    </w:p>
    <w:p w:rsidR="00CA5979" w:rsidRDefault="00D16239">
      <w:pPr>
        <w:spacing w:line="239" w:lineRule="auto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Zúčtovací</w:t>
      </w:r>
      <w:r>
        <w:rPr>
          <w:rFonts w:ascii="Tahoma" w:eastAsia="Tahoma" w:hAnsi="Tahoma" w:cs="Tahoma"/>
          <w:b/>
          <w:bCs/>
          <w:sz w:val="14"/>
          <w:szCs w:val="14"/>
        </w:rPr>
        <w:t xml:space="preserve"> období</w:t>
      </w:r>
      <w:r>
        <w:rPr>
          <w:rFonts w:ascii="Tahoma" w:eastAsia="Tahoma" w:hAnsi="Tahoma" w:cs="Tahoma"/>
          <w:sz w:val="14"/>
          <w:szCs w:val="14"/>
        </w:rPr>
        <w:t xml:space="preserve"> znamená období určené ve Smluvní dokumentaci pro účely využívání systému Cafeteria (resp. mojeBonusy), ve kterém budou Klientem a Beneficienty objednané Benefity fakturovány Sodexo.</w:t>
      </w:r>
    </w:p>
    <w:p w:rsidR="00CA5979" w:rsidRDefault="00CA5979">
      <w:pPr>
        <w:spacing w:line="170" w:lineRule="exact"/>
        <w:rPr>
          <w:sz w:val="20"/>
          <w:szCs w:val="20"/>
        </w:rPr>
      </w:pPr>
    </w:p>
    <w:p w:rsidR="00CA5979" w:rsidRDefault="00D16239">
      <w:pPr>
        <w:numPr>
          <w:ilvl w:val="1"/>
          <w:numId w:val="2"/>
        </w:numPr>
        <w:tabs>
          <w:tab w:val="left" w:pos="520"/>
        </w:tabs>
        <w:ind w:left="520" w:hanging="283"/>
        <w:rPr>
          <w:rFonts w:ascii="Tahoma" w:eastAsia="Tahoma" w:hAnsi="Tahoma" w:cs="Tahoma"/>
          <w:b/>
          <w:bCs/>
          <w:sz w:val="14"/>
          <w:szCs w:val="14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PRÁVA A POVINNOSTI SODEXO</w:t>
      </w:r>
    </w:p>
    <w:p w:rsidR="00CA5979" w:rsidRDefault="00CA5979">
      <w:pPr>
        <w:spacing w:line="171" w:lineRule="exact"/>
        <w:rPr>
          <w:rFonts w:ascii="Tahoma" w:eastAsia="Tahoma" w:hAnsi="Tahoma" w:cs="Tahoma"/>
          <w:b/>
          <w:bCs/>
          <w:sz w:val="14"/>
          <w:szCs w:val="14"/>
        </w:rPr>
      </w:pPr>
    </w:p>
    <w:p w:rsidR="00CA5979" w:rsidRDefault="00D16239">
      <w:pPr>
        <w:numPr>
          <w:ilvl w:val="0"/>
          <w:numId w:val="3"/>
        </w:numPr>
        <w:tabs>
          <w:tab w:val="left" w:pos="280"/>
        </w:tabs>
        <w:spacing w:line="239" w:lineRule="auto"/>
        <w:ind w:left="280" w:hanging="274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Sodexo v rámci své zprostředkovatelské</w:t>
      </w:r>
      <w:r>
        <w:rPr>
          <w:rFonts w:ascii="Tahoma" w:eastAsia="Tahoma" w:hAnsi="Tahoma" w:cs="Tahoma"/>
          <w:sz w:val="14"/>
          <w:szCs w:val="14"/>
        </w:rPr>
        <w:t xml:space="preserve"> činnosti (resp. přeprodeje u AP) zajištuje síť Partnerů, v jejichž provozovnách lze jednotlivé Produkty dle VOP uplatnit a kteří jsou k jejich přijímání smluvně zavázáni. Klient bere na vědomí, že tato síť Partnerů muže v průběhu času doznat změn, a Sodex</w:t>
      </w:r>
      <w:r>
        <w:rPr>
          <w:rFonts w:ascii="Tahoma" w:eastAsia="Tahoma" w:hAnsi="Tahoma" w:cs="Tahoma"/>
          <w:sz w:val="14"/>
          <w:szCs w:val="14"/>
        </w:rPr>
        <w:t>o si vyhrazuje právo činit takovéto změny.</w:t>
      </w:r>
    </w:p>
    <w:p w:rsidR="00CA5979" w:rsidRDefault="00CA5979">
      <w:pPr>
        <w:spacing w:line="7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3"/>
        </w:numPr>
        <w:tabs>
          <w:tab w:val="left" w:pos="280"/>
        </w:tabs>
        <w:spacing w:line="239" w:lineRule="auto"/>
        <w:ind w:left="280" w:right="20" w:hanging="274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Závazek Sodexo zprostředkovat využití Produktů u smluvených Partnerů je splněn zajištěním sítě Partnerů.</w:t>
      </w:r>
    </w:p>
    <w:p w:rsidR="00CA5979" w:rsidRDefault="00CA5979">
      <w:pPr>
        <w:spacing w:line="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3"/>
        </w:numPr>
        <w:tabs>
          <w:tab w:val="left" w:pos="280"/>
        </w:tabs>
        <w:spacing w:line="258" w:lineRule="auto"/>
        <w:ind w:left="280" w:hanging="274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S ohledem na povahu programu umožňujícího úhradu ceny Benefitů způsoby</w:t>
      </w:r>
    </w:p>
    <w:p w:rsidR="00CA5979" w:rsidRDefault="00D16239">
      <w:pPr>
        <w:tabs>
          <w:tab w:val="left" w:pos="580"/>
          <w:tab w:val="left" w:pos="960"/>
          <w:tab w:val="left" w:pos="1200"/>
          <w:tab w:val="left" w:pos="2020"/>
          <w:tab w:val="left" w:pos="2280"/>
        </w:tabs>
        <w:ind w:left="280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dle</w:t>
      </w:r>
      <w:r>
        <w:rPr>
          <w:rFonts w:ascii="Tahoma" w:eastAsia="Tahoma" w:hAnsi="Tahoma" w:cs="Tahoma"/>
          <w:sz w:val="14"/>
          <w:szCs w:val="14"/>
        </w:rPr>
        <w:tab/>
        <w:t>VOP</w:t>
      </w:r>
      <w:r>
        <w:rPr>
          <w:rFonts w:ascii="Tahoma" w:eastAsia="Tahoma" w:hAnsi="Tahoma" w:cs="Tahoma"/>
          <w:sz w:val="14"/>
          <w:szCs w:val="14"/>
        </w:rPr>
        <w:tab/>
        <w:t>je</w:t>
      </w:r>
      <w:r>
        <w:rPr>
          <w:rFonts w:ascii="Tahoma" w:eastAsia="Tahoma" w:hAnsi="Tahoma" w:cs="Tahoma"/>
          <w:sz w:val="14"/>
          <w:szCs w:val="14"/>
        </w:rPr>
        <w:tab/>
        <w:t>dohodnuto,</w:t>
      </w:r>
      <w:r>
        <w:rPr>
          <w:rFonts w:ascii="Tahoma" w:eastAsia="Tahoma" w:hAnsi="Tahoma" w:cs="Tahoma"/>
          <w:sz w:val="14"/>
          <w:szCs w:val="14"/>
        </w:rPr>
        <w:tab/>
        <w:t>že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sz w:val="13"/>
          <w:szCs w:val="13"/>
        </w:rPr>
        <w:t>ustanovení</w:t>
      </w:r>
    </w:p>
    <w:p w:rsidR="00CA5979" w:rsidRDefault="00D16239">
      <w:pPr>
        <w:spacing w:line="239" w:lineRule="auto"/>
        <w:ind w:left="280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§ 2446, § 2450, § 2451 a § 2452 OZ se nepoužijí.</w:t>
      </w:r>
    </w:p>
    <w:p w:rsidR="00CA5979" w:rsidRDefault="00CA5979">
      <w:pPr>
        <w:spacing w:line="1" w:lineRule="exact"/>
        <w:rPr>
          <w:sz w:val="20"/>
          <w:szCs w:val="20"/>
        </w:rPr>
      </w:pPr>
    </w:p>
    <w:p w:rsidR="00CA5979" w:rsidRDefault="00D16239">
      <w:pPr>
        <w:numPr>
          <w:ilvl w:val="0"/>
          <w:numId w:val="4"/>
        </w:numPr>
        <w:tabs>
          <w:tab w:val="left" w:pos="280"/>
        </w:tabs>
        <w:spacing w:line="238" w:lineRule="auto"/>
        <w:ind w:left="280" w:hanging="274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Sodexo je oprávněno přerušit plnění povinností mu vyplývajících ze Smlouvy či</w:t>
      </w:r>
    </w:p>
    <w:p w:rsidR="00CA5979" w:rsidRDefault="00CA5979">
      <w:pPr>
        <w:spacing w:line="3" w:lineRule="exact"/>
        <w:rPr>
          <w:sz w:val="20"/>
          <w:szCs w:val="20"/>
        </w:rPr>
      </w:pPr>
    </w:p>
    <w:p w:rsidR="00CA5979" w:rsidRDefault="00D16239">
      <w:pPr>
        <w:spacing w:line="239" w:lineRule="auto"/>
        <w:ind w:left="280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takovéto plnění odložit, je-li Klient v prodlení s plněním jakýchkoliv povinností vyplývajících ze Smlouvy.</w:t>
      </w:r>
    </w:p>
    <w:p w:rsidR="00CA5979" w:rsidRDefault="00D16239">
      <w:pPr>
        <w:numPr>
          <w:ilvl w:val="0"/>
          <w:numId w:val="5"/>
        </w:numPr>
        <w:tabs>
          <w:tab w:val="left" w:pos="280"/>
        </w:tabs>
        <w:ind w:left="280" w:hanging="274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Pokud  je  Klient </w:t>
      </w:r>
      <w:r>
        <w:rPr>
          <w:rFonts w:ascii="Tahoma" w:eastAsia="Tahoma" w:hAnsi="Tahoma" w:cs="Tahoma"/>
          <w:sz w:val="14"/>
          <w:szCs w:val="14"/>
        </w:rPr>
        <w:t xml:space="preserve"> opakovaně  v prodlení  za</w:t>
      </w:r>
    </w:p>
    <w:p w:rsidR="00CA5979" w:rsidRDefault="00CA5979">
      <w:pPr>
        <w:spacing w:line="3" w:lineRule="exact"/>
        <w:rPr>
          <w:sz w:val="20"/>
          <w:szCs w:val="20"/>
        </w:rPr>
      </w:pPr>
    </w:p>
    <w:p w:rsidR="00CA5979" w:rsidRDefault="00D16239">
      <w:pPr>
        <w:spacing w:line="238" w:lineRule="auto"/>
        <w:ind w:left="280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úhradu služeb, vyhrazuje si Sodexo právo účtovat Klientovi odpovídající úrok</w:t>
      </w:r>
    </w:p>
    <w:p w:rsidR="00CA5979" w:rsidRDefault="00D16239">
      <w:pPr>
        <w:ind w:left="280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z prodlení.</w:t>
      </w:r>
    </w:p>
    <w:p w:rsidR="00CA5979" w:rsidRDefault="00CA5979">
      <w:pPr>
        <w:spacing w:line="2" w:lineRule="exact"/>
        <w:rPr>
          <w:sz w:val="20"/>
          <w:szCs w:val="20"/>
        </w:rPr>
      </w:pPr>
    </w:p>
    <w:p w:rsidR="00CA5979" w:rsidRDefault="00D16239">
      <w:pPr>
        <w:numPr>
          <w:ilvl w:val="0"/>
          <w:numId w:val="6"/>
        </w:numPr>
        <w:tabs>
          <w:tab w:val="left" w:pos="280"/>
        </w:tabs>
        <w:spacing w:line="239" w:lineRule="auto"/>
        <w:ind w:left="280" w:hanging="274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Sodexo si vyhrazuje právo účtovat Klientovi manuální práci svých zaměstnanců nad rámec běžného plnění Smlouvy, především</w:t>
      </w:r>
    </w:p>
    <w:p w:rsidR="00CA5979" w:rsidRDefault="00CA5979">
      <w:pPr>
        <w:spacing w:line="476" w:lineRule="exact"/>
        <w:rPr>
          <w:sz w:val="20"/>
          <w:szCs w:val="20"/>
        </w:rPr>
      </w:pPr>
    </w:p>
    <w:p w:rsidR="00CA5979" w:rsidRDefault="00CA5979">
      <w:pPr>
        <w:sectPr w:rsidR="00CA5979">
          <w:type w:val="continuous"/>
          <w:pgSz w:w="11900" w:h="16838"/>
          <w:pgMar w:top="706" w:right="1126" w:bottom="337" w:left="1419" w:header="0" w:footer="0" w:gutter="0"/>
          <w:cols w:num="3" w:space="708" w:equalWidth="0">
            <w:col w:w="2961" w:space="240"/>
            <w:col w:w="2960" w:space="220"/>
            <w:col w:w="2980"/>
          </w:cols>
        </w:sectPr>
      </w:pPr>
    </w:p>
    <w:p w:rsidR="00CA5979" w:rsidRDefault="00CA5979">
      <w:pPr>
        <w:spacing w:line="156" w:lineRule="exact"/>
        <w:rPr>
          <w:sz w:val="20"/>
          <w:szCs w:val="20"/>
        </w:rPr>
      </w:pPr>
    </w:p>
    <w:p w:rsidR="00CA5979" w:rsidRDefault="00D16239">
      <w:pPr>
        <w:ind w:right="19"/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15"/>
          <w:szCs w:val="15"/>
        </w:rPr>
        <w:t>- 1 -</w:t>
      </w:r>
    </w:p>
    <w:p w:rsidR="00CA5979" w:rsidRDefault="00CA5979">
      <w:pPr>
        <w:sectPr w:rsidR="00CA5979">
          <w:type w:val="continuous"/>
          <w:pgSz w:w="11900" w:h="16838"/>
          <w:pgMar w:top="706" w:right="1126" w:bottom="337" w:left="1419" w:header="0" w:footer="0" w:gutter="0"/>
          <w:cols w:space="708" w:equalWidth="0">
            <w:col w:w="9361"/>
          </w:cols>
        </w:sectPr>
      </w:pPr>
    </w:p>
    <w:p w:rsidR="00CA5979" w:rsidRDefault="00D16239">
      <w:pPr>
        <w:ind w:left="8941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1"/>
          <w:szCs w:val="11"/>
        </w:rPr>
        <w:lastRenderedPageBreak/>
        <w:t>C/02/12</w:t>
      </w:r>
    </w:p>
    <w:p w:rsidR="00CA5979" w:rsidRDefault="00CA5979">
      <w:pPr>
        <w:sectPr w:rsidR="00CA5979">
          <w:pgSz w:w="11900" w:h="16838"/>
          <w:pgMar w:top="714" w:right="1126" w:bottom="101" w:left="1419" w:header="0" w:footer="0" w:gutter="0"/>
          <w:cols w:space="708" w:equalWidth="0">
            <w:col w:w="9361"/>
          </w:cols>
        </w:sectPr>
      </w:pPr>
    </w:p>
    <w:p w:rsidR="00CA5979" w:rsidRDefault="00CA5979">
      <w:pPr>
        <w:spacing w:line="200" w:lineRule="exact"/>
        <w:rPr>
          <w:sz w:val="20"/>
          <w:szCs w:val="20"/>
        </w:rPr>
      </w:pPr>
    </w:p>
    <w:p w:rsidR="00CA5979" w:rsidRDefault="00CA5979">
      <w:pPr>
        <w:spacing w:line="378" w:lineRule="exact"/>
        <w:rPr>
          <w:sz w:val="20"/>
          <w:szCs w:val="20"/>
        </w:rPr>
      </w:pPr>
    </w:p>
    <w:p w:rsidR="00CA5979" w:rsidRDefault="00D16239">
      <w:pPr>
        <w:spacing w:line="238" w:lineRule="auto"/>
        <w:ind w:left="281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ve spojitosti s manuální prací účetního či zúčtovacího charakteru.</w:t>
      </w:r>
    </w:p>
    <w:p w:rsidR="00CA5979" w:rsidRDefault="00CA5979">
      <w:pPr>
        <w:spacing w:line="338" w:lineRule="exact"/>
        <w:rPr>
          <w:sz w:val="20"/>
          <w:szCs w:val="20"/>
        </w:rPr>
      </w:pPr>
    </w:p>
    <w:p w:rsidR="00CA5979" w:rsidRDefault="00D16239">
      <w:pPr>
        <w:ind w:left="241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IV. PRÁVA A POVINNOSTI KLIENTA</w:t>
      </w:r>
    </w:p>
    <w:p w:rsidR="00CA5979" w:rsidRDefault="00CA5979">
      <w:pPr>
        <w:spacing w:line="169" w:lineRule="exact"/>
        <w:rPr>
          <w:sz w:val="20"/>
          <w:szCs w:val="20"/>
        </w:rPr>
      </w:pPr>
    </w:p>
    <w:p w:rsidR="00CA5979" w:rsidRDefault="00D16239">
      <w:pPr>
        <w:numPr>
          <w:ilvl w:val="0"/>
          <w:numId w:val="7"/>
        </w:numPr>
        <w:tabs>
          <w:tab w:val="left" w:pos="281"/>
        </w:tabs>
        <w:ind w:left="281" w:hanging="281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Klient  se  zavazuje  zaplatit  Sodexo  za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8" w:lineRule="auto"/>
        <w:ind w:left="281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činnosti </w:t>
      </w:r>
      <w:r>
        <w:rPr>
          <w:rFonts w:ascii="Tahoma" w:eastAsia="Tahoma" w:hAnsi="Tahoma" w:cs="Tahoma"/>
          <w:sz w:val="14"/>
          <w:szCs w:val="14"/>
        </w:rPr>
        <w:t>podle Smlouvy odměnu a poplatky ve výši dle Ceníku.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7"/>
        </w:numPr>
        <w:tabs>
          <w:tab w:val="left" w:pos="281"/>
        </w:tabs>
        <w:spacing w:line="239" w:lineRule="auto"/>
        <w:ind w:left="281" w:hanging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Klient se zavazuje používat Produkty výlučně způsobem, který je v souladu se</w:t>
      </w:r>
      <w:r>
        <w:rPr>
          <w:rFonts w:ascii="Tahoma" w:eastAsia="Tahoma" w:hAnsi="Tahoma" w:cs="Tahoma"/>
          <w:sz w:val="14"/>
          <w:szCs w:val="14"/>
        </w:rPr>
        <w:t xml:space="preserve"> Smluvní dokumentací a jehož účelem je poskytnutí Benefitů Beneficientům; Klient se zejména zavazuje, že se zdrží veškerého jednání, kterým by Produkty (např. Poukázky) dále zpřístupnil nebo umožnil používat třetím osobám, kteří nejsou Beneficienty, není-l</w:t>
      </w:r>
      <w:r>
        <w:rPr>
          <w:rFonts w:ascii="Tahoma" w:eastAsia="Tahoma" w:hAnsi="Tahoma" w:cs="Tahoma"/>
          <w:sz w:val="14"/>
          <w:szCs w:val="14"/>
        </w:rPr>
        <w:t>i dále v těchto VOP nebo ve Smlouvě stanoveno jinak.</w:t>
      </w:r>
    </w:p>
    <w:p w:rsidR="00CA5979" w:rsidRDefault="00CA5979">
      <w:pPr>
        <w:spacing w:line="6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7"/>
        </w:numPr>
        <w:tabs>
          <w:tab w:val="left" w:pos="281"/>
        </w:tabs>
        <w:spacing w:line="238" w:lineRule="auto"/>
        <w:ind w:left="281" w:hanging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Klient se zavazuje informovat Sodexo o jakékoliv změně údajů, které je podle Smluvní dokumentace povinen poskytnout</w:t>
      </w:r>
    </w:p>
    <w:p w:rsidR="00CA5979" w:rsidRDefault="00CA5979">
      <w:pPr>
        <w:spacing w:line="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left="281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Sodexo.</w:t>
      </w:r>
    </w:p>
    <w:p w:rsidR="00CA5979" w:rsidRDefault="00D16239">
      <w:pPr>
        <w:numPr>
          <w:ilvl w:val="0"/>
          <w:numId w:val="7"/>
        </w:numPr>
        <w:tabs>
          <w:tab w:val="left" w:pos="281"/>
        </w:tabs>
        <w:spacing w:line="239" w:lineRule="auto"/>
        <w:ind w:left="281" w:hanging="281"/>
        <w:rPr>
          <w:rFonts w:ascii="Tahoma" w:eastAsia="Tahoma" w:hAnsi="Tahoma" w:cs="Tahoma"/>
          <w:color w:val="0000FF"/>
          <w:sz w:val="14"/>
          <w:szCs w:val="14"/>
          <w:u w:val="single"/>
        </w:rPr>
      </w:pPr>
      <w:r>
        <w:rPr>
          <w:rFonts w:ascii="Tahoma" w:eastAsia="Tahoma" w:hAnsi="Tahoma" w:cs="Tahoma"/>
          <w:sz w:val="14"/>
          <w:szCs w:val="14"/>
        </w:rPr>
        <w:t>Klient bere na vědomí, že Sodexo při svém podnikání důsledně uplatňuje kodexy</w:t>
      </w:r>
      <w:r>
        <w:rPr>
          <w:rFonts w:ascii="Tahoma" w:eastAsia="Tahoma" w:hAnsi="Tahoma" w:cs="Tahoma"/>
          <w:sz w:val="14"/>
          <w:szCs w:val="14"/>
        </w:rPr>
        <w:t xml:space="preserve"> </w:t>
      </w:r>
      <w:hyperlink r:id="rId15">
        <w:r>
          <w:rPr>
            <w:rFonts w:ascii="Tahoma" w:eastAsia="Tahoma" w:hAnsi="Tahoma" w:cs="Tahoma"/>
            <w:sz w:val="14"/>
            <w:szCs w:val="14"/>
          </w:rPr>
          <w:t>"</w:t>
        </w:r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Etický kodex pro obchodní partnery</w:t>
        </w:r>
        <w:r>
          <w:rPr>
            <w:rFonts w:ascii="Tahoma" w:eastAsia="Tahoma" w:hAnsi="Tahoma" w:cs="Tahoma"/>
            <w:sz w:val="14"/>
            <w:szCs w:val="14"/>
          </w:rPr>
          <w:t xml:space="preserve">" </w:t>
        </w:r>
      </w:hyperlink>
      <w:r>
        <w:rPr>
          <w:rFonts w:ascii="Tahoma" w:eastAsia="Tahoma" w:hAnsi="Tahoma" w:cs="Tahoma"/>
          <w:sz w:val="14"/>
          <w:szCs w:val="14"/>
        </w:rPr>
        <w:t xml:space="preserve">a </w:t>
      </w:r>
      <w:hyperlink r:id="rId16">
        <w:r>
          <w:rPr>
            <w:rFonts w:ascii="Tahoma" w:eastAsia="Tahoma" w:hAnsi="Tahoma" w:cs="Tahoma"/>
            <w:sz w:val="14"/>
            <w:szCs w:val="14"/>
          </w:rPr>
          <w:t>"</w:t>
        </w:r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Prohlášení o obchodní bezúhonnosti</w:t>
        </w:r>
      </w:hyperlink>
      <w:r>
        <w:rPr>
          <w:rFonts w:ascii="Tahoma" w:eastAsia="Tahoma" w:hAnsi="Tahoma" w:cs="Tahoma"/>
          <w:sz w:val="14"/>
          <w:szCs w:val="14"/>
        </w:rPr>
        <w:t>", jejichž aktuální plný text je k dispozici na stránkách:</w:t>
      </w:r>
      <w:r>
        <w:rPr>
          <w:rFonts w:ascii="Tahoma" w:eastAsia="Tahoma" w:hAnsi="Tahoma" w:cs="Tahoma"/>
          <w:color w:val="0000FF"/>
          <w:sz w:val="14"/>
          <w:szCs w:val="14"/>
          <w:u w:val="single"/>
        </w:rPr>
        <w:t xml:space="preserve"> </w:t>
      </w:r>
      <w:hyperlink r:id="rId17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https://cz.sodexo.com/dokumenty-</w:t>
        </w:r>
      </w:hyperlink>
      <w:hyperlink r:id="rId18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sodexo.html</w:t>
        </w:r>
      </w:hyperlink>
    </w:p>
    <w:p w:rsidR="00CA5979" w:rsidRDefault="00CA5979">
      <w:pPr>
        <w:spacing w:line="7" w:lineRule="exact"/>
        <w:rPr>
          <w:rFonts w:ascii="Tahoma" w:eastAsia="Tahoma" w:hAnsi="Tahoma" w:cs="Tahoma"/>
          <w:color w:val="0000FF"/>
          <w:sz w:val="14"/>
          <w:szCs w:val="14"/>
          <w:u w:val="single"/>
        </w:rPr>
      </w:pPr>
    </w:p>
    <w:p w:rsidR="00CA5979" w:rsidRDefault="00D16239">
      <w:pPr>
        <w:numPr>
          <w:ilvl w:val="0"/>
          <w:numId w:val="7"/>
        </w:numPr>
        <w:tabs>
          <w:tab w:val="left" w:pos="281"/>
        </w:tabs>
        <w:spacing w:line="258" w:lineRule="auto"/>
        <w:ind w:left="281" w:hanging="281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Klient je povinen všechny své Beneficienty po dobu trvání Smlouvy a) seznamovat s povinností používat jím zvolené Produkty pouze k nákupu a platbám za zboží a služby, k nimž jsou tyto Produkty výlučně dle těchto VO</w:t>
      </w:r>
      <w:r>
        <w:rPr>
          <w:rFonts w:ascii="Tahoma" w:eastAsia="Tahoma" w:hAnsi="Tahoma" w:cs="Tahoma"/>
          <w:sz w:val="13"/>
          <w:szCs w:val="13"/>
        </w:rPr>
        <w:t>P a dle příslušných zákonných norem určeny, a to v souladu s podmínkami stanovenými Smluvní dokumentací nebo na jejím základě, a b) zavázat se k dodržování těchto podmínek. Je porušením Smlouvy ze strany Klienta, pokud Beneficient nedodrží povinnosti a ome</w:t>
      </w:r>
      <w:r>
        <w:rPr>
          <w:rFonts w:ascii="Tahoma" w:eastAsia="Tahoma" w:hAnsi="Tahoma" w:cs="Tahoma"/>
          <w:sz w:val="13"/>
          <w:szCs w:val="13"/>
        </w:rPr>
        <w:t>zení stanovená ve Smluvní dokumentaci nebo na jejím základě pro užívání Produktů.</w:t>
      </w:r>
    </w:p>
    <w:p w:rsidR="00CA5979" w:rsidRDefault="00CA5979">
      <w:pPr>
        <w:spacing w:line="2" w:lineRule="exact"/>
        <w:rPr>
          <w:rFonts w:ascii="Tahoma" w:eastAsia="Tahoma" w:hAnsi="Tahoma" w:cs="Tahoma"/>
          <w:sz w:val="13"/>
          <w:szCs w:val="13"/>
        </w:rPr>
      </w:pPr>
    </w:p>
    <w:p w:rsidR="00CA5979" w:rsidRDefault="00D16239">
      <w:pPr>
        <w:numPr>
          <w:ilvl w:val="0"/>
          <w:numId w:val="7"/>
        </w:numPr>
        <w:tabs>
          <w:tab w:val="left" w:pos="281"/>
        </w:tabs>
        <w:spacing w:line="258" w:lineRule="auto"/>
        <w:ind w:left="281" w:hanging="281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Jsou-li s některým způsobem úhrady dle VOP spojeny jakékoli daňové výhody, jejich uplatnění spočívá výhradně na rozhodnutí a odpovědnosti Klienta a řídí se zejména ZDP.</w:t>
      </w:r>
    </w:p>
    <w:p w:rsidR="00CA5979" w:rsidRDefault="00CA5979">
      <w:pPr>
        <w:spacing w:line="2" w:lineRule="exact"/>
        <w:rPr>
          <w:rFonts w:ascii="Tahoma" w:eastAsia="Tahoma" w:hAnsi="Tahoma" w:cs="Tahoma"/>
          <w:sz w:val="13"/>
          <w:szCs w:val="13"/>
        </w:rPr>
      </w:pPr>
    </w:p>
    <w:p w:rsidR="00CA5979" w:rsidRDefault="00D16239">
      <w:pPr>
        <w:numPr>
          <w:ilvl w:val="0"/>
          <w:numId w:val="7"/>
        </w:numPr>
        <w:tabs>
          <w:tab w:val="left" w:pos="281"/>
        </w:tabs>
        <w:spacing w:line="239" w:lineRule="auto"/>
        <w:ind w:left="281" w:hanging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Kl</w:t>
      </w:r>
      <w:r>
        <w:rPr>
          <w:rFonts w:ascii="Tahoma" w:eastAsia="Tahoma" w:hAnsi="Tahoma" w:cs="Tahoma"/>
          <w:sz w:val="14"/>
          <w:szCs w:val="14"/>
        </w:rPr>
        <w:t>ient bere na vědomí, že dodavatelem Benefitu je Partner a Sodexo neodpovídá za kvalitu zboží a služeb čerpaných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prostřednictvím jednotlivých způsobů úhrady a ani nepřebírá odpovědnost za možná rizika, která mohou být pro Beneficienty s čerpáním služeb </w:t>
      </w:r>
      <w:r>
        <w:rPr>
          <w:rFonts w:ascii="Tahoma" w:eastAsia="Tahoma" w:hAnsi="Tahoma" w:cs="Tahoma"/>
          <w:sz w:val="14"/>
          <w:szCs w:val="14"/>
        </w:rPr>
        <w:t>nebo nákupu zboží u Partnerů spojena.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7"/>
        </w:numPr>
        <w:tabs>
          <w:tab w:val="left" w:pos="281"/>
        </w:tabs>
        <w:spacing w:line="239" w:lineRule="auto"/>
        <w:ind w:left="281" w:hanging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Klient je povinen udržovat výčet Kontaktních osob a okruh jejich oprávnění ve vztahu k Sodexo vždy aktuální. Jednání Kontaktní osoby nebo jiné osoby zastupující Klienta, pokud je provedeno způsobem předvídaným Smlouvo</w:t>
      </w:r>
      <w:r>
        <w:rPr>
          <w:rFonts w:ascii="Tahoma" w:eastAsia="Tahoma" w:hAnsi="Tahoma" w:cs="Tahoma"/>
          <w:sz w:val="14"/>
          <w:szCs w:val="14"/>
        </w:rPr>
        <w:t>u a těmito VOP, je pro účely vztahu se Sodexo bez dalšího vždy přičitatelné Klientovi.</w:t>
      </w:r>
    </w:p>
    <w:p w:rsidR="00CA5979" w:rsidRDefault="00CA5979">
      <w:pPr>
        <w:spacing w:line="174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right="39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V.</w:t>
      </w:r>
    </w:p>
    <w:p w:rsidR="00CA5979" w:rsidRDefault="00D16239">
      <w:pPr>
        <w:ind w:left="1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MLČENLIVOST A OBCHODNÍ TAJEMSTVÍ</w:t>
      </w:r>
    </w:p>
    <w:p w:rsidR="00CA5979" w:rsidRDefault="00CA5979">
      <w:pPr>
        <w:spacing w:line="170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8"/>
        </w:numPr>
        <w:tabs>
          <w:tab w:val="left" w:pos="281"/>
        </w:tabs>
        <w:spacing w:line="258" w:lineRule="auto"/>
        <w:ind w:left="281" w:hanging="281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Strany považují Smluvní dokumentaci a její obsah za přísně důvěrný. Strany se zavazují dodržovat mlčenlivost o obsahu Smlouvy a veš</w:t>
      </w:r>
      <w:r>
        <w:rPr>
          <w:rFonts w:ascii="Tahoma" w:eastAsia="Tahoma" w:hAnsi="Tahoma" w:cs="Tahoma"/>
          <w:sz w:val="13"/>
          <w:szCs w:val="13"/>
        </w:rPr>
        <w:t>kerých informacích, jež se v souvislosti s uzavřením a plněním Smlouvy dozvěděly (včetně konceptu spolupráce), a nesdělovat tyto informace žádné třetí straně.</w:t>
      </w:r>
    </w:p>
    <w:p w:rsidR="00CA5979" w:rsidRDefault="00CA5979">
      <w:pPr>
        <w:spacing w:line="2" w:lineRule="exact"/>
        <w:rPr>
          <w:rFonts w:ascii="Tahoma" w:eastAsia="Tahoma" w:hAnsi="Tahoma" w:cs="Tahoma"/>
          <w:sz w:val="13"/>
          <w:szCs w:val="13"/>
        </w:rPr>
      </w:pPr>
    </w:p>
    <w:p w:rsidR="00CA5979" w:rsidRDefault="00D16239">
      <w:pPr>
        <w:numPr>
          <w:ilvl w:val="0"/>
          <w:numId w:val="8"/>
        </w:numPr>
        <w:tabs>
          <w:tab w:val="left" w:pos="281"/>
        </w:tabs>
        <w:spacing w:line="261" w:lineRule="auto"/>
        <w:ind w:left="281" w:hanging="281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V případě porušení povinnosti mlčenlivosti a obchodního tajemství podle tohoto článku má oprávně</w:t>
      </w:r>
      <w:r>
        <w:rPr>
          <w:rFonts w:ascii="Tahoma" w:eastAsia="Tahoma" w:hAnsi="Tahoma" w:cs="Tahoma"/>
          <w:sz w:val="13"/>
          <w:szCs w:val="13"/>
        </w:rPr>
        <w:t>ná Strana nárok vůči Straně, která porušila povinnost mlčenlivosti, na uplatnění smluvní pokuty ve výši 200.000,-Kč (slovy: dvě stě tisíc korun českých) za</w:t>
      </w:r>
    </w:p>
    <w:p w:rsidR="00CA5979" w:rsidRDefault="00D16239">
      <w:pPr>
        <w:spacing w:line="20" w:lineRule="exact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br w:type="column"/>
      </w:r>
    </w:p>
    <w:p w:rsidR="00CA5979" w:rsidRDefault="00CA5979">
      <w:pPr>
        <w:spacing w:line="200" w:lineRule="exact"/>
        <w:rPr>
          <w:rFonts w:ascii="Tahoma" w:eastAsia="Tahoma" w:hAnsi="Tahoma" w:cs="Tahoma"/>
          <w:sz w:val="14"/>
          <w:szCs w:val="14"/>
        </w:rPr>
      </w:pPr>
    </w:p>
    <w:p w:rsidR="00CA5979" w:rsidRDefault="00CA5979">
      <w:pPr>
        <w:spacing w:line="358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289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každé jednotlivé porušení. Tím není dotčen nárok Stran na náhradu škody a/nebo ukončení Smlouvy.</w:t>
      </w:r>
    </w:p>
    <w:p w:rsidR="00CA5979" w:rsidRDefault="00CA5979">
      <w:pPr>
        <w:spacing w:line="168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left="-8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VI. UKONČENÍ SMLOUVY</w:t>
      </w:r>
    </w:p>
    <w:p w:rsidR="00CA5979" w:rsidRDefault="00CA5979">
      <w:pPr>
        <w:spacing w:line="17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9"/>
        </w:numPr>
        <w:tabs>
          <w:tab w:val="left" w:pos="289"/>
        </w:tabs>
        <w:spacing w:line="239" w:lineRule="auto"/>
        <w:ind w:left="289" w:hanging="289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Smlouva se uzavírá na dobu neurčitou. Smlouva může být ukončena písemnou výpovědí bez udání důvodu kterékoliv ze Stran. Výpovědní doba činí tři (3) měsíce a začne běžet od prvního dne měsíce následujícího po měsíci, ve kterém byla v</w:t>
      </w:r>
      <w:r>
        <w:rPr>
          <w:rFonts w:ascii="Tahoma" w:eastAsia="Tahoma" w:hAnsi="Tahoma" w:cs="Tahoma"/>
          <w:sz w:val="14"/>
          <w:szCs w:val="14"/>
        </w:rPr>
        <w:t>ýpověď doručena druhé Straně.</w:t>
      </w:r>
    </w:p>
    <w:p w:rsidR="00CA5979" w:rsidRDefault="00CA5979">
      <w:pPr>
        <w:spacing w:line="5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9"/>
        </w:numPr>
        <w:tabs>
          <w:tab w:val="left" w:pos="289"/>
        </w:tabs>
        <w:ind w:left="289" w:hanging="289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Sodexo je oprávněno odstoupit od Smlouvy</w:t>
      </w:r>
    </w:p>
    <w:p w:rsidR="00CA5979" w:rsidRDefault="00CA5979">
      <w:pPr>
        <w:spacing w:line="1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289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s účinky k doručení odstoupení Klientovi v případech (i) stanovených zákonem, (ii) těmito VOP a dále kdy Klient (iii) poruší jakýmkoliv způsobem Smlouvu nebo tyto VOP, (iv) neoprávněn</w:t>
      </w:r>
      <w:r>
        <w:rPr>
          <w:rFonts w:ascii="Tahoma" w:eastAsia="Tahoma" w:hAnsi="Tahoma" w:cs="Tahoma"/>
          <w:sz w:val="14"/>
          <w:szCs w:val="14"/>
        </w:rPr>
        <w:t xml:space="preserve">ě ohrožuje dobré jméno či pověst Sodexo nebo osob s ním propojených, nebo (v) zasahuje do duševního vlastnictví Sodexo nebo osob s ním propojených, (vi) Klient neposkytne společnosti Sodexo potřebnou součinnost, a to ani po předchozím písemném upozornění, </w:t>
      </w:r>
      <w:r>
        <w:rPr>
          <w:rFonts w:ascii="Tahoma" w:eastAsia="Tahoma" w:hAnsi="Tahoma" w:cs="Tahoma"/>
          <w:sz w:val="14"/>
          <w:szCs w:val="14"/>
        </w:rPr>
        <w:t>(vii) Klient po dobu min. 14 po sobě jdoucích měsíců neučiní Objednávky Poukázek, Kreditu, Elektronických karet či jiných benefitů, ke kterým se Smlouvou zavázal, nebo (viii) důvěra mezi Klientem a Sodexo byla prokazatelně narušena.</w:t>
      </w:r>
    </w:p>
    <w:p w:rsidR="00CA5979" w:rsidRDefault="00CA5979">
      <w:pPr>
        <w:spacing w:line="1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10"/>
        </w:numPr>
        <w:tabs>
          <w:tab w:val="left" w:pos="289"/>
        </w:tabs>
        <w:spacing w:line="258" w:lineRule="auto"/>
        <w:ind w:left="289" w:hanging="289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Sodexo je oprávněno od</w:t>
      </w:r>
      <w:r>
        <w:rPr>
          <w:rFonts w:ascii="Tahoma" w:eastAsia="Tahoma" w:hAnsi="Tahoma" w:cs="Tahoma"/>
          <w:sz w:val="13"/>
          <w:szCs w:val="13"/>
        </w:rPr>
        <w:t>stoupit nebo Smlouvu vypovědět dle své volby v rozsahu celé Smlouvy nebo jen ve vztahu k určitému</w:t>
      </w:r>
    </w:p>
    <w:p w:rsidR="00CA5979" w:rsidRDefault="00D16239">
      <w:pPr>
        <w:ind w:left="289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4"/>
          <w:szCs w:val="14"/>
        </w:rPr>
        <w:t>Produktu.</w:t>
      </w:r>
    </w:p>
    <w:p w:rsidR="00CA5979" w:rsidRDefault="00D16239">
      <w:pPr>
        <w:numPr>
          <w:ilvl w:val="0"/>
          <w:numId w:val="10"/>
        </w:numPr>
        <w:tabs>
          <w:tab w:val="left" w:pos="289"/>
        </w:tabs>
        <w:spacing w:line="239" w:lineRule="auto"/>
        <w:ind w:left="289" w:hanging="289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Klient není ve výpovědní době oprávněn zadávat nové Objednávky Elektronických karet a AP, nedohodnou-li se Strany jinak.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58" w:lineRule="auto"/>
        <w:ind w:left="289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3"/>
          <w:szCs w:val="13"/>
        </w:rPr>
        <w:t xml:space="preserve">Vyúčtování Objednávek v </w:t>
      </w:r>
      <w:r>
        <w:rPr>
          <w:rFonts w:ascii="Tahoma" w:eastAsia="Tahoma" w:hAnsi="Tahoma" w:cs="Tahoma"/>
          <w:sz w:val="13"/>
          <w:szCs w:val="13"/>
        </w:rPr>
        <w:t>rámci systému Cafeteria proběhne v případě odstoupení až po skončení posledního Zúčtovacího období. Obdobně budou po ukončení Smlouvy</w:t>
      </w:r>
    </w:p>
    <w:p w:rsidR="00CA5979" w:rsidRDefault="00CA5979">
      <w:pPr>
        <w:spacing w:line="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289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vypořádány také vztahy ohledně Elektronických karet a AP. Právo Klienta na vrácení Poukázek podle čl. </w:t>
      </w:r>
      <w:hyperlink w:anchor="page3">
        <w:r>
          <w:rPr>
            <w:rFonts w:ascii="Tahoma" w:eastAsia="Tahoma" w:hAnsi="Tahoma" w:cs="Tahoma"/>
            <w:sz w:val="14"/>
            <w:szCs w:val="14"/>
          </w:rPr>
          <w:t xml:space="preserve">XII. </w:t>
        </w:r>
      </w:hyperlink>
      <w:r>
        <w:rPr>
          <w:rFonts w:ascii="Tahoma" w:eastAsia="Tahoma" w:hAnsi="Tahoma" w:cs="Tahoma"/>
          <w:sz w:val="14"/>
          <w:szCs w:val="14"/>
        </w:rPr>
        <w:t>odst. 2 se v případě ukončení Smlouvy omezuje tak,</w:t>
      </w:r>
    </w:p>
    <w:p w:rsidR="00CA5979" w:rsidRDefault="00CA5979">
      <w:pPr>
        <w:spacing w:line="4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8" w:lineRule="auto"/>
        <w:ind w:left="289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že Klient je povinen Poukázky předat Sodexo k proplacení nejpozději do (i) 14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8" w:lineRule="auto"/>
        <w:ind w:left="289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dnů od data ukončení Smlouvy v případě odstoupení, nebo (ii) 1 měsíce od data ukončení Smlouvy v ostatních příp</w:t>
      </w:r>
      <w:r>
        <w:rPr>
          <w:rFonts w:ascii="Tahoma" w:eastAsia="Tahoma" w:hAnsi="Tahoma" w:cs="Tahoma"/>
          <w:sz w:val="14"/>
          <w:szCs w:val="14"/>
        </w:rPr>
        <w:t>adech.</w:t>
      </w:r>
    </w:p>
    <w:p w:rsidR="00CA5979" w:rsidRDefault="00CA5979">
      <w:pPr>
        <w:spacing w:line="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tabs>
          <w:tab w:val="left" w:pos="1028"/>
          <w:tab w:val="left" w:pos="1488"/>
          <w:tab w:val="left" w:pos="1988"/>
          <w:tab w:val="left" w:pos="2588"/>
        </w:tabs>
        <w:ind w:left="289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Poukázky,</w:t>
      </w:r>
      <w:r>
        <w:rPr>
          <w:rFonts w:ascii="Tahoma" w:eastAsia="Tahoma" w:hAnsi="Tahoma" w:cs="Tahoma"/>
          <w:sz w:val="14"/>
          <w:szCs w:val="14"/>
        </w:rPr>
        <w:tab/>
        <w:t>které</w:t>
      </w:r>
      <w:r>
        <w:rPr>
          <w:rFonts w:ascii="Tahoma" w:eastAsia="Tahoma" w:hAnsi="Tahoma" w:cs="Tahoma"/>
          <w:sz w:val="14"/>
          <w:szCs w:val="14"/>
        </w:rPr>
        <w:tab/>
        <w:t>Klient</w:t>
      </w:r>
      <w:r>
        <w:rPr>
          <w:rFonts w:ascii="Tahoma" w:eastAsia="Tahoma" w:hAnsi="Tahoma" w:cs="Tahoma"/>
          <w:sz w:val="14"/>
          <w:szCs w:val="14"/>
        </w:rPr>
        <w:tab/>
        <w:t>Sodexo</w:t>
      </w:r>
      <w:r>
        <w:rPr>
          <w:rFonts w:ascii="Tahoma" w:eastAsia="Tahoma" w:hAnsi="Tahoma" w:cs="Tahoma"/>
          <w:sz w:val="14"/>
          <w:szCs w:val="14"/>
        </w:rPr>
        <w:tab/>
        <w:t>předá</w:t>
      </w:r>
    </w:p>
    <w:p w:rsidR="00CA5979" w:rsidRDefault="00D16239">
      <w:pPr>
        <w:tabs>
          <w:tab w:val="left" w:pos="1128"/>
          <w:tab w:val="left" w:pos="1388"/>
          <w:tab w:val="left" w:pos="2008"/>
          <w:tab w:val="left" w:pos="2428"/>
        </w:tabs>
        <w:ind w:left="289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k proplacení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sz w:val="14"/>
          <w:szCs w:val="14"/>
        </w:rPr>
        <w:t>po</w:t>
      </w:r>
      <w:r>
        <w:rPr>
          <w:rFonts w:ascii="Tahoma" w:eastAsia="Tahoma" w:hAnsi="Tahoma" w:cs="Tahoma"/>
          <w:sz w:val="14"/>
          <w:szCs w:val="14"/>
        </w:rPr>
        <w:tab/>
        <w:t>uplynutí</w:t>
      </w:r>
      <w:r>
        <w:rPr>
          <w:rFonts w:ascii="Tahoma" w:eastAsia="Tahoma" w:hAnsi="Tahoma" w:cs="Tahoma"/>
          <w:sz w:val="14"/>
          <w:szCs w:val="14"/>
        </w:rPr>
        <w:tab/>
        <w:t>doby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sz w:val="13"/>
          <w:szCs w:val="13"/>
        </w:rPr>
        <w:t>uvedené</w:t>
      </w:r>
    </w:p>
    <w:p w:rsidR="00CA5979" w:rsidRDefault="00CA5979">
      <w:pPr>
        <w:spacing w:line="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8" w:lineRule="auto"/>
        <w:ind w:left="289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v předchozí větě, nebude Sodexo povinno proplatit a vrátí je Klientovi.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11"/>
        </w:numPr>
        <w:tabs>
          <w:tab w:val="left" w:pos="289"/>
        </w:tabs>
        <w:spacing w:line="258" w:lineRule="auto"/>
        <w:ind w:left="289" w:hanging="289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V</w:t>
      </w:r>
      <w:r>
        <w:rPr>
          <w:rFonts w:ascii="Tahoma" w:eastAsia="Tahoma" w:hAnsi="Tahoma" w:cs="Tahoma"/>
          <w:sz w:val="13"/>
          <w:szCs w:val="13"/>
        </w:rPr>
        <w:t xml:space="preserve"> případě, že Klient využívá systém Cafeteria, má Sodexo i Klient právo kdykoliv Smlouvu vypovědět v případě vážného porušení Smlouvy. Výpovědní doba v tomto</w:t>
      </w:r>
    </w:p>
    <w:p w:rsidR="00CA5979" w:rsidRDefault="00CA5979">
      <w:pPr>
        <w:spacing w:line="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289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případě začne běžet okamžikem doručení výpovědi druhé Straně a skončí spolu s koncem probíhajícího</w:t>
      </w:r>
      <w:r>
        <w:rPr>
          <w:rFonts w:ascii="Tahoma" w:eastAsia="Tahoma" w:hAnsi="Tahoma" w:cs="Tahoma"/>
          <w:sz w:val="14"/>
          <w:szCs w:val="14"/>
        </w:rPr>
        <w:t xml:space="preserve"> Zúčtovacího období, v němž byla výpověď doručena.</w:t>
      </w:r>
    </w:p>
    <w:p w:rsidR="00CA5979" w:rsidRDefault="00CA5979">
      <w:pPr>
        <w:spacing w:line="4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8" w:lineRule="auto"/>
        <w:ind w:left="289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Za vážné porušení Smlouvy Klientem se považuje: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12"/>
        </w:numPr>
        <w:tabs>
          <w:tab w:val="left" w:pos="569"/>
        </w:tabs>
        <w:spacing w:line="239" w:lineRule="auto"/>
        <w:ind w:left="569" w:hanging="285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prodlení Klienta s jakoukoliv platbou dle Smlouvy v délce přesahující 10 dnů;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12"/>
        </w:numPr>
        <w:tabs>
          <w:tab w:val="left" w:pos="569"/>
        </w:tabs>
        <w:ind w:left="569" w:hanging="285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 xml:space="preserve">porušení ustanovení čl. </w:t>
      </w:r>
      <w:hyperlink w:anchor="page2">
        <w:r>
          <w:rPr>
            <w:rFonts w:ascii="Tahoma" w:eastAsia="Tahoma" w:hAnsi="Tahoma" w:cs="Tahoma"/>
            <w:sz w:val="13"/>
            <w:szCs w:val="13"/>
          </w:rPr>
          <w:t xml:space="preserve">V. </w:t>
        </w:r>
      </w:hyperlink>
      <w:r>
        <w:rPr>
          <w:rFonts w:ascii="Tahoma" w:eastAsia="Tahoma" w:hAnsi="Tahoma" w:cs="Tahoma"/>
          <w:sz w:val="13"/>
          <w:szCs w:val="13"/>
        </w:rPr>
        <w:t>VOP; a/ nebo</w:t>
      </w:r>
    </w:p>
    <w:p w:rsidR="00CA5979" w:rsidRDefault="00CA5979">
      <w:pPr>
        <w:spacing w:line="11" w:lineRule="exact"/>
        <w:rPr>
          <w:rFonts w:ascii="Tahoma" w:eastAsia="Tahoma" w:hAnsi="Tahoma" w:cs="Tahoma"/>
          <w:sz w:val="13"/>
          <w:szCs w:val="13"/>
        </w:rPr>
      </w:pPr>
    </w:p>
    <w:p w:rsidR="00CA5979" w:rsidRDefault="00D16239">
      <w:pPr>
        <w:numPr>
          <w:ilvl w:val="0"/>
          <w:numId w:val="12"/>
        </w:numPr>
        <w:tabs>
          <w:tab w:val="left" w:pos="569"/>
        </w:tabs>
        <w:spacing w:line="239" w:lineRule="auto"/>
        <w:ind w:left="569" w:hanging="285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zneužívání systému Cafeteria (tj. užívání systému Cafeteria k jinému účelu, než ke správě a umožnění čerpání Benefitů, a to Klientem nebo</w:t>
      </w:r>
    </w:p>
    <w:p w:rsidR="00CA5979" w:rsidRDefault="00CA5979">
      <w:pPr>
        <w:spacing w:line="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left="569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jeho zaměstnanci).</w:t>
      </w:r>
    </w:p>
    <w:p w:rsidR="00CA5979" w:rsidRDefault="00D16239">
      <w:pPr>
        <w:tabs>
          <w:tab w:val="left" w:pos="528"/>
          <w:tab w:val="left" w:pos="1008"/>
          <w:tab w:val="left" w:pos="1668"/>
          <w:tab w:val="left" w:pos="2308"/>
          <w:tab w:val="left" w:pos="2568"/>
        </w:tabs>
        <w:ind w:left="289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Za</w:t>
      </w:r>
      <w:r>
        <w:rPr>
          <w:rFonts w:ascii="Tahoma" w:eastAsia="Tahoma" w:hAnsi="Tahoma" w:cs="Tahoma"/>
          <w:sz w:val="14"/>
          <w:szCs w:val="14"/>
        </w:rPr>
        <w:tab/>
        <w:t>vážné</w:t>
      </w:r>
      <w:r>
        <w:rPr>
          <w:rFonts w:ascii="Tahoma" w:eastAsia="Tahoma" w:hAnsi="Tahoma" w:cs="Tahoma"/>
          <w:sz w:val="14"/>
          <w:szCs w:val="14"/>
        </w:rPr>
        <w:tab/>
        <w:t>porušení</w:t>
      </w:r>
      <w:r>
        <w:rPr>
          <w:rFonts w:ascii="Tahoma" w:eastAsia="Tahoma" w:hAnsi="Tahoma" w:cs="Tahoma"/>
          <w:sz w:val="14"/>
          <w:szCs w:val="14"/>
        </w:rPr>
        <w:tab/>
        <w:t>Smlouvy</w:t>
      </w:r>
      <w:r>
        <w:rPr>
          <w:rFonts w:ascii="Tahoma" w:eastAsia="Tahoma" w:hAnsi="Tahoma" w:cs="Tahoma"/>
          <w:sz w:val="14"/>
          <w:szCs w:val="14"/>
        </w:rPr>
        <w:tab/>
        <w:t>ze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sz w:val="13"/>
          <w:szCs w:val="13"/>
        </w:rPr>
        <w:t>strany</w:t>
      </w:r>
    </w:p>
    <w:p w:rsidR="00CA5979" w:rsidRDefault="00D16239">
      <w:pPr>
        <w:ind w:left="289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Sodexo se považuje: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tabs>
          <w:tab w:val="left" w:pos="548"/>
        </w:tabs>
        <w:spacing w:line="238" w:lineRule="auto"/>
        <w:ind w:left="569" w:hanging="279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i.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sz w:val="14"/>
          <w:szCs w:val="14"/>
        </w:rPr>
        <w:t>opakované      a      neopodstatněné p</w:t>
      </w:r>
      <w:r>
        <w:rPr>
          <w:rFonts w:ascii="Tahoma" w:eastAsia="Tahoma" w:hAnsi="Tahoma" w:cs="Tahoma"/>
          <w:sz w:val="14"/>
          <w:szCs w:val="14"/>
        </w:rPr>
        <w:t>rodloužení lhůt uvedených v systému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569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Cafeteria pro dodání Benefitů Beneficientům způsobené Sodexo; a/nebo</w:t>
      </w:r>
    </w:p>
    <w:p w:rsidR="00CA5979" w:rsidRDefault="00D16239">
      <w:pPr>
        <w:spacing w:line="20" w:lineRule="exact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br w:type="column"/>
      </w:r>
    </w:p>
    <w:p w:rsidR="00CA5979" w:rsidRDefault="00CA5979">
      <w:pPr>
        <w:spacing w:line="200" w:lineRule="exact"/>
        <w:rPr>
          <w:rFonts w:ascii="Tahoma" w:eastAsia="Tahoma" w:hAnsi="Tahoma" w:cs="Tahoma"/>
          <w:sz w:val="14"/>
          <w:szCs w:val="14"/>
        </w:rPr>
      </w:pPr>
    </w:p>
    <w:p w:rsidR="00CA5979" w:rsidRDefault="00CA5979">
      <w:pPr>
        <w:spacing w:line="356" w:lineRule="exact"/>
        <w:rPr>
          <w:rFonts w:ascii="Tahoma" w:eastAsia="Tahoma" w:hAnsi="Tahoma" w:cs="Tahoma"/>
          <w:sz w:val="14"/>
          <w:szCs w:val="14"/>
        </w:rPr>
      </w:pPr>
    </w:p>
    <w:p w:rsidR="00CA5979" w:rsidRDefault="00CA5979">
      <w:pPr>
        <w:spacing w:line="1" w:lineRule="exact"/>
        <w:rPr>
          <w:rFonts w:ascii="Tahoma" w:eastAsia="Tahoma" w:hAnsi="Tahoma" w:cs="Tahoma"/>
          <w:sz w:val="1"/>
          <w:szCs w:val="1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900"/>
        <w:gridCol w:w="460"/>
        <w:gridCol w:w="540"/>
        <w:gridCol w:w="220"/>
        <w:gridCol w:w="400"/>
      </w:tblGrid>
      <w:tr w:rsidR="00CA5979">
        <w:trPr>
          <w:trHeight w:val="169"/>
        </w:trPr>
        <w:tc>
          <w:tcPr>
            <w:tcW w:w="480" w:type="dxa"/>
            <w:vAlign w:val="bottom"/>
          </w:tcPr>
          <w:p w:rsidR="00CA5979" w:rsidRDefault="00D16239">
            <w:pPr>
              <w:ind w:left="2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ii.</w:t>
            </w:r>
          </w:p>
        </w:tc>
        <w:tc>
          <w:tcPr>
            <w:tcW w:w="900" w:type="dxa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opakovaná</w:t>
            </w:r>
          </w:p>
        </w:tc>
        <w:tc>
          <w:tcPr>
            <w:tcW w:w="1000" w:type="dxa"/>
            <w:gridSpan w:val="2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nedostupnost</w:t>
            </w:r>
          </w:p>
        </w:tc>
        <w:tc>
          <w:tcPr>
            <w:tcW w:w="600" w:type="dxa"/>
            <w:gridSpan w:val="2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systému</w:t>
            </w:r>
          </w:p>
        </w:tc>
      </w:tr>
      <w:tr w:rsidR="00CA5979">
        <w:trPr>
          <w:trHeight w:val="168"/>
        </w:trPr>
        <w:tc>
          <w:tcPr>
            <w:tcW w:w="4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gridSpan w:val="5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Cafeteria  na  úrovni  menší  než  je</w:t>
            </w:r>
          </w:p>
        </w:tc>
      </w:tr>
      <w:tr w:rsidR="00CA5979">
        <w:trPr>
          <w:trHeight w:val="170"/>
        </w:trPr>
        <w:tc>
          <w:tcPr>
            <w:tcW w:w="4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dohodnutá</w:t>
            </w:r>
          </w:p>
        </w:tc>
        <w:tc>
          <w:tcPr>
            <w:tcW w:w="460" w:type="dxa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</w:t>
            </w:r>
          </w:p>
        </w:tc>
        <w:tc>
          <w:tcPr>
            <w:tcW w:w="54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rámci</w:t>
            </w:r>
          </w:p>
        </w:tc>
        <w:tc>
          <w:tcPr>
            <w:tcW w:w="600" w:type="dxa"/>
            <w:gridSpan w:val="2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Garance</w:t>
            </w:r>
          </w:p>
        </w:tc>
      </w:tr>
      <w:tr w:rsidR="00CA5979">
        <w:trPr>
          <w:trHeight w:val="168"/>
        </w:trPr>
        <w:tc>
          <w:tcPr>
            <w:tcW w:w="4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dostupnosti</w:t>
            </w:r>
          </w:p>
        </w:tc>
        <w:tc>
          <w:tcPr>
            <w:tcW w:w="1000" w:type="dxa"/>
            <w:gridSpan w:val="2"/>
            <w:vAlign w:val="bottom"/>
          </w:tcPr>
          <w:p w:rsidR="00CA5979" w:rsidRDefault="00D16239">
            <w:pPr>
              <w:ind w:left="2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systému</w:t>
            </w:r>
          </w:p>
        </w:tc>
        <w:tc>
          <w:tcPr>
            <w:tcW w:w="600" w:type="dxa"/>
            <w:gridSpan w:val="2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4"/>
                <w:sz w:val="14"/>
                <w:szCs w:val="14"/>
              </w:rPr>
              <w:t>Cafeteria,</w:t>
            </w:r>
          </w:p>
        </w:tc>
      </w:tr>
      <w:tr w:rsidR="00CA5979">
        <w:trPr>
          <w:trHeight w:val="168"/>
        </w:trPr>
        <w:tc>
          <w:tcPr>
            <w:tcW w:w="4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500" w:type="dxa"/>
            <w:gridSpan w:val="5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způsobená chybou softwarové aplikace</w:t>
            </w:r>
          </w:p>
        </w:tc>
      </w:tr>
      <w:tr w:rsidR="00CA5979">
        <w:trPr>
          <w:trHeight w:val="170"/>
        </w:trPr>
        <w:tc>
          <w:tcPr>
            <w:tcW w:w="4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systému Cafeteria.</w:t>
            </w:r>
          </w:p>
        </w:tc>
        <w:tc>
          <w:tcPr>
            <w:tcW w:w="5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68"/>
        </w:trPr>
        <w:tc>
          <w:tcPr>
            <w:tcW w:w="48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6.   Je</w:t>
            </w:r>
          </w:p>
        </w:tc>
        <w:tc>
          <w:tcPr>
            <w:tcW w:w="900" w:type="dxa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dohodnuto,</w:t>
            </w:r>
          </w:p>
        </w:tc>
        <w:tc>
          <w:tcPr>
            <w:tcW w:w="1000" w:type="dxa"/>
            <w:gridSpan w:val="2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že  ustanovení</w:t>
            </w:r>
          </w:p>
        </w:tc>
        <w:tc>
          <w:tcPr>
            <w:tcW w:w="220" w:type="dxa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§</w:t>
            </w:r>
          </w:p>
        </w:tc>
        <w:tc>
          <w:tcPr>
            <w:tcW w:w="400" w:type="dxa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2453</w:t>
            </w:r>
          </w:p>
        </w:tc>
      </w:tr>
      <w:tr w:rsidR="00CA5979">
        <w:trPr>
          <w:trHeight w:val="170"/>
        </w:trPr>
        <w:tc>
          <w:tcPr>
            <w:tcW w:w="1380" w:type="dxa"/>
            <w:gridSpan w:val="2"/>
            <w:vAlign w:val="bottom"/>
          </w:tcPr>
          <w:p w:rsidR="00CA5979" w:rsidRDefault="00D16239">
            <w:pPr>
              <w:ind w:left="2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 § 2454  OZ  se</w:t>
            </w:r>
          </w:p>
        </w:tc>
        <w:tc>
          <w:tcPr>
            <w:tcW w:w="1220" w:type="dxa"/>
            <w:gridSpan w:val="3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nepoužijí  a  pro</w:t>
            </w:r>
          </w:p>
        </w:tc>
        <w:tc>
          <w:tcPr>
            <w:tcW w:w="400" w:type="dxa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zánik</w:t>
            </w:r>
          </w:p>
        </w:tc>
      </w:tr>
      <w:tr w:rsidR="00CA5979">
        <w:trPr>
          <w:trHeight w:val="168"/>
        </w:trPr>
        <w:tc>
          <w:tcPr>
            <w:tcW w:w="1840" w:type="dxa"/>
            <w:gridSpan w:val="3"/>
            <w:vAlign w:val="bottom"/>
          </w:tcPr>
          <w:p w:rsidR="00CA5979" w:rsidRDefault="00D16239">
            <w:pPr>
              <w:ind w:left="2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 ukončení   vzájemných</w:t>
            </w:r>
          </w:p>
        </w:tc>
        <w:tc>
          <w:tcPr>
            <w:tcW w:w="540" w:type="dxa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vztahů</w:t>
            </w:r>
          </w:p>
        </w:tc>
        <w:tc>
          <w:tcPr>
            <w:tcW w:w="600" w:type="dxa"/>
            <w:gridSpan w:val="2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Sodexo</w:t>
            </w:r>
          </w:p>
        </w:tc>
      </w:tr>
    </w:tbl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13"/>
        </w:numPr>
        <w:tabs>
          <w:tab w:val="left" w:pos="400"/>
        </w:tabs>
        <w:ind w:left="400" w:hanging="111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 xml:space="preserve">Klienta platí ustanovení tohoto čl. </w:t>
      </w:r>
      <w:hyperlink w:anchor="page2">
        <w:r>
          <w:rPr>
            <w:rFonts w:ascii="Tahoma" w:eastAsia="Tahoma" w:hAnsi="Tahoma" w:cs="Tahoma"/>
            <w:sz w:val="13"/>
            <w:szCs w:val="13"/>
          </w:rPr>
          <w:t xml:space="preserve">VI. </w:t>
        </w:r>
      </w:hyperlink>
      <w:r>
        <w:rPr>
          <w:rFonts w:ascii="Tahoma" w:eastAsia="Tahoma" w:hAnsi="Tahoma" w:cs="Tahoma"/>
          <w:sz w:val="13"/>
          <w:szCs w:val="13"/>
        </w:rPr>
        <w:t>VOP.</w:t>
      </w:r>
    </w:p>
    <w:p w:rsidR="00CA5979" w:rsidRDefault="00CA5979">
      <w:pPr>
        <w:spacing w:line="177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right="40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VII.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SPOLEČNÁ A ZÁVĚREČNÁ USTANOVENÍ</w:t>
      </w:r>
    </w:p>
    <w:p w:rsidR="00CA5979" w:rsidRDefault="00CA5979">
      <w:pPr>
        <w:spacing w:line="17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14"/>
        </w:numPr>
        <w:tabs>
          <w:tab w:val="left" w:pos="280"/>
        </w:tabs>
        <w:spacing w:line="239" w:lineRule="auto"/>
        <w:ind w:left="280" w:right="20" w:hanging="274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Dnem úhrady příslušné částky ze strany Sodexo je den odepsání příslušné částky z bankovního účtu Sodexo za účelem převodu na bankovní účet Klienta.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14"/>
        </w:numPr>
        <w:tabs>
          <w:tab w:val="left" w:pos="280"/>
        </w:tabs>
        <w:spacing w:line="239" w:lineRule="auto"/>
        <w:ind w:left="280" w:hanging="274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Klient se zavazuje nepoužít koncept spolupráce vytvořený Sodexo, na němž je Smlouva založena, pro spolupráci se třetími stranami po dobu trvání Smlouvy bez předchozího písemného souhlasu Sodexo.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14"/>
        </w:numPr>
        <w:tabs>
          <w:tab w:val="left" w:pos="280"/>
        </w:tabs>
        <w:spacing w:line="239" w:lineRule="auto"/>
        <w:ind w:left="280" w:right="20" w:hanging="274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Klient není oprávněn bez předchozího písemného souhlasu Sode</w:t>
      </w:r>
      <w:r>
        <w:rPr>
          <w:rFonts w:ascii="Tahoma" w:eastAsia="Tahoma" w:hAnsi="Tahoma" w:cs="Tahoma"/>
          <w:sz w:val="14"/>
          <w:szCs w:val="14"/>
        </w:rPr>
        <w:t>xo převést pohledávky ze Smlouvy na třetí osobu. Klient není oprávněn své pohledávky vůči Sodexo započítat.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14"/>
        </w:numPr>
        <w:tabs>
          <w:tab w:val="left" w:pos="280"/>
        </w:tabs>
        <w:ind w:left="280" w:hanging="274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 xml:space="preserve">Nejde-li o (i) postup dle čl. </w:t>
      </w:r>
      <w:hyperlink w:anchor="page2">
        <w:r>
          <w:rPr>
            <w:rFonts w:ascii="Tahoma" w:eastAsia="Tahoma" w:hAnsi="Tahoma" w:cs="Tahoma"/>
            <w:sz w:val="13"/>
            <w:szCs w:val="13"/>
          </w:rPr>
          <w:t xml:space="preserve">VII. </w:t>
        </w:r>
      </w:hyperlink>
      <w:r>
        <w:rPr>
          <w:rFonts w:ascii="Tahoma" w:eastAsia="Tahoma" w:hAnsi="Tahoma" w:cs="Tahoma"/>
          <w:sz w:val="13"/>
          <w:szCs w:val="13"/>
        </w:rPr>
        <w:t xml:space="preserve">odst. </w:t>
      </w:r>
      <w:hyperlink w:anchor="page2">
        <w:r>
          <w:rPr>
            <w:rFonts w:ascii="Tahoma" w:eastAsia="Tahoma" w:hAnsi="Tahoma" w:cs="Tahoma"/>
            <w:sz w:val="13"/>
            <w:szCs w:val="13"/>
          </w:rPr>
          <w:t xml:space="preserve">7 </w:t>
        </w:r>
      </w:hyperlink>
      <w:r>
        <w:rPr>
          <w:rFonts w:ascii="Tahoma" w:eastAsia="Tahoma" w:hAnsi="Tahoma" w:cs="Tahoma"/>
          <w:sz w:val="13"/>
          <w:szCs w:val="13"/>
        </w:rPr>
        <w:t>nebo</w:t>
      </w:r>
    </w:p>
    <w:p w:rsidR="00CA5979" w:rsidRDefault="00CA5979">
      <w:pPr>
        <w:spacing w:line="13" w:lineRule="exact"/>
        <w:rPr>
          <w:rFonts w:ascii="Tahoma" w:eastAsia="Tahoma" w:hAnsi="Tahoma" w:cs="Tahoma"/>
          <w:sz w:val="13"/>
          <w:szCs w:val="13"/>
        </w:rPr>
      </w:pPr>
    </w:p>
    <w:p w:rsidR="00CA5979" w:rsidRDefault="00D16239">
      <w:pPr>
        <w:numPr>
          <w:ilvl w:val="1"/>
          <w:numId w:val="14"/>
        </w:numPr>
        <w:tabs>
          <w:tab w:val="left" w:pos="532"/>
        </w:tabs>
        <w:spacing w:line="239" w:lineRule="auto"/>
        <w:ind w:left="280" w:firstLine="9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elektronickou kontraktaci v systémech Sode</w:t>
      </w:r>
      <w:r>
        <w:rPr>
          <w:rFonts w:ascii="Tahoma" w:eastAsia="Tahoma" w:hAnsi="Tahoma" w:cs="Tahoma"/>
          <w:sz w:val="14"/>
          <w:szCs w:val="14"/>
        </w:rPr>
        <w:t>xo, musí být změny a doplňky Smluvní dokumentace písemné a podepsané oběma Stranami, jinak jsou neplatné.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14"/>
        </w:numPr>
        <w:tabs>
          <w:tab w:val="left" w:pos="280"/>
        </w:tabs>
        <w:spacing w:line="239" w:lineRule="auto"/>
        <w:ind w:left="280" w:right="20" w:hanging="274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Klient i Sodexo ohledně předmětu Smlouvy ve smyslu § 1765 odst. 2 OZ přebírají nebezpečí změny okolností.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14"/>
        </w:numPr>
        <w:tabs>
          <w:tab w:val="left" w:pos="280"/>
        </w:tabs>
        <w:spacing w:line="239" w:lineRule="auto"/>
        <w:ind w:left="280" w:right="20" w:hanging="274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Práva a povinnosti ze Smlouvy (jako celku </w:t>
      </w:r>
      <w:r>
        <w:rPr>
          <w:rFonts w:ascii="Tahoma" w:eastAsia="Tahoma" w:hAnsi="Tahoma" w:cs="Tahoma"/>
          <w:sz w:val="14"/>
          <w:szCs w:val="14"/>
        </w:rPr>
        <w:t>nebo po částech) může Sodexo postoupit na třetí osoby. O takovém postoupení práv a povinností bude Sodexo Klienta informovat. Klient s takovým postoupením předem souhlasí a vzdává se práva odmítnout osvobození Sodexo při takovém postoupení ve smyslu § 1899</w:t>
      </w:r>
      <w:r>
        <w:rPr>
          <w:rFonts w:ascii="Tahoma" w:eastAsia="Tahoma" w:hAnsi="Tahoma" w:cs="Tahoma"/>
          <w:sz w:val="14"/>
          <w:szCs w:val="14"/>
        </w:rPr>
        <w:t xml:space="preserve"> OZ.</w:t>
      </w:r>
    </w:p>
    <w:p w:rsidR="00CA5979" w:rsidRDefault="00CA5979">
      <w:pPr>
        <w:spacing w:line="5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14"/>
        </w:numPr>
        <w:tabs>
          <w:tab w:val="left" w:pos="280"/>
        </w:tabs>
        <w:spacing w:line="239" w:lineRule="auto"/>
        <w:ind w:left="280" w:hanging="274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Sodexo je oprávněno VOP, Ceník nebo Reklamační řád nebo jejich část za doby trvání Smlouvy změnit, přičemž v takovém případě platí, že:</w:t>
      </w:r>
    </w:p>
    <w:p w:rsidR="00CA5979" w:rsidRDefault="00CA5979">
      <w:pPr>
        <w:spacing w:line="4" w:lineRule="exact"/>
        <w:rPr>
          <w:rFonts w:ascii="Tahoma" w:eastAsia="Tahoma" w:hAnsi="Tahoma" w:cs="Tahoma"/>
          <w:sz w:val="13"/>
          <w:szCs w:val="13"/>
        </w:rPr>
      </w:pPr>
    </w:p>
    <w:p w:rsidR="00CA5979" w:rsidRDefault="00D16239">
      <w:pPr>
        <w:numPr>
          <w:ilvl w:val="1"/>
          <w:numId w:val="15"/>
        </w:numPr>
        <w:tabs>
          <w:tab w:val="left" w:pos="580"/>
        </w:tabs>
        <w:spacing w:line="239" w:lineRule="auto"/>
        <w:ind w:left="580" w:right="20" w:hanging="29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změněné VOP, Ceník nebo Reklamační řád je Sodexo povinno odeslat písemně či elektronicky Klientovi nejméně 30 dnů</w:t>
      </w:r>
      <w:r>
        <w:rPr>
          <w:rFonts w:ascii="Tahoma" w:eastAsia="Tahoma" w:hAnsi="Tahoma" w:cs="Tahoma"/>
          <w:sz w:val="14"/>
          <w:szCs w:val="14"/>
        </w:rPr>
        <w:t xml:space="preserve"> před navrhovaným dnem účinnosti;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1"/>
          <w:numId w:val="15"/>
        </w:numPr>
        <w:tabs>
          <w:tab w:val="left" w:pos="580"/>
        </w:tabs>
        <w:spacing w:line="238" w:lineRule="auto"/>
        <w:ind w:left="580" w:hanging="29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pokud Klient se změnou nesouhlasí, je oprávněn Smlouvu vypovědět v souladu s čl. </w:t>
      </w:r>
      <w:hyperlink w:anchor="page2">
        <w:r>
          <w:rPr>
            <w:rFonts w:ascii="Tahoma" w:eastAsia="Tahoma" w:hAnsi="Tahoma" w:cs="Tahoma"/>
            <w:sz w:val="14"/>
            <w:szCs w:val="14"/>
          </w:rPr>
          <w:t xml:space="preserve">VI </w:t>
        </w:r>
      </w:hyperlink>
      <w:r>
        <w:rPr>
          <w:rFonts w:ascii="Tahoma" w:eastAsia="Tahoma" w:hAnsi="Tahoma" w:cs="Tahoma"/>
          <w:sz w:val="14"/>
          <w:szCs w:val="14"/>
        </w:rPr>
        <w:t xml:space="preserve">odst. </w:t>
      </w:r>
      <w:hyperlink w:anchor="page2">
        <w:r>
          <w:rPr>
            <w:rFonts w:ascii="Tahoma" w:eastAsia="Tahoma" w:hAnsi="Tahoma" w:cs="Tahoma"/>
            <w:sz w:val="14"/>
            <w:szCs w:val="14"/>
          </w:rPr>
          <w:t xml:space="preserve">1 </w:t>
        </w:r>
      </w:hyperlink>
      <w:r>
        <w:rPr>
          <w:rFonts w:ascii="Tahoma" w:eastAsia="Tahoma" w:hAnsi="Tahoma" w:cs="Tahoma"/>
          <w:sz w:val="14"/>
          <w:szCs w:val="14"/>
        </w:rPr>
        <w:t>VOP, přičemž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580" w:right="20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Smlouva se v takovém případě až do ukončení řídí původním z</w:t>
      </w:r>
      <w:r>
        <w:rPr>
          <w:rFonts w:ascii="Tahoma" w:eastAsia="Tahoma" w:hAnsi="Tahoma" w:cs="Tahoma"/>
          <w:sz w:val="14"/>
          <w:szCs w:val="14"/>
        </w:rPr>
        <w:t>něním VOP, Ceníku a Reklamačního řádu;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1"/>
          <w:numId w:val="15"/>
        </w:numPr>
        <w:tabs>
          <w:tab w:val="left" w:pos="580"/>
        </w:tabs>
        <w:spacing w:line="239" w:lineRule="auto"/>
        <w:ind w:left="580" w:right="20" w:hanging="29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Sodexo je oprávněno VOP, Ceník nebo Reklamační řád měnit jen v přiměřeném rozsahu, a to pokud jde o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2"/>
          <w:numId w:val="15"/>
        </w:numPr>
        <w:tabs>
          <w:tab w:val="left" w:pos="885"/>
        </w:tabs>
        <w:spacing w:line="239" w:lineRule="auto"/>
        <w:ind w:left="580" w:hanging="7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rozsah, způsob, podmínky a vyúčtování služeb poskytovaných</w:t>
      </w:r>
    </w:p>
    <w:p w:rsidR="00CA5979" w:rsidRDefault="00CA5979">
      <w:pPr>
        <w:spacing w:line="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580" w:right="20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Sodexo podle Smlouvy, (ii) rozsah a vlastnosti Produktů</w:t>
      </w:r>
      <w:r>
        <w:rPr>
          <w:rFonts w:ascii="Tahoma" w:eastAsia="Tahoma" w:hAnsi="Tahoma" w:cs="Tahoma"/>
          <w:sz w:val="14"/>
          <w:szCs w:val="14"/>
        </w:rPr>
        <w:t xml:space="preserve"> (včetně zavedení nových typů nebo rušení stávajících),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2"/>
          <w:numId w:val="16"/>
        </w:numPr>
        <w:tabs>
          <w:tab w:val="left" w:pos="872"/>
        </w:tabs>
        <w:spacing w:line="258" w:lineRule="auto"/>
        <w:ind w:left="580" w:hanging="7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podobu a design Produktů, (iv) způsoby úhrady ceny Produktů (včetně zavedení nových typů nebo rušení stávajících), (v) úpravy výše odměny Sodexo v návaznosti na vývoji inflace, daňové legislativy a n</w:t>
      </w:r>
      <w:r>
        <w:rPr>
          <w:rFonts w:ascii="Tahoma" w:eastAsia="Tahoma" w:hAnsi="Tahoma" w:cs="Tahoma"/>
          <w:sz w:val="13"/>
          <w:szCs w:val="13"/>
        </w:rPr>
        <w:t>ákladů na provoz systémů umožňujících poskytování zprostředkovatelských služeb podle Smlouvy, (vi) úpravy v návaznosti na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3"/>
          <w:szCs w:val="13"/>
        </w:rPr>
      </w:pPr>
    </w:p>
    <w:p w:rsidR="00CA5979" w:rsidRDefault="00D16239">
      <w:pPr>
        <w:spacing w:line="258" w:lineRule="auto"/>
        <w:ind w:left="580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změny technologie zpracování Produktů (např. nové technické nosiče) a poskytování služeb podle Smlouvy.</w:t>
      </w:r>
    </w:p>
    <w:p w:rsidR="00CA5979" w:rsidRDefault="00D16239">
      <w:pPr>
        <w:numPr>
          <w:ilvl w:val="0"/>
          <w:numId w:val="17"/>
        </w:numPr>
        <w:tabs>
          <w:tab w:val="left" w:pos="280"/>
        </w:tabs>
        <w:spacing w:line="239" w:lineRule="auto"/>
        <w:ind w:left="280" w:right="20" w:hanging="274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Vyřizování reklamací a </w:t>
      </w:r>
      <w:r>
        <w:rPr>
          <w:rFonts w:ascii="Tahoma" w:eastAsia="Tahoma" w:hAnsi="Tahoma" w:cs="Tahoma"/>
          <w:sz w:val="14"/>
          <w:szCs w:val="14"/>
        </w:rPr>
        <w:t>stížností Klientů se řídí platným Reklamačním řádem.</w:t>
      </w:r>
    </w:p>
    <w:p w:rsidR="00CA5979" w:rsidRDefault="00CA5979">
      <w:pPr>
        <w:spacing w:line="381" w:lineRule="exact"/>
        <w:rPr>
          <w:rFonts w:ascii="Tahoma" w:eastAsia="Tahoma" w:hAnsi="Tahoma" w:cs="Tahoma"/>
          <w:sz w:val="14"/>
          <w:szCs w:val="14"/>
        </w:rPr>
      </w:pPr>
    </w:p>
    <w:p w:rsidR="00CA5979" w:rsidRDefault="00CA5979">
      <w:pPr>
        <w:sectPr w:rsidR="00CA5979">
          <w:type w:val="continuous"/>
          <w:pgSz w:w="11900" w:h="16838"/>
          <w:pgMar w:top="714" w:right="1126" w:bottom="101" w:left="1419" w:header="0" w:footer="0" w:gutter="0"/>
          <w:cols w:num="3" w:space="708" w:equalWidth="0">
            <w:col w:w="2961" w:space="231"/>
            <w:col w:w="2969" w:space="220"/>
            <w:col w:w="2980"/>
          </w:cols>
        </w:sectPr>
      </w:pPr>
    </w:p>
    <w:p w:rsidR="00CA5979" w:rsidRDefault="00CA5979">
      <w:pPr>
        <w:spacing w:line="200" w:lineRule="exact"/>
        <w:rPr>
          <w:rFonts w:ascii="Tahoma" w:eastAsia="Tahoma" w:hAnsi="Tahoma" w:cs="Tahoma"/>
          <w:sz w:val="14"/>
          <w:szCs w:val="14"/>
        </w:rPr>
      </w:pPr>
    </w:p>
    <w:p w:rsidR="00CA5979" w:rsidRDefault="00CA5979">
      <w:pPr>
        <w:spacing w:line="305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right="19"/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15"/>
          <w:szCs w:val="15"/>
        </w:rPr>
        <w:t>- 2 -</w:t>
      </w:r>
    </w:p>
    <w:p w:rsidR="00CA5979" w:rsidRDefault="00CA5979">
      <w:pPr>
        <w:sectPr w:rsidR="00CA5979">
          <w:type w:val="continuous"/>
          <w:pgSz w:w="11900" w:h="16838"/>
          <w:pgMar w:top="714" w:right="1126" w:bottom="101" w:left="1419" w:header="0" w:footer="0" w:gutter="0"/>
          <w:cols w:space="708" w:equalWidth="0">
            <w:col w:w="9361"/>
          </w:cols>
        </w:sectPr>
      </w:pPr>
    </w:p>
    <w:p w:rsidR="00CA5979" w:rsidRDefault="00D16239">
      <w:pPr>
        <w:ind w:left="8941"/>
        <w:rPr>
          <w:sz w:val="20"/>
          <w:szCs w:val="20"/>
        </w:rPr>
      </w:pPr>
      <w:bookmarkStart w:id="3" w:name="page3"/>
      <w:bookmarkEnd w:id="3"/>
      <w:r>
        <w:rPr>
          <w:rFonts w:ascii="Arial" w:eastAsia="Arial" w:hAnsi="Arial" w:cs="Arial"/>
          <w:sz w:val="11"/>
          <w:szCs w:val="11"/>
        </w:rPr>
        <w:lastRenderedPageBreak/>
        <w:t>C/02/12</w:t>
      </w:r>
    </w:p>
    <w:p w:rsidR="00CA5979" w:rsidRDefault="00CA5979">
      <w:pPr>
        <w:sectPr w:rsidR="00CA5979">
          <w:pgSz w:w="11900" w:h="16838"/>
          <w:pgMar w:top="714" w:right="1126" w:bottom="101" w:left="1419" w:header="0" w:footer="0" w:gutter="0"/>
          <w:cols w:space="708" w:equalWidth="0">
            <w:col w:w="9361"/>
          </w:cols>
        </w:sectPr>
      </w:pPr>
    </w:p>
    <w:p w:rsidR="00CA5979" w:rsidRDefault="00CA5979">
      <w:pPr>
        <w:spacing w:line="200" w:lineRule="exact"/>
        <w:rPr>
          <w:sz w:val="20"/>
          <w:szCs w:val="20"/>
        </w:rPr>
      </w:pPr>
    </w:p>
    <w:p w:rsidR="00CA5979" w:rsidRDefault="00CA5979">
      <w:pPr>
        <w:spacing w:line="376" w:lineRule="exact"/>
        <w:rPr>
          <w:sz w:val="20"/>
          <w:szCs w:val="20"/>
        </w:rPr>
      </w:pPr>
    </w:p>
    <w:p w:rsidR="00CA5979" w:rsidRDefault="00D16239">
      <w:pPr>
        <w:numPr>
          <w:ilvl w:val="0"/>
          <w:numId w:val="18"/>
        </w:numPr>
        <w:tabs>
          <w:tab w:val="left" w:pos="281"/>
        </w:tabs>
        <w:ind w:left="281" w:hanging="281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Pokud  ve  Smlouvě  není  uvedeno  jinak,</w:t>
      </w:r>
    </w:p>
    <w:p w:rsidR="00CA5979" w:rsidRDefault="00D16239">
      <w:pPr>
        <w:tabs>
          <w:tab w:val="left" w:pos="701"/>
          <w:tab w:val="left" w:pos="1301"/>
          <w:tab w:val="left" w:pos="1481"/>
          <w:tab w:val="left" w:pos="1821"/>
          <w:tab w:val="left" w:pos="2061"/>
          <w:tab w:val="left" w:pos="2601"/>
        </w:tabs>
        <w:ind w:left="281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Klient</w:t>
      </w:r>
      <w:r>
        <w:rPr>
          <w:rFonts w:ascii="Tahoma" w:eastAsia="Tahoma" w:hAnsi="Tahoma" w:cs="Tahoma"/>
          <w:sz w:val="14"/>
          <w:szCs w:val="14"/>
        </w:rPr>
        <w:tab/>
        <w:t>souhlasí</w:t>
      </w:r>
      <w:r>
        <w:rPr>
          <w:rFonts w:ascii="Tahoma" w:eastAsia="Tahoma" w:hAnsi="Tahoma" w:cs="Tahoma"/>
          <w:sz w:val="14"/>
          <w:szCs w:val="14"/>
        </w:rPr>
        <w:tab/>
        <w:t>s</w:t>
      </w:r>
      <w:r>
        <w:rPr>
          <w:rFonts w:ascii="Tahoma" w:eastAsia="Tahoma" w:hAnsi="Tahoma" w:cs="Tahoma"/>
          <w:sz w:val="14"/>
          <w:szCs w:val="14"/>
        </w:rPr>
        <w:tab/>
        <w:t>tím,</w:t>
      </w:r>
      <w:r>
        <w:rPr>
          <w:rFonts w:ascii="Tahoma" w:eastAsia="Tahoma" w:hAnsi="Tahoma" w:cs="Tahoma"/>
          <w:sz w:val="14"/>
          <w:szCs w:val="14"/>
        </w:rPr>
        <w:tab/>
        <w:t>že</w:t>
      </w:r>
      <w:r>
        <w:rPr>
          <w:rFonts w:ascii="Tahoma" w:eastAsia="Tahoma" w:hAnsi="Tahoma" w:cs="Tahoma"/>
          <w:sz w:val="14"/>
          <w:szCs w:val="14"/>
        </w:rPr>
        <w:tab/>
        <w:t>Sodexo</w:t>
      </w:r>
      <w:r>
        <w:rPr>
          <w:rFonts w:ascii="Tahoma" w:eastAsia="Tahoma" w:hAnsi="Tahoma" w:cs="Tahoma"/>
          <w:sz w:val="14"/>
          <w:szCs w:val="14"/>
        </w:rPr>
        <w:tab/>
        <w:t>může</w:t>
      </w:r>
    </w:p>
    <w:p w:rsidR="00CA5979" w:rsidRDefault="00CA5979">
      <w:pPr>
        <w:spacing w:line="1" w:lineRule="exact"/>
        <w:rPr>
          <w:sz w:val="20"/>
          <w:szCs w:val="20"/>
        </w:rPr>
      </w:pPr>
    </w:p>
    <w:p w:rsidR="00CA5979" w:rsidRDefault="00D16239">
      <w:pPr>
        <w:tabs>
          <w:tab w:val="left" w:pos="1221"/>
          <w:tab w:val="left" w:pos="1601"/>
          <w:tab w:val="left" w:pos="2421"/>
        </w:tabs>
        <w:ind w:left="281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v souvislosti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sz w:val="14"/>
          <w:szCs w:val="14"/>
        </w:rPr>
        <w:t>se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sz w:val="14"/>
          <w:szCs w:val="14"/>
        </w:rPr>
        <w:t>Smlouvou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sz w:val="14"/>
          <w:szCs w:val="14"/>
        </w:rPr>
        <w:t>používat</w:t>
      </w:r>
    </w:p>
    <w:p w:rsidR="00CA5979" w:rsidRDefault="00CA5979">
      <w:pPr>
        <w:spacing w:line="1" w:lineRule="exact"/>
        <w:rPr>
          <w:sz w:val="20"/>
          <w:szCs w:val="20"/>
        </w:rPr>
      </w:pPr>
    </w:p>
    <w:p w:rsidR="00CA5979" w:rsidRDefault="00D16239">
      <w:pPr>
        <w:spacing w:line="239" w:lineRule="auto"/>
        <w:ind w:left="281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elektronickou fakturaci, a to zasíláním faktur na e-mail pro fakturaci uvedený ve Smlouvě.</w:t>
      </w:r>
    </w:p>
    <w:p w:rsidR="00CA5979" w:rsidRDefault="00CA5979">
      <w:pPr>
        <w:spacing w:line="2" w:lineRule="exact"/>
        <w:rPr>
          <w:sz w:val="20"/>
          <w:szCs w:val="20"/>
        </w:rPr>
      </w:pPr>
    </w:p>
    <w:p w:rsidR="00CA5979" w:rsidRDefault="00D16239">
      <w:pPr>
        <w:numPr>
          <w:ilvl w:val="0"/>
          <w:numId w:val="19"/>
        </w:numPr>
        <w:tabs>
          <w:tab w:val="left" w:pos="281"/>
        </w:tabs>
        <w:spacing w:line="239" w:lineRule="auto"/>
        <w:ind w:left="281" w:hanging="281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Klient a Sodexo vystupují jako společní správci osobních údajů.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19"/>
        </w:numPr>
        <w:tabs>
          <w:tab w:val="left" w:pos="281"/>
        </w:tabs>
        <w:spacing w:line="239" w:lineRule="auto"/>
        <w:ind w:left="281" w:hanging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Klient a Sodexo samostatně zpracovávají osobní údaje Subjektů údajů za účelem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8" w:lineRule="auto"/>
        <w:ind w:left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plnění povinností ze Smlouvy o zprostředkování Benefitů, přičemž účel a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prostředky určuje každý správce samostatně v souladu s Nařízením. Klient i Sodexo na vlastní náklady plní své povinnosti podle Nařízení, zpracovávají Osobní údaje pouze v souladu s pl</w:t>
      </w:r>
      <w:r>
        <w:rPr>
          <w:rFonts w:ascii="Tahoma" w:eastAsia="Tahoma" w:hAnsi="Tahoma" w:cs="Tahoma"/>
          <w:sz w:val="14"/>
          <w:szCs w:val="14"/>
        </w:rPr>
        <w:t>atnými požadavky.</w:t>
      </w:r>
    </w:p>
    <w:p w:rsidR="00CA5979" w:rsidRDefault="00CA5979">
      <w:pPr>
        <w:spacing w:line="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19"/>
        </w:numPr>
        <w:tabs>
          <w:tab w:val="left" w:pos="281"/>
        </w:tabs>
        <w:ind w:left="281" w:hanging="281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Klient   garantuje,   že   Osobními   údaji</w:t>
      </w:r>
    </w:p>
    <w:p w:rsidR="00CA5979" w:rsidRDefault="00CA5979">
      <w:pPr>
        <w:spacing w:line="2" w:lineRule="exact"/>
        <w:rPr>
          <w:sz w:val="20"/>
          <w:szCs w:val="20"/>
        </w:rPr>
      </w:pPr>
    </w:p>
    <w:p w:rsidR="00CA5979" w:rsidRDefault="00D16239">
      <w:pPr>
        <w:spacing w:line="239" w:lineRule="auto"/>
        <w:ind w:left="281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 xml:space="preserve">prokazatelně disponuje v souladu s Nařízením a s obecně závaznými předpisy České republiky a pokud tak vyplývá z těchto předpisů, má rovněž řádně udělený souhlas subjektu údajů se zpracováním </w:t>
      </w:r>
      <w:r>
        <w:rPr>
          <w:rFonts w:ascii="Tahoma" w:eastAsia="Tahoma" w:hAnsi="Tahoma" w:cs="Tahoma"/>
          <w:sz w:val="14"/>
          <w:szCs w:val="14"/>
        </w:rPr>
        <w:t>Osobních údajů. Odvolá-li subjekt údajů po dobu trvání závazku ze Smlouvy souhlas se zpracováním jeho osobních údajů, Klient bez zbytečného odkladu informuje Sodexo, které přestane Osobní údaje subjektu údajů zpracovávat a provede jejich výmaz, nepřetrvává</w:t>
      </w:r>
      <w:r>
        <w:rPr>
          <w:rFonts w:ascii="Tahoma" w:eastAsia="Tahoma" w:hAnsi="Tahoma" w:cs="Tahoma"/>
          <w:sz w:val="14"/>
          <w:szCs w:val="14"/>
        </w:rPr>
        <w:t>-li u Sodexo jiný důvod pro zpracování Osobních údajů.</w:t>
      </w:r>
    </w:p>
    <w:p w:rsidR="00CA5979" w:rsidRDefault="00CA5979">
      <w:pPr>
        <w:spacing w:line="9" w:lineRule="exact"/>
        <w:rPr>
          <w:sz w:val="20"/>
          <w:szCs w:val="20"/>
        </w:rPr>
      </w:pPr>
    </w:p>
    <w:p w:rsidR="00CA5979" w:rsidRDefault="00D16239">
      <w:pPr>
        <w:tabs>
          <w:tab w:val="left" w:pos="261"/>
        </w:tabs>
        <w:spacing w:line="239" w:lineRule="auto"/>
        <w:ind w:left="281" w:hanging="279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13.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sz w:val="14"/>
          <w:szCs w:val="14"/>
        </w:rPr>
        <w:t>Sodexo přijalo taková technická a organizační opatření, aby nemohlo dojít k protiprávnímu nebo náhodnému zničení, ztrátě, pozměňování, k neoprávněnému zpřístupnění předávaných, uložených nebo jina</w:t>
      </w:r>
      <w:r>
        <w:rPr>
          <w:rFonts w:ascii="Tahoma" w:eastAsia="Tahoma" w:hAnsi="Tahoma" w:cs="Tahoma"/>
          <w:sz w:val="14"/>
          <w:szCs w:val="14"/>
        </w:rPr>
        <w:t>k zpracovávaných Osobních údajů, nebo neoprávněnému přístupu k nim.</w:t>
      </w:r>
    </w:p>
    <w:p w:rsidR="00CA5979" w:rsidRDefault="00CA5979">
      <w:pPr>
        <w:spacing w:line="171" w:lineRule="exact"/>
        <w:rPr>
          <w:sz w:val="20"/>
          <w:szCs w:val="20"/>
        </w:rPr>
      </w:pPr>
    </w:p>
    <w:p w:rsidR="00CA5979" w:rsidRDefault="00D16239">
      <w:pPr>
        <w:numPr>
          <w:ilvl w:val="0"/>
          <w:numId w:val="20"/>
        </w:numPr>
        <w:tabs>
          <w:tab w:val="left" w:pos="1181"/>
        </w:tabs>
        <w:ind w:left="1181" w:hanging="176"/>
        <w:rPr>
          <w:rFonts w:ascii="Tahoma" w:eastAsia="Tahoma" w:hAnsi="Tahoma" w:cs="Tahoma"/>
          <w:b/>
          <w:bCs/>
          <w:sz w:val="14"/>
          <w:szCs w:val="14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POUKÁZKY</w:t>
      </w:r>
    </w:p>
    <w:p w:rsidR="00CA5979" w:rsidRDefault="00CA5979">
      <w:pPr>
        <w:spacing w:line="169" w:lineRule="exact"/>
        <w:rPr>
          <w:sz w:val="20"/>
          <w:szCs w:val="20"/>
        </w:rPr>
      </w:pPr>
    </w:p>
    <w:p w:rsidR="00CA5979" w:rsidRDefault="00D16239">
      <w:pPr>
        <w:ind w:right="39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VIII.</w:t>
      </w:r>
    </w:p>
    <w:p w:rsidR="00CA5979" w:rsidRDefault="00D16239">
      <w:pPr>
        <w:ind w:left="1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ROZSAH POSKYTOVANÝCH SLUŽEB A</w:t>
      </w:r>
    </w:p>
    <w:p w:rsidR="00CA5979" w:rsidRDefault="00CA5979">
      <w:pPr>
        <w:spacing w:line="1" w:lineRule="exact"/>
        <w:rPr>
          <w:sz w:val="20"/>
          <w:szCs w:val="20"/>
        </w:rPr>
      </w:pPr>
    </w:p>
    <w:p w:rsidR="00CA5979" w:rsidRDefault="00D16239">
      <w:pPr>
        <w:ind w:left="1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POUŽITÍ POUKÁZEK</w:t>
      </w:r>
    </w:p>
    <w:p w:rsidR="00CA5979" w:rsidRDefault="00CA5979">
      <w:pPr>
        <w:spacing w:line="171" w:lineRule="exact"/>
        <w:rPr>
          <w:sz w:val="20"/>
          <w:szCs w:val="20"/>
        </w:rPr>
      </w:pPr>
    </w:p>
    <w:p w:rsidR="00CA5979" w:rsidRDefault="00D16239">
      <w:pPr>
        <w:numPr>
          <w:ilvl w:val="0"/>
          <w:numId w:val="21"/>
        </w:numPr>
        <w:tabs>
          <w:tab w:val="left" w:pos="281"/>
        </w:tabs>
        <w:spacing w:line="239" w:lineRule="auto"/>
        <w:ind w:left="281" w:hanging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Poukázky lze použít k úhradě ceny následujících druhů zboží a služeb (Benefitů):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58" w:lineRule="auto"/>
        <w:ind w:left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b/>
          <w:bCs/>
          <w:sz w:val="13"/>
          <w:szCs w:val="13"/>
        </w:rPr>
        <w:t>Gastro Pass</w:t>
      </w:r>
      <w:r>
        <w:rPr>
          <w:rFonts w:ascii="Tahoma" w:eastAsia="Tahoma" w:hAnsi="Tahoma" w:cs="Tahoma"/>
          <w:sz w:val="13"/>
          <w:szCs w:val="13"/>
        </w:rPr>
        <w:t xml:space="preserve"> ve smyslu § 6 odst. 9 písm. b) a § 24 odst. 2 písm. j) bod 4. ZDP slouží k</w:t>
      </w:r>
    </w:p>
    <w:p w:rsidR="00CA5979" w:rsidRDefault="00CA5979">
      <w:pPr>
        <w:spacing w:line="1" w:lineRule="exact"/>
        <w:rPr>
          <w:sz w:val="20"/>
          <w:szCs w:val="20"/>
        </w:rPr>
      </w:pPr>
    </w:p>
    <w:p w:rsidR="00CA5979" w:rsidRDefault="00D16239">
      <w:pPr>
        <w:spacing w:line="239" w:lineRule="auto"/>
        <w:ind w:left="281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zajištění závodního stravování zaměstnanců. Gastro Pass lze využít ke stravování a nákupu potravin.</w:t>
      </w:r>
    </w:p>
    <w:p w:rsidR="00CA5979" w:rsidRDefault="00D16239">
      <w:pPr>
        <w:ind w:left="281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Holiday Pass</w:t>
      </w:r>
      <w:r>
        <w:rPr>
          <w:rFonts w:ascii="Tahoma" w:eastAsia="Tahoma" w:hAnsi="Tahoma" w:cs="Tahoma"/>
          <w:sz w:val="14"/>
          <w:szCs w:val="14"/>
        </w:rPr>
        <w:t xml:space="preserve"> ve smyslu § 6 odst. 9 písm.</w:t>
      </w:r>
    </w:p>
    <w:p w:rsidR="00CA5979" w:rsidRDefault="00CA5979">
      <w:pPr>
        <w:spacing w:line="1" w:lineRule="exact"/>
        <w:rPr>
          <w:sz w:val="20"/>
          <w:szCs w:val="20"/>
        </w:rPr>
      </w:pPr>
    </w:p>
    <w:p w:rsidR="00CA5979" w:rsidRDefault="00D16239">
      <w:pPr>
        <w:numPr>
          <w:ilvl w:val="0"/>
          <w:numId w:val="22"/>
        </w:numPr>
        <w:tabs>
          <w:tab w:val="left" w:pos="449"/>
        </w:tabs>
        <w:spacing w:line="239" w:lineRule="auto"/>
        <w:ind w:left="281" w:firstLine="2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ZDP umožňuje čerpání Benefitu ve form</w:t>
      </w:r>
      <w:r>
        <w:rPr>
          <w:rFonts w:ascii="Tahoma" w:eastAsia="Tahoma" w:hAnsi="Tahoma" w:cs="Tahoma"/>
          <w:sz w:val="14"/>
          <w:szCs w:val="14"/>
        </w:rPr>
        <w:t>ě možnosti využití rekreace, kterou se rozumí pobyt nebo zájezd ve smyslu § 1 zákona č. 159/1999 Sb., v platném znění. Poukázku Holiday Pass nelze uplatnit samostatně na dopravní ceniny.</w:t>
      </w:r>
    </w:p>
    <w:p w:rsidR="00CA5979" w:rsidRDefault="00CA5979">
      <w:pPr>
        <w:spacing w:line="5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58" w:lineRule="auto"/>
        <w:ind w:left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b/>
          <w:bCs/>
          <w:sz w:val="13"/>
          <w:szCs w:val="13"/>
        </w:rPr>
        <w:t>Relax Pass</w:t>
      </w:r>
      <w:r>
        <w:rPr>
          <w:rFonts w:ascii="Tahoma" w:eastAsia="Tahoma" w:hAnsi="Tahoma" w:cs="Tahoma"/>
          <w:sz w:val="13"/>
          <w:szCs w:val="13"/>
        </w:rPr>
        <w:t xml:space="preserve"> ve smyslu § 6 odst. 9 písm. d) ZDP umožňuje čerpání Benef</w:t>
      </w:r>
      <w:r>
        <w:rPr>
          <w:rFonts w:ascii="Tahoma" w:eastAsia="Tahoma" w:hAnsi="Tahoma" w:cs="Tahoma"/>
          <w:sz w:val="13"/>
          <w:szCs w:val="13"/>
        </w:rPr>
        <w:t>itu ve formě možnosti užívání tělovýchovných a sportovních zařízení, ve formě příspěvku na kulturní pořady a sportovní akce nebo možnosti nákupu knih v papírové podobě ve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281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vybraných provozovnách smluvních Partnerů.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Vital Pass</w:t>
      </w:r>
      <w:r>
        <w:rPr>
          <w:rFonts w:ascii="Tahoma" w:eastAsia="Tahoma" w:hAnsi="Tahoma" w:cs="Tahoma"/>
          <w:sz w:val="14"/>
          <w:szCs w:val="14"/>
        </w:rPr>
        <w:t xml:space="preserve"> ve smyslu § 6 odst. 9 písm. d) ZDP umožňuje čerpání Benefitu ve formě možnosti využití zdravotnických zařízení,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včetně možnosti úhrady ceny zdravotnických prostředků vydaných k tomu oprávněnými osobami.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8" w:lineRule="auto"/>
        <w:ind w:left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Flexi Pass</w:t>
      </w:r>
      <w:r>
        <w:rPr>
          <w:rFonts w:ascii="Tahoma" w:eastAsia="Tahoma" w:hAnsi="Tahoma" w:cs="Tahoma"/>
          <w:sz w:val="14"/>
          <w:szCs w:val="14"/>
        </w:rPr>
        <w:t xml:space="preserve"> je universální Poukázka sdružující služ</w:t>
      </w:r>
      <w:r>
        <w:rPr>
          <w:rFonts w:ascii="Tahoma" w:eastAsia="Tahoma" w:hAnsi="Tahoma" w:cs="Tahoma"/>
          <w:sz w:val="14"/>
          <w:szCs w:val="14"/>
        </w:rPr>
        <w:t>by Holiday Pass, Relax Pass a</w:t>
      </w:r>
    </w:p>
    <w:p w:rsidR="00CA5979" w:rsidRDefault="00D16239">
      <w:pPr>
        <w:spacing w:line="239" w:lineRule="auto"/>
        <w:ind w:left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Vital Pass. Pokud se na tom Strany dohodnou, nemusí Flexi Pass obsahovat službu Holiday Pass.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8" w:lineRule="auto"/>
        <w:ind w:left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Fokus Pass</w:t>
      </w:r>
      <w:r>
        <w:rPr>
          <w:rFonts w:ascii="Tahoma" w:eastAsia="Tahoma" w:hAnsi="Tahoma" w:cs="Tahoma"/>
          <w:sz w:val="14"/>
          <w:szCs w:val="14"/>
        </w:rPr>
        <w:t xml:space="preserve"> umožňuje čerpání služby v oblasti rekreace, kulturních a sportovních</w:t>
      </w:r>
    </w:p>
    <w:p w:rsidR="00CA5979" w:rsidRDefault="00D1623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A5979" w:rsidRDefault="00CA5979">
      <w:pPr>
        <w:spacing w:line="200" w:lineRule="exact"/>
        <w:rPr>
          <w:sz w:val="20"/>
          <w:szCs w:val="20"/>
        </w:rPr>
      </w:pPr>
    </w:p>
    <w:p w:rsidR="00CA5979" w:rsidRDefault="00CA5979">
      <w:pPr>
        <w:spacing w:line="358" w:lineRule="exact"/>
        <w:rPr>
          <w:sz w:val="20"/>
          <w:szCs w:val="20"/>
        </w:rPr>
      </w:pPr>
    </w:p>
    <w:p w:rsidR="00CA5979" w:rsidRDefault="00D16239">
      <w:pPr>
        <w:spacing w:line="239" w:lineRule="auto"/>
        <w:ind w:left="289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akcí, vzdělávání, vitamínů, vitamínových prostř</w:t>
      </w:r>
      <w:r>
        <w:rPr>
          <w:rFonts w:ascii="Tahoma" w:eastAsia="Tahoma" w:hAnsi="Tahoma" w:cs="Tahoma"/>
          <w:sz w:val="14"/>
          <w:szCs w:val="14"/>
        </w:rPr>
        <w:t>edků a přípravků nebo očkování. Sdružuje služby Holiday Pass, Relax Pass a Vital Pass. Služby jsou v souladu s vyhláškou Ministerstva financí č. 114/2002 Sb., o fondu sociálních a kulturních potřeb, v platném znění.</w:t>
      </w:r>
    </w:p>
    <w:p w:rsidR="00CA5979" w:rsidRDefault="00CA5979">
      <w:pPr>
        <w:spacing w:line="6" w:lineRule="exact"/>
        <w:rPr>
          <w:sz w:val="20"/>
          <w:szCs w:val="20"/>
        </w:rPr>
      </w:pPr>
    </w:p>
    <w:p w:rsidR="00CA5979" w:rsidRDefault="00D16239">
      <w:pPr>
        <w:ind w:left="289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3"/>
          <w:szCs w:val="13"/>
        </w:rPr>
        <w:t>Dárkový Pass</w:t>
      </w:r>
      <w:r>
        <w:rPr>
          <w:rFonts w:ascii="Tahoma" w:eastAsia="Tahoma" w:hAnsi="Tahoma" w:cs="Tahoma"/>
          <w:sz w:val="13"/>
          <w:szCs w:val="13"/>
        </w:rPr>
        <w:t xml:space="preserve"> ve smyslu § 6 odst. 9 písm</w:t>
      </w:r>
      <w:r>
        <w:rPr>
          <w:rFonts w:ascii="Tahoma" w:eastAsia="Tahoma" w:hAnsi="Tahoma" w:cs="Tahoma"/>
          <w:sz w:val="13"/>
          <w:szCs w:val="13"/>
        </w:rPr>
        <w:t>.</w:t>
      </w:r>
    </w:p>
    <w:p w:rsidR="00CA5979" w:rsidRDefault="00CA5979">
      <w:pPr>
        <w:spacing w:line="11" w:lineRule="exact"/>
        <w:rPr>
          <w:sz w:val="20"/>
          <w:szCs w:val="20"/>
        </w:rPr>
      </w:pPr>
    </w:p>
    <w:p w:rsidR="00CA5979" w:rsidRDefault="00D16239">
      <w:pPr>
        <w:spacing w:line="239" w:lineRule="auto"/>
        <w:ind w:left="289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g) ZDP umožňuje čerpání Benefitu ve formě nepeněžního bezúplatného plnění. Dárkový Pass lze využít pro odběr hmotných dárků i služeb.</w:t>
      </w:r>
    </w:p>
    <w:p w:rsidR="00CA5979" w:rsidRDefault="00CA5979">
      <w:pPr>
        <w:spacing w:line="3" w:lineRule="exact"/>
        <w:rPr>
          <w:sz w:val="20"/>
          <w:szCs w:val="20"/>
        </w:rPr>
      </w:pPr>
    </w:p>
    <w:p w:rsidR="00CA5979" w:rsidRDefault="00D16239">
      <w:pPr>
        <w:spacing w:line="239" w:lineRule="auto"/>
        <w:ind w:left="289"/>
        <w:jc w:val="both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Bonus Pass</w:t>
      </w:r>
      <w:r>
        <w:rPr>
          <w:rFonts w:ascii="Tahoma" w:eastAsia="Tahoma" w:hAnsi="Tahoma" w:cs="Tahoma"/>
          <w:sz w:val="14"/>
          <w:szCs w:val="14"/>
        </w:rPr>
        <w:t xml:space="preserve"> umožňuje čerpání Benefitu ve formě nepeněžního bezúplatného plnění (dárků, zboží, služeb apod.), přičemž Beneficientem mohou být jak zaměstnanci Klienta, tak třetí osoby.</w:t>
      </w:r>
    </w:p>
    <w:p w:rsidR="00CA5979" w:rsidRDefault="00CA5979">
      <w:pPr>
        <w:spacing w:line="3" w:lineRule="exact"/>
        <w:rPr>
          <w:sz w:val="20"/>
          <w:szCs w:val="20"/>
        </w:rPr>
      </w:pPr>
    </w:p>
    <w:p w:rsidR="00CA5979" w:rsidRDefault="00D16239">
      <w:pPr>
        <w:numPr>
          <w:ilvl w:val="0"/>
          <w:numId w:val="23"/>
        </w:numPr>
        <w:tabs>
          <w:tab w:val="left" w:pos="289"/>
        </w:tabs>
        <w:spacing w:line="238" w:lineRule="auto"/>
        <w:ind w:left="289" w:hanging="289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Podrobnější informace o jednotlivých druzích Poukázek jsou k dispozici na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left="289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webovýchstránkáchSodexo</w:t>
      </w:r>
    </w:p>
    <w:p w:rsidR="00CA5979" w:rsidRDefault="00D16239">
      <w:pPr>
        <w:ind w:left="289"/>
        <w:rPr>
          <w:rFonts w:ascii="Tahoma" w:eastAsia="Tahoma" w:hAnsi="Tahoma" w:cs="Tahoma"/>
          <w:sz w:val="14"/>
          <w:szCs w:val="14"/>
        </w:rPr>
      </w:pPr>
      <w:hyperlink r:id="rId19">
        <w:r>
          <w:rPr>
            <w:rFonts w:ascii="Tahoma" w:eastAsia="Tahoma" w:hAnsi="Tahoma" w:cs="Tahoma"/>
            <w:sz w:val="14"/>
            <w:szCs w:val="14"/>
          </w:rPr>
          <w:t>(</w:t>
        </w:r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www.sodexo.cz</w:t>
        </w:r>
        <w:r>
          <w:rPr>
            <w:rFonts w:ascii="Tahoma" w:eastAsia="Tahoma" w:hAnsi="Tahoma" w:cs="Tahoma"/>
            <w:sz w:val="14"/>
            <w:szCs w:val="14"/>
          </w:rPr>
          <w:t>)</w:t>
        </w:r>
      </w:hyperlink>
      <w:r>
        <w:rPr>
          <w:rFonts w:ascii="Tahoma" w:eastAsia="Tahoma" w:hAnsi="Tahoma" w:cs="Tahoma"/>
          <w:sz w:val="14"/>
          <w:szCs w:val="14"/>
        </w:rPr>
        <w:t>.</w:t>
      </w:r>
    </w:p>
    <w:p w:rsidR="00CA5979" w:rsidRDefault="00D16239">
      <w:pPr>
        <w:numPr>
          <w:ilvl w:val="0"/>
          <w:numId w:val="23"/>
        </w:numPr>
        <w:tabs>
          <w:tab w:val="left" w:pos="289"/>
        </w:tabs>
        <w:ind w:left="289" w:hanging="289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Označení Benefitů, k jejichž úhradě lze jednotlivé druhy Poukázek použít, je na každé z nich vyznačen. K úhradě jiného než vyznačeného Benefitu nelze Poukázku použít. Každá P</w:t>
      </w:r>
      <w:r>
        <w:rPr>
          <w:rFonts w:ascii="Tahoma" w:eastAsia="Tahoma" w:hAnsi="Tahoma" w:cs="Tahoma"/>
          <w:sz w:val="14"/>
          <w:szCs w:val="14"/>
        </w:rPr>
        <w:t>oukázka obsahuje informaci o její nominální hodnotě nebo způsobu uplatnění.</w:t>
      </w:r>
    </w:p>
    <w:p w:rsidR="00CA5979" w:rsidRDefault="00D16239">
      <w:pPr>
        <w:numPr>
          <w:ilvl w:val="0"/>
          <w:numId w:val="23"/>
        </w:numPr>
        <w:tabs>
          <w:tab w:val="left" w:pos="289"/>
        </w:tabs>
        <w:spacing w:line="239" w:lineRule="auto"/>
        <w:ind w:left="289" w:hanging="289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Sodexo v rámci své zprostředkovatelské činnosti zajištuje síť Partnerů, v jejichž provozovnách lze jednotlivé druhy Poukázek uplatnit a kteří jsou k jejich přijímání smluvně zavázá</w:t>
      </w:r>
      <w:r>
        <w:rPr>
          <w:rFonts w:ascii="Tahoma" w:eastAsia="Tahoma" w:hAnsi="Tahoma" w:cs="Tahoma"/>
          <w:sz w:val="14"/>
          <w:szCs w:val="14"/>
        </w:rPr>
        <w:t>ni. Klient bere na vědomí, že tato síť Partnerů muže v průběhu času doznat změn, a Sodexo si vyhrazuje právo činit takovéto změny. Aktuální seznamy Partnerů jsou k dispozici</w:t>
      </w:r>
    </w:p>
    <w:p w:rsidR="00CA5979" w:rsidRDefault="00CA5979">
      <w:pPr>
        <w:spacing w:line="7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289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na webových stránkách Sodexo </w:t>
      </w:r>
      <w:hyperlink r:id="rId20">
        <w:r>
          <w:rPr>
            <w:rFonts w:ascii="Tahoma" w:eastAsia="Tahoma" w:hAnsi="Tahoma" w:cs="Tahoma"/>
            <w:sz w:val="14"/>
            <w:szCs w:val="14"/>
          </w:rPr>
          <w:t>(</w:t>
        </w:r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www.mujpa</w:t>
        </w:r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ss.cz</w:t>
        </w:r>
        <w:r>
          <w:rPr>
            <w:rFonts w:ascii="Tahoma" w:eastAsia="Tahoma" w:hAnsi="Tahoma" w:cs="Tahoma"/>
            <w:sz w:val="14"/>
            <w:szCs w:val="14"/>
          </w:rPr>
          <w:t>)</w:t>
        </w:r>
      </w:hyperlink>
      <w:r>
        <w:rPr>
          <w:rFonts w:ascii="Tahoma" w:eastAsia="Tahoma" w:hAnsi="Tahoma" w:cs="Tahoma"/>
          <w:sz w:val="14"/>
          <w:szCs w:val="14"/>
        </w:rPr>
        <w:t>. Provozovny smluvních Partnerů Sodexo mohou rovněž být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289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označeny samolepícími etiketami informujícími o tom, které druhy Poukázek je možné u tohoto Partnera použít.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23"/>
        </w:numPr>
        <w:tabs>
          <w:tab w:val="left" w:pos="289"/>
        </w:tabs>
        <w:spacing w:line="258" w:lineRule="auto"/>
        <w:ind w:left="289" w:hanging="289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Jsou-li s některým druhem Poukázky spojeny jakékoli daňové výhody, jejich uplatnění</w:t>
      </w:r>
      <w:r>
        <w:rPr>
          <w:rFonts w:ascii="Tahoma" w:eastAsia="Tahoma" w:hAnsi="Tahoma" w:cs="Tahoma"/>
          <w:sz w:val="13"/>
          <w:szCs w:val="13"/>
        </w:rPr>
        <w:t xml:space="preserve"> spočívá výhradně na rozhodnutí a odpovědnosti Klienta a řídí se zejména ZDP.</w:t>
      </w:r>
    </w:p>
    <w:p w:rsidR="00CA5979" w:rsidRDefault="00CA5979">
      <w:pPr>
        <w:spacing w:line="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9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Klient bere na vědomí, že Sodexo neodpovídá za kvalitu zboží a služeb čerpaných na základě Poukázky a ani nepřebírá odpovědnost za možná rizika, která mohou být pro držitele Poukázky s čerpáním služeb nebo nákupu zboží u Partnerů spojena.</w:t>
      </w:r>
    </w:p>
    <w:p w:rsidR="00CA5979" w:rsidRDefault="00CA5979">
      <w:pPr>
        <w:spacing w:line="4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left="-8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IX. OBJEDNÁVKA</w:t>
      </w:r>
    </w:p>
    <w:p w:rsidR="00CA5979" w:rsidRDefault="00CA5979">
      <w:pPr>
        <w:spacing w:line="169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tabs>
          <w:tab w:val="left" w:pos="268"/>
        </w:tabs>
        <w:spacing w:line="239" w:lineRule="auto"/>
        <w:ind w:left="289" w:hanging="279"/>
        <w:jc w:val="both"/>
        <w:rPr>
          <w:rFonts w:ascii="Tahoma" w:eastAsia="Tahoma" w:hAnsi="Tahoma" w:cs="Tahoma"/>
          <w:color w:val="0000FF"/>
          <w:sz w:val="14"/>
          <w:szCs w:val="14"/>
          <w:u w:val="single"/>
        </w:rPr>
      </w:pPr>
      <w:r>
        <w:rPr>
          <w:rFonts w:ascii="Tahoma" w:eastAsia="Tahoma" w:hAnsi="Tahoma" w:cs="Tahoma"/>
          <w:sz w:val="14"/>
          <w:szCs w:val="14"/>
        </w:rPr>
        <w:t>1.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sz w:val="14"/>
          <w:szCs w:val="14"/>
        </w:rPr>
        <w:t>Klient může Poukázky objednat prostřednictvím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hyperlink r:id="rId21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www.mojesodexo.cz</w:t>
        </w:r>
        <w:r>
          <w:rPr>
            <w:rFonts w:ascii="Tahoma" w:eastAsia="Tahoma" w:hAnsi="Tahoma" w:cs="Tahoma"/>
            <w:sz w:val="14"/>
            <w:szCs w:val="14"/>
            <w:u w:val="single"/>
          </w:rPr>
          <w:t xml:space="preserve"> </w:t>
        </w:r>
      </w:hyperlink>
      <w:r>
        <w:rPr>
          <w:rFonts w:ascii="Tahoma" w:eastAsia="Tahoma" w:hAnsi="Tahoma" w:cs="Tahoma"/>
          <w:sz w:val="14"/>
          <w:szCs w:val="14"/>
        </w:rPr>
        <w:t>nebo</w:t>
      </w:r>
      <w:r>
        <w:rPr>
          <w:rFonts w:ascii="Tahoma" w:eastAsia="Tahoma" w:hAnsi="Tahoma" w:cs="Tahoma"/>
          <w:sz w:val="14"/>
          <w:szCs w:val="14"/>
        </w:rPr>
        <w:t xml:space="preserve"> vyplněním typizovaného objednávkového formuláře a jeho osobním doručením zákaznickému centru. Klient s písemnou smlouvou může Poukázky dále objednat i faxem nebo e-mailem zaslaným na adresu </w:t>
      </w:r>
      <w:hyperlink r:id="rId22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info.cz@sodexo.com</w:t>
        </w:r>
        <w:r>
          <w:rPr>
            <w:rFonts w:ascii="Tahoma" w:eastAsia="Tahoma" w:hAnsi="Tahoma" w:cs="Tahoma"/>
            <w:color w:val="000000"/>
            <w:sz w:val="14"/>
            <w:szCs w:val="14"/>
          </w:rPr>
          <w:t xml:space="preserve"> </w:t>
        </w:r>
      </w:hyperlink>
      <w:r>
        <w:rPr>
          <w:rFonts w:ascii="Tahoma" w:eastAsia="Tahoma" w:hAnsi="Tahoma" w:cs="Tahoma"/>
          <w:color w:val="000000"/>
          <w:sz w:val="14"/>
          <w:szCs w:val="14"/>
        </w:rPr>
        <w:t>z</w:t>
      </w:r>
      <w:r>
        <w:rPr>
          <w:rFonts w:ascii="Tahoma" w:eastAsia="Tahoma" w:hAnsi="Tahoma" w:cs="Tahoma"/>
          <w:color w:val="000000"/>
          <w:sz w:val="14"/>
          <w:szCs w:val="14"/>
        </w:rPr>
        <w:t xml:space="preserve"> emailové adresy</w:t>
      </w:r>
      <w:r>
        <w:rPr>
          <w:rFonts w:ascii="Tahoma" w:eastAsia="Tahoma" w:hAnsi="Tahoma" w:cs="Tahoma"/>
          <w:color w:val="0000FF"/>
          <w:sz w:val="14"/>
          <w:szCs w:val="14"/>
          <w:u w:val="single"/>
        </w:rPr>
        <w:t xml:space="preserve"> </w:t>
      </w:r>
      <w:r>
        <w:rPr>
          <w:rFonts w:ascii="Tahoma" w:eastAsia="Tahoma" w:hAnsi="Tahoma" w:cs="Tahoma"/>
          <w:color w:val="000000"/>
          <w:sz w:val="14"/>
          <w:szCs w:val="14"/>
        </w:rPr>
        <w:t>Kontaktní osoby, prostřednictvím systému Cafeteria nebo prostřednictvím Klientského portálu</w:t>
      </w:r>
    </w:p>
    <w:p w:rsidR="00CA5979" w:rsidRDefault="00CA5979">
      <w:pPr>
        <w:spacing w:line="9" w:lineRule="exact"/>
        <w:rPr>
          <w:sz w:val="20"/>
          <w:szCs w:val="20"/>
        </w:rPr>
      </w:pPr>
    </w:p>
    <w:p w:rsidR="00CA5979" w:rsidRDefault="00D16239">
      <w:pPr>
        <w:numPr>
          <w:ilvl w:val="0"/>
          <w:numId w:val="24"/>
        </w:numPr>
        <w:tabs>
          <w:tab w:val="left" w:pos="289"/>
        </w:tabs>
        <w:spacing w:line="238" w:lineRule="auto"/>
        <w:ind w:left="289" w:hanging="289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Klient je povinen řádně vyplnit všechny údaje v Objednávce.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24"/>
        </w:numPr>
        <w:tabs>
          <w:tab w:val="left" w:pos="289"/>
        </w:tabs>
        <w:spacing w:line="239" w:lineRule="auto"/>
        <w:ind w:left="289" w:hanging="289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Sodexo neodpovídá za výsledek plnění Objednávky Klienta v případě, že Objednávka obsa</w:t>
      </w:r>
      <w:r>
        <w:rPr>
          <w:rFonts w:ascii="Tahoma" w:eastAsia="Tahoma" w:hAnsi="Tahoma" w:cs="Tahoma"/>
          <w:sz w:val="14"/>
          <w:szCs w:val="14"/>
        </w:rPr>
        <w:t>huje vady či zjevné nesprávnosti.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24"/>
        </w:numPr>
        <w:tabs>
          <w:tab w:val="left" w:pos="289"/>
        </w:tabs>
        <w:spacing w:line="260" w:lineRule="auto"/>
        <w:ind w:left="289" w:hanging="289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 xml:space="preserve">Odměna za každou objednanou Poukázku je stanovena jako součet její nominální hodnoty a poplatku za vydání Poukázky specifikovaného v Ceníku. V případě, že je celková částka odměny za vydání Poukázky bez DPH v rámci jedné </w:t>
      </w:r>
      <w:r>
        <w:rPr>
          <w:rFonts w:ascii="Tahoma" w:eastAsia="Tahoma" w:hAnsi="Tahoma" w:cs="Tahoma"/>
          <w:sz w:val="13"/>
          <w:szCs w:val="13"/>
        </w:rPr>
        <w:t>Objednávky nižší než minimální odměna specifikovaná v Ceníku, zavazuje se Klient zaplatit za objednané Poukázky celkovou odměnu odpovídající takové minimální odměně, navýšené o DPH.</w:t>
      </w:r>
    </w:p>
    <w:p w:rsidR="00CA5979" w:rsidRDefault="00D16239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CA5979" w:rsidRDefault="00CA5979">
      <w:pPr>
        <w:spacing w:line="200" w:lineRule="exact"/>
        <w:rPr>
          <w:sz w:val="20"/>
          <w:szCs w:val="20"/>
        </w:rPr>
      </w:pPr>
    </w:p>
    <w:p w:rsidR="00CA5979" w:rsidRDefault="00CA5979">
      <w:pPr>
        <w:spacing w:line="358" w:lineRule="exact"/>
        <w:rPr>
          <w:sz w:val="20"/>
          <w:szCs w:val="20"/>
        </w:rPr>
      </w:pPr>
    </w:p>
    <w:p w:rsidR="00CA5979" w:rsidRDefault="00D16239">
      <w:pPr>
        <w:numPr>
          <w:ilvl w:val="0"/>
          <w:numId w:val="25"/>
        </w:numPr>
        <w:tabs>
          <w:tab w:val="left" w:pos="274"/>
        </w:tabs>
        <w:spacing w:line="239" w:lineRule="auto"/>
        <w:ind w:left="274" w:hanging="274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Odměnu za objednané Poukázky hradí Klient předem bankovním převodem na</w:t>
      </w:r>
      <w:r>
        <w:rPr>
          <w:rFonts w:ascii="Tahoma" w:eastAsia="Tahoma" w:hAnsi="Tahoma" w:cs="Tahoma"/>
          <w:sz w:val="14"/>
          <w:szCs w:val="14"/>
        </w:rPr>
        <w:t xml:space="preserve"> základě proforma faktury, hotově v zákaznickém centru nebo na dobírku, nedohodnou-li se Strany jinak.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25"/>
        </w:numPr>
        <w:tabs>
          <w:tab w:val="left" w:pos="274"/>
        </w:tabs>
        <w:ind w:left="274" w:hanging="274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Ustanovení čl. </w:t>
      </w:r>
      <w:hyperlink w:anchor="page3">
        <w:r>
          <w:rPr>
            <w:rFonts w:ascii="Tahoma" w:eastAsia="Tahoma" w:hAnsi="Tahoma" w:cs="Tahoma"/>
            <w:sz w:val="14"/>
            <w:szCs w:val="14"/>
          </w:rPr>
          <w:t xml:space="preserve">IX. </w:t>
        </w:r>
      </w:hyperlink>
      <w:r>
        <w:rPr>
          <w:rFonts w:ascii="Tahoma" w:eastAsia="Tahoma" w:hAnsi="Tahoma" w:cs="Tahoma"/>
          <w:sz w:val="14"/>
          <w:szCs w:val="14"/>
        </w:rPr>
        <w:t xml:space="preserve">odst. </w:t>
      </w:r>
      <w:hyperlink w:anchor="page3">
        <w:r>
          <w:rPr>
            <w:rFonts w:ascii="Tahoma" w:eastAsia="Tahoma" w:hAnsi="Tahoma" w:cs="Tahoma"/>
            <w:sz w:val="14"/>
            <w:szCs w:val="14"/>
          </w:rPr>
          <w:t xml:space="preserve">5 </w:t>
        </w:r>
      </w:hyperlink>
      <w:r>
        <w:rPr>
          <w:rFonts w:ascii="Tahoma" w:eastAsia="Tahoma" w:hAnsi="Tahoma" w:cs="Tahoma"/>
          <w:sz w:val="14"/>
          <w:szCs w:val="14"/>
        </w:rPr>
        <w:t>výše se neuplatní</w:t>
      </w:r>
    </w:p>
    <w:p w:rsidR="00CA5979" w:rsidRDefault="00D16239">
      <w:pPr>
        <w:spacing w:line="239" w:lineRule="auto"/>
        <w:ind w:left="274" w:right="2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při platbě Poukázek objednaných prostřednictvím </w:t>
      </w:r>
      <w:r>
        <w:rPr>
          <w:rFonts w:ascii="Tahoma" w:eastAsia="Tahoma" w:hAnsi="Tahoma" w:cs="Tahoma"/>
          <w:sz w:val="14"/>
          <w:szCs w:val="14"/>
        </w:rPr>
        <w:t>systému Cafeteria.</w:t>
      </w:r>
    </w:p>
    <w:p w:rsidR="00CA5979" w:rsidRDefault="00CA5979">
      <w:pPr>
        <w:spacing w:line="170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1"/>
          <w:numId w:val="25"/>
        </w:numPr>
        <w:tabs>
          <w:tab w:val="left" w:pos="274"/>
        </w:tabs>
        <w:ind w:left="274" w:hanging="173"/>
        <w:rPr>
          <w:rFonts w:ascii="Tahoma" w:eastAsia="Tahoma" w:hAnsi="Tahoma" w:cs="Tahoma"/>
          <w:b/>
          <w:bCs/>
          <w:sz w:val="14"/>
          <w:szCs w:val="14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PERSONALIZACE A KLIENTSKÝ ÚČET</w:t>
      </w:r>
    </w:p>
    <w:p w:rsidR="00CA5979" w:rsidRDefault="00CA5979">
      <w:pPr>
        <w:spacing w:line="169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26"/>
        </w:numPr>
        <w:tabs>
          <w:tab w:val="left" w:pos="274"/>
        </w:tabs>
        <w:spacing w:line="239" w:lineRule="auto"/>
        <w:ind w:left="274" w:right="20" w:hanging="274"/>
        <w:jc w:val="both"/>
        <w:rPr>
          <w:rFonts w:ascii="Tahoma" w:eastAsia="Tahoma" w:hAnsi="Tahoma" w:cs="Tahoma"/>
          <w:color w:val="0000FF"/>
          <w:sz w:val="14"/>
          <w:szCs w:val="14"/>
          <w:u w:val="single"/>
        </w:rPr>
      </w:pPr>
      <w:r>
        <w:rPr>
          <w:rFonts w:ascii="Tahoma" w:eastAsia="Tahoma" w:hAnsi="Tahoma" w:cs="Tahoma"/>
          <w:sz w:val="14"/>
          <w:szCs w:val="14"/>
        </w:rPr>
        <w:t>V případě Objednávky prostřednictvím</w:t>
      </w:r>
      <w:r>
        <w:rPr>
          <w:rFonts w:ascii="Tahoma" w:eastAsia="Tahoma" w:hAnsi="Tahoma" w:cs="Tahoma"/>
          <w:color w:val="0000FF"/>
          <w:sz w:val="14"/>
          <w:szCs w:val="14"/>
          <w:u w:val="single"/>
        </w:rPr>
        <w:t xml:space="preserve"> </w:t>
      </w:r>
      <w:hyperlink r:id="rId23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www.mojesodexo.cz</w:t>
        </w:r>
        <w:r>
          <w:rPr>
            <w:rFonts w:ascii="Tahoma" w:eastAsia="Tahoma" w:hAnsi="Tahoma" w:cs="Tahoma"/>
            <w:color w:val="000000"/>
            <w:sz w:val="14"/>
            <w:szCs w:val="14"/>
          </w:rPr>
          <w:t xml:space="preserve"> </w:t>
        </w:r>
      </w:hyperlink>
      <w:r>
        <w:rPr>
          <w:rFonts w:ascii="Tahoma" w:eastAsia="Tahoma" w:hAnsi="Tahoma" w:cs="Tahoma"/>
          <w:color w:val="000000"/>
          <w:sz w:val="14"/>
          <w:szCs w:val="14"/>
        </w:rPr>
        <w:t>má Klient při zasílání Poukázek možnost přiobjednat speciální</w:t>
      </w:r>
    </w:p>
    <w:p w:rsidR="00CA5979" w:rsidRDefault="00CA5979">
      <w:pPr>
        <w:spacing w:line="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left="274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službu spočívající v rozdělení Poukázek d</w:t>
      </w:r>
      <w:r>
        <w:rPr>
          <w:rFonts w:ascii="Tahoma" w:eastAsia="Tahoma" w:hAnsi="Tahoma" w:cs="Tahoma"/>
          <w:sz w:val="14"/>
          <w:szCs w:val="14"/>
        </w:rPr>
        <w:t>o</w:t>
      </w:r>
    </w:p>
    <w:p w:rsidR="00CA5979" w:rsidRDefault="00D16239">
      <w:pPr>
        <w:tabs>
          <w:tab w:val="left" w:pos="773"/>
          <w:tab w:val="left" w:pos="1053"/>
          <w:tab w:val="left" w:pos="1833"/>
          <w:tab w:val="left" w:pos="2353"/>
        </w:tabs>
        <w:ind w:left="274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obálek</w:t>
      </w:r>
      <w:r>
        <w:rPr>
          <w:rFonts w:ascii="Tahoma" w:eastAsia="Tahoma" w:hAnsi="Tahoma" w:cs="Tahoma"/>
          <w:sz w:val="14"/>
          <w:szCs w:val="14"/>
        </w:rPr>
        <w:tab/>
        <w:t>dle</w:t>
      </w:r>
      <w:r>
        <w:rPr>
          <w:rFonts w:ascii="Tahoma" w:eastAsia="Tahoma" w:hAnsi="Tahoma" w:cs="Tahoma"/>
          <w:sz w:val="14"/>
          <w:szCs w:val="14"/>
        </w:rPr>
        <w:tab/>
        <w:t>požadavku</w:t>
      </w:r>
      <w:r>
        <w:rPr>
          <w:rFonts w:ascii="Tahoma" w:eastAsia="Tahoma" w:hAnsi="Tahoma" w:cs="Tahoma"/>
          <w:sz w:val="14"/>
          <w:szCs w:val="14"/>
        </w:rPr>
        <w:tab/>
        <w:t>Klienta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sz w:val="13"/>
          <w:szCs w:val="13"/>
        </w:rPr>
        <w:t>zadaného</w:t>
      </w:r>
    </w:p>
    <w:p w:rsidR="00CA5979" w:rsidRDefault="00D16239">
      <w:pPr>
        <w:tabs>
          <w:tab w:val="left" w:pos="1433"/>
          <w:tab w:val="left" w:pos="2433"/>
        </w:tabs>
        <w:ind w:left="274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v příslušné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sz w:val="14"/>
          <w:szCs w:val="14"/>
        </w:rPr>
        <w:t>šabloně</w:t>
      </w:r>
      <w:r>
        <w:rPr>
          <w:sz w:val="20"/>
          <w:szCs w:val="20"/>
        </w:rPr>
        <w:tab/>
      </w:r>
      <w:r>
        <w:rPr>
          <w:rFonts w:ascii="Tahoma" w:eastAsia="Tahoma" w:hAnsi="Tahoma" w:cs="Tahoma"/>
          <w:sz w:val="13"/>
          <w:szCs w:val="13"/>
        </w:rPr>
        <w:t>systému</w:t>
      </w:r>
    </w:p>
    <w:p w:rsidR="00CA5979" w:rsidRDefault="00CA5979">
      <w:pPr>
        <w:spacing w:line="4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58" w:lineRule="auto"/>
        <w:ind w:left="274"/>
        <w:jc w:val="both"/>
        <w:rPr>
          <w:rFonts w:ascii="Tahoma" w:eastAsia="Tahoma" w:hAnsi="Tahoma" w:cs="Tahoma"/>
          <w:color w:val="0000FF"/>
          <w:sz w:val="13"/>
          <w:szCs w:val="13"/>
          <w:u w:val="single"/>
        </w:rPr>
      </w:pPr>
      <w:hyperlink r:id="rId24">
        <w:r>
          <w:rPr>
            <w:rFonts w:ascii="Tahoma" w:eastAsia="Tahoma" w:hAnsi="Tahoma" w:cs="Tahoma"/>
            <w:color w:val="0000FF"/>
            <w:sz w:val="13"/>
            <w:szCs w:val="13"/>
            <w:u w:val="single"/>
          </w:rPr>
          <w:t>www.mojesodexo.cz</w:t>
        </w:r>
        <w:r>
          <w:rPr>
            <w:rFonts w:ascii="Tahoma" w:eastAsia="Tahoma" w:hAnsi="Tahoma" w:cs="Tahoma"/>
            <w:color w:val="000000"/>
            <w:sz w:val="13"/>
            <w:szCs w:val="13"/>
          </w:rPr>
          <w:t xml:space="preserve"> </w:t>
        </w:r>
      </w:hyperlink>
      <w:r>
        <w:rPr>
          <w:rFonts w:ascii="Tahoma" w:eastAsia="Tahoma" w:hAnsi="Tahoma" w:cs="Tahoma"/>
          <w:color w:val="000000"/>
          <w:sz w:val="13"/>
          <w:szCs w:val="13"/>
        </w:rPr>
        <w:t>a dle údajů uvedených Klientem v příslušné Objednávce (dále jen „</w:t>
      </w:r>
      <w:r>
        <w:rPr>
          <w:rFonts w:ascii="Tahoma" w:eastAsia="Tahoma" w:hAnsi="Tahoma" w:cs="Tahoma"/>
          <w:b/>
          <w:bCs/>
          <w:color w:val="000000"/>
          <w:sz w:val="13"/>
          <w:szCs w:val="13"/>
        </w:rPr>
        <w:t>Personalizace Poukázek</w:t>
      </w:r>
      <w:r>
        <w:rPr>
          <w:rFonts w:ascii="Tahoma" w:eastAsia="Tahoma" w:hAnsi="Tahoma" w:cs="Tahoma"/>
          <w:color w:val="000000"/>
          <w:sz w:val="13"/>
          <w:szCs w:val="13"/>
        </w:rPr>
        <w:t>“). Sodexo se v</w:t>
      </w:r>
      <w:r>
        <w:rPr>
          <w:rFonts w:ascii="Tahoma" w:eastAsia="Tahoma" w:hAnsi="Tahoma" w:cs="Tahoma"/>
          <w:color w:val="000000"/>
          <w:sz w:val="13"/>
          <w:szCs w:val="13"/>
        </w:rPr>
        <w:t xml:space="preserve"> takovém případě zavazuje provést Klientem zadanou Personalizaci Poukázek.</w:t>
      </w:r>
    </w:p>
    <w:p w:rsidR="00CA5979" w:rsidRDefault="00CA5979">
      <w:pPr>
        <w:spacing w:line="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27"/>
        </w:numPr>
        <w:tabs>
          <w:tab w:val="left" w:pos="274"/>
        </w:tabs>
        <w:spacing w:line="239" w:lineRule="auto"/>
        <w:ind w:left="274" w:hanging="274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Sodexo se zavazuje, že zřídí Klientovi Klientský účet, a to s využitím údajů obsažených ve Smlouvě a/nebo v Objednávce dle čl. </w:t>
      </w:r>
      <w:hyperlink w:anchor="page3">
        <w:r>
          <w:rPr>
            <w:rFonts w:ascii="Tahoma" w:eastAsia="Tahoma" w:hAnsi="Tahoma" w:cs="Tahoma"/>
            <w:sz w:val="14"/>
            <w:szCs w:val="14"/>
          </w:rPr>
          <w:t xml:space="preserve">IX. </w:t>
        </w:r>
      </w:hyperlink>
      <w:r>
        <w:rPr>
          <w:rFonts w:ascii="Tahoma" w:eastAsia="Tahoma" w:hAnsi="Tahoma" w:cs="Tahoma"/>
          <w:sz w:val="14"/>
          <w:szCs w:val="14"/>
        </w:rPr>
        <w:t>VOP, nemá-li již</w:t>
      </w:r>
    </w:p>
    <w:p w:rsidR="00CA5979" w:rsidRDefault="00D16239">
      <w:pPr>
        <w:ind w:left="274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Klie</w:t>
      </w:r>
      <w:r>
        <w:rPr>
          <w:rFonts w:ascii="Tahoma" w:eastAsia="Tahoma" w:hAnsi="Tahoma" w:cs="Tahoma"/>
          <w:sz w:val="14"/>
          <w:szCs w:val="14"/>
        </w:rPr>
        <w:t>nt tento účet zřízen.</w:t>
      </w:r>
    </w:p>
    <w:p w:rsidR="00CA5979" w:rsidRDefault="00CA5979">
      <w:pPr>
        <w:spacing w:line="168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left="534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XI. DORUČOVÁNÍ A ODBĚR</w:t>
      </w:r>
    </w:p>
    <w:p w:rsidR="00CA5979" w:rsidRDefault="00CA5979">
      <w:pPr>
        <w:spacing w:line="17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28"/>
        </w:numPr>
        <w:tabs>
          <w:tab w:val="left" w:pos="274"/>
        </w:tabs>
        <w:spacing w:line="239" w:lineRule="auto"/>
        <w:ind w:left="274" w:right="20" w:hanging="274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Objednané Poukázky se Sodexo zavazuje Klientovi doručit do pěti pracovních dní po úplné úhradě odměny za jejich vydání na doručovací adresu Klienta uvedenou ve Smlouvě nebo v Objednávce. Pokud Klient požaduje </w:t>
      </w:r>
      <w:r>
        <w:rPr>
          <w:rFonts w:ascii="Tahoma" w:eastAsia="Tahoma" w:hAnsi="Tahoma" w:cs="Tahoma"/>
          <w:sz w:val="14"/>
          <w:szCs w:val="14"/>
        </w:rPr>
        <w:t>dřívější dodání Poukázek, náleží společnosti Sodexo zvláštní poplatek.</w:t>
      </w:r>
    </w:p>
    <w:p w:rsidR="00CA5979" w:rsidRDefault="00CA5979">
      <w:pPr>
        <w:spacing w:line="5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28"/>
        </w:numPr>
        <w:tabs>
          <w:tab w:val="left" w:pos="274"/>
        </w:tabs>
        <w:spacing w:line="258" w:lineRule="auto"/>
        <w:ind w:left="274" w:right="20" w:hanging="274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Sodexo je oprávněno pro doručování zásilek určit dopravce dle jeho vlastního výběru. Ceny přepravného jsou uvedeny v Ceníku.</w:t>
      </w:r>
    </w:p>
    <w:p w:rsidR="00CA5979" w:rsidRDefault="00D16239">
      <w:pPr>
        <w:numPr>
          <w:ilvl w:val="0"/>
          <w:numId w:val="28"/>
        </w:numPr>
        <w:tabs>
          <w:tab w:val="left" w:pos="274"/>
        </w:tabs>
        <w:spacing w:line="239" w:lineRule="auto"/>
        <w:ind w:left="274" w:hanging="274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Při předání objednaných Poukázek podepíše osoba,</w:t>
      </w:r>
      <w:r>
        <w:rPr>
          <w:rFonts w:ascii="Tahoma" w:eastAsia="Tahoma" w:hAnsi="Tahoma" w:cs="Tahoma"/>
          <w:sz w:val="14"/>
          <w:szCs w:val="14"/>
        </w:rPr>
        <w:t xml:space="preserve"> oprávněná Klienta zastupovat, předávací protokol, prokazující doručení objednaných Poukázek.</w:t>
      </w:r>
    </w:p>
    <w:p w:rsidR="00CA5979" w:rsidRDefault="00CA5979">
      <w:pPr>
        <w:spacing w:line="170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left="954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XII. PLATNOST</w:t>
      </w:r>
    </w:p>
    <w:p w:rsidR="00CA5979" w:rsidRDefault="00CA5979">
      <w:pPr>
        <w:spacing w:line="17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29"/>
        </w:numPr>
        <w:tabs>
          <w:tab w:val="left" w:pos="274"/>
        </w:tabs>
        <w:spacing w:line="239" w:lineRule="auto"/>
        <w:ind w:left="274" w:right="20" w:hanging="274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Poukázka je platná ode dne jejího vydání, není-li na ní vyznačeno jinak. Platnost Poukázek je časově omezena. Doba platnosti je na každé Poukázce </w:t>
      </w:r>
      <w:r>
        <w:rPr>
          <w:rFonts w:ascii="Tahoma" w:eastAsia="Tahoma" w:hAnsi="Tahoma" w:cs="Tahoma"/>
          <w:sz w:val="14"/>
          <w:szCs w:val="14"/>
        </w:rPr>
        <w:t>vyznačena a po jejím uplynutí již nelze Poukázku použít k úhradě zboží či služeb.</w:t>
      </w:r>
    </w:p>
    <w:p w:rsidR="00CA5979" w:rsidRDefault="00CA5979">
      <w:pPr>
        <w:spacing w:line="5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29"/>
        </w:numPr>
        <w:tabs>
          <w:tab w:val="left" w:pos="274"/>
        </w:tabs>
        <w:spacing w:line="259" w:lineRule="auto"/>
        <w:ind w:left="274" w:hanging="274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Nepoškozené a neznehodnocené Poukázky, které Klient nespotřebuje před uplynutím doby jejich platnosti, je Klient oprávněn Sodexo vrátit, nejpozději však do 10. dne po uplynu</w:t>
      </w:r>
      <w:r>
        <w:rPr>
          <w:rFonts w:ascii="Tahoma" w:eastAsia="Tahoma" w:hAnsi="Tahoma" w:cs="Tahoma"/>
          <w:sz w:val="13"/>
          <w:szCs w:val="13"/>
        </w:rPr>
        <w:t>tí doby platnosti příslušné Poukázky. Pokud jsou Poukázky odeslané poštou nebo dopravcem, rozhodující je datum razítka podací pošty nebo datum vyzvednutí zásilky u Klienta vyznačené na přepravním dokladu. Řádně vrácené Poukázky Sodexo Klientovi proplatí, a</w:t>
      </w:r>
      <w:r>
        <w:rPr>
          <w:rFonts w:ascii="Tahoma" w:eastAsia="Tahoma" w:hAnsi="Tahoma" w:cs="Tahoma"/>
          <w:sz w:val="13"/>
          <w:szCs w:val="13"/>
        </w:rPr>
        <w:t xml:space="preserve"> to ve výši nominální hodnoty vrácených Poukázek.</w:t>
      </w:r>
    </w:p>
    <w:p w:rsidR="00CA5979" w:rsidRDefault="00CA5979">
      <w:pPr>
        <w:spacing w:line="332" w:lineRule="exact"/>
        <w:rPr>
          <w:rFonts w:ascii="Tahoma" w:eastAsia="Tahoma" w:hAnsi="Tahoma" w:cs="Tahoma"/>
          <w:sz w:val="13"/>
          <w:szCs w:val="13"/>
        </w:rPr>
      </w:pPr>
    </w:p>
    <w:p w:rsidR="00CA5979" w:rsidRDefault="00D16239">
      <w:pPr>
        <w:numPr>
          <w:ilvl w:val="1"/>
          <w:numId w:val="29"/>
        </w:numPr>
        <w:tabs>
          <w:tab w:val="left" w:pos="1174"/>
        </w:tabs>
        <w:ind w:left="1174" w:hanging="177"/>
        <w:rPr>
          <w:rFonts w:ascii="Tahoma" w:eastAsia="Tahoma" w:hAnsi="Tahoma" w:cs="Tahoma"/>
          <w:b/>
          <w:bCs/>
          <w:sz w:val="14"/>
          <w:szCs w:val="14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CAFETERIA</w:t>
      </w:r>
    </w:p>
    <w:p w:rsidR="00CA5979" w:rsidRDefault="00CA5979">
      <w:pPr>
        <w:spacing w:line="169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left="1014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XIII. SYSTÉM</w:t>
      </w:r>
    </w:p>
    <w:p w:rsidR="00CA5979" w:rsidRDefault="00CA5979">
      <w:pPr>
        <w:spacing w:line="17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30"/>
        </w:numPr>
        <w:tabs>
          <w:tab w:val="left" w:pos="274"/>
        </w:tabs>
        <w:spacing w:line="238" w:lineRule="auto"/>
        <w:ind w:left="274" w:right="20" w:hanging="274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Sodexo poskytne k užívání Klientovi a jeho zaměstnancům systém Cafeteria.</w:t>
      </w:r>
    </w:p>
    <w:p w:rsidR="00CA5979" w:rsidRDefault="00D16239">
      <w:pPr>
        <w:numPr>
          <w:ilvl w:val="0"/>
          <w:numId w:val="30"/>
        </w:numPr>
        <w:tabs>
          <w:tab w:val="left" w:pos="274"/>
        </w:tabs>
        <w:ind w:left="274" w:hanging="274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Klient  se  zavazuje  za  využívání  systému</w:t>
      </w:r>
    </w:p>
    <w:p w:rsidR="00CA5979" w:rsidRDefault="00CA5979">
      <w:pPr>
        <w:spacing w:line="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274" w:right="20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Cafeteria hradit Sodexo poplatek. Klient se dále zavazuje </w:t>
      </w:r>
      <w:r>
        <w:rPr>
          <w:rFonts w:ascii="Tahoma" w:eastAsia="Tahoma" w:hAnsi="Tahoma" w:cs="Tahoma"/>
          <w:sz w:val="14"/>
          <w:szCs w:val="14"/>
        </w:rPr>
        <w:t>hradit Benefity objednané Beneficienty prostřednictvím systému Cafeteria, a to dle podmínek těchto VOP.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30"/>
        </w:numPr>
        <w:tabs>
          <w:tab w:val="left" w:pos="274"/>
        </w:tabs>
        <w:spacing w:line="239" w:lineRule="auto"/>
        <w:ind w:left="274" w:right="20" w:hanging="274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Sodexo je oprávněno realizovat nezbytné servisní odstávky systému Cafeteria, za jejichž trvání nebude možné systém Cafeteria po přechodnou dobu využíva</w:t>
      </w:r>
      <w:r>
        <w:rPr>
          <w:rFonts w:ascii="Tahoma" w:eastAsia="Tahoma" w:hAnsi="Tahoma" w:cs="Tahoma"/>
          <w:sz w:val="14"/>
          <w:szCs w:val="14"/>
        </w:rPr>
        <w:t>t.</w:t>
      </w:r>
    </w:p>
    <w:p w:rsidR="00CA5979" w:rsidRDefault="00CA5979">
      <w:pPr>
        <w:spacing w:line="382" w:lineRule="exact"/>
        <w:rPr>
          <w:rFonts w:ascii="Tahoma" w:eastAsia="Tahoma" w:hAnsi="Tahoma" w:cs="Tahoma"/>
          <w:sz w:val="14"/>
          <w:szCs w:val="14"/>
        </w:rPr>
      </w:pPr>
    </w:p>
    <w:p w:rsidR="00CA5979" w:rsidRDefault="00CA5979">
      <w:pPr>
        <w:sectPr w:rsidR="00CA5979">
          <w:type w:val="continuous"/>
          <w:pgSz w:w="11900" w:h="16838"/>
          <w:pgMar w:top="714" w:right="1126" w:bottom="101" w:left="1419" w:header="0" w:footer="0" w:gutter="0"/>
          <w:cols w:num="3" w:space="708" w:equalWidth="0">
            <w:col w:w="2961" w:space="231"/>
            <w:col w:w="2969" w:space="226"/>
            <w:col w:w="2974"/>
          </w:cols>
        </w:sectPr>
      </w:pPr>
    </w:p>
    <w:p w:rsidR="00CA5979" w:rsidRDefault="00CA5979">
      <w:pPr>
        <w:spacing w:line="200" w:lineRule="exact"/>
        <w:rPr>
          <w:rFonts w:ascii="Tahoma" w:eastAsia="Tahoma" w:hAnsi="Tahoma" w:cs="Tahoma"/>
          <w:sz w:val="14"/>
          <w:szCs w:val="14"/>
        </w:rPr>
      </w:pPr>
    </w:p>
    <w:p w:rsidR="00CA5979" w:rsidRDefault="00CA5979">
      <w:pPr>
        <w:spacing w:line="306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right="19"/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15"/>
          <w:szCs w:val="15"/>
        </w:rPr>
        <w:t>- 3 -</w:t>
      </w:r>
    </w:p>
    <w:p w:rsidR="00CA5979" w:rsidRDefault="00CA5979">
      <w:pPr>
        <w:sectPr w:rsidR="00CA5979">
          <w:type w:val="continuous"/>
          <w:pgSz w:w="11900" w:h="16838"/>
          <w:pgMar w:top="714" w:right="1126" w:bottom="101" w:left="1419" w:header="0" w:footer="0" w:gutter="0"/>
          <w:cols w:space="708" w:equalWidth="0">
            <w:col w:w="9361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540"/>
        <w:gridCol w:w="100"/>
        <w:gridCol w:w="180"/>
        <w:gridCol w:w="200"/>
        <w:gridCol w:w="160"/>
        <w:gridCol w:w="200"/>
        <w:gridCol w:w="100"/>
        <w:gridCol w:w="160"/>
        <w:gridCol w:w="280"/>
        <w:gridCol w:w="200"/>
        <w:gridCol w:w="80"/>
        <w:gridCol w:w="80"/>
        <w:gridCol w:w="160"/>
        <w:gridCol w:w="440"/>
        <w:gridCol w:w="300"/>
        <w:gridCol w:w="100"/>
        <w:gridCol w:w="340"/>
        <w:gridCol w:w="80"/>
        <w:gridCol w:w="80"/>
        <w:gridCol w:w="100"/>
        <w:gridCol w:w="220"/>
        <w:gridCol w:w="120"/>
        <w:gridCol w:w="300"/>
        <w:gridCol w:w="260"/>
        <w:gridCol w:w="140"/>
        <w:gridCol w:w="220"/>
        <w:gridCol w:w="240"/>
        <w:gridCol w:w="120"/>
        <w:gridCol w:w="260"/>
        <w:gridCol w:w="320"/>
        <w:gridCol w:w="380"/>
        <w:gridCol w:w="400"/>
        <w:gridCol w:w="40"/>
        <w:gridCol w:w="140"/>
        <w:gridCol w:w="320"/>
        <w:gridCol w:w="160"/>
        <w:gridCol w:w="100"/>
        <w:gridCol w:w="300"/>
        <w:gridCol w:w="180"/>
        <w:gridCol w:w="320"/>
        <w:gridCol w:w="200"/>
        <w:gridCol w:w="560"/>
      </w:tblGrid>
      <w:tr w:rsidR="00CA5979">
        <w:trPr>
          <w:trHeight w:val="13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  <w:bookmarkStart w:id="4" w:name="page4"/>
            <w:bookmarkEnd w:id="4"/>
          </w:p>
        </w:tc>
        <w:tc>
          <w:tcPr>
            <w:tcW w:w="54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34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40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2"/>
                <w:szCs w:val="12"/>
              </w:rPr>
            </w:pPr>
          </w:p>
        </w:tc>
        <w:tc>
          <w:tcPr>
            <w:tcW w:w="560" w:type="dxa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2"/>
                <w:szCs w:val="12"/>
              </w:rPr>
              <w:t>C/02/12</w:t>
            </w:r>
          </w:p>
        </w:tc>
      </w:tr>
      <w:tr w:rsidR="00CA5979">
        <w:trPr>
          <w:trHeight w:val="741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Servisní  odstávky  se  nezapočítávají  do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gridSpan w:val="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5"/>
                <w:sz w:val="14"/>
                <w:szCs w:val="14"/>
              </w:rPr>
              <w:t>oprávnění</w:t>
            </w:r>
          </w:p>
        </w:tc>
        <w:tc>
          <w:tcPr>
            <w:tcW w:w="640" w:type="dxa"/>
            <w:gridSpan w:val="3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 jejímu</w:t>
            </w:r>
          </w:p>
        </w:tc>
        <w:tc>
          <w:tcPr>
            <w:tcW w:w="620" w:type="dxa"/>
            <w:gridSpan w:val="3"/>
            <w:vAlign w:val="bottom"/>
          </w:tcPr>
          <w:p w:rsidR="00CA5979" w:rsidRDefault="00D16239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využití</w:t>
            </w:r>
          </w:p>
        </w:tc>
        <w:tc>
          <w:tcPr>
            <w:tcW w:w="940" w:type="dxa"/>
            <w:gridSpan w:val="4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dohodnutým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Kreditu společně s příslušným poplatkem za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Garance dostupnosti systému Cafeteria.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způsobem.</w:t>
            </w: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Objednávku</w:t>
            </w:r>
          </w:p>
        </w:tc>
        <w:tc>
          <w:tcPr>
            <w:tcW w:w="560" w:type="dxa"/>
            <w:gridSpan w:val="3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Kreditu.</w:t>
            </w: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CA5979" w:rsidRDefault="00D16239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Jakmile</w:t>
            </w:r>
          </w:p>
        </w:tc>
        <w:tc>
          <w:tcPr>
            <w:tcW w:w="560" w:type="dxa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dojde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4.</w:t>
            </w:r>
          </w:p>
        </w:tc>
        <w:tc>
          <w:tcPr>
            <w:tcW w:w="540" w:type="dxa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Sodexo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4"/>
            <w:vAlign w:val="bottom"/>
          </w:tcPr>
          <w:p w:rsidR="00CA5979" w:rsidRDefault="00D16239">
            <w:pPr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garantuje,</w:t>
            </w:r>
          </w:p>
        </w:tc>
        <w:tc>
          <w:tcPr>
            <w:tcW w:w="260" w:type="dxa"/>
            <w:gridSpan w:val="2"/>
            <w:vAlign w:val="bottom"/>
          </w:tcPr>
          <w:p w:rsidR="00CA5979" w:rsidRDefault="00D16239">
            <w:pPr>
              <w:ind w:left="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že</w:t>
            </w:r>
          </w:p>
        </w:tc>
        <w:tc>
          <w:tcPr>
            <w:tcW w:w="480" w:type="dxa"/>
            <w:gridSpan w:val="2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služby</w:t>
            </w: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CA5979" w:rsidRDefault="00D16239">
            <w:pPr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</w:t>
            </w:r>
          </w:p>
        </w:tc>
        <w:tc>
          <w:tcPr>
            <w:tcW w:w="440" w:type="dxa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6"/>
                <w:sz w:val="14"/>
                <w:szCs w:val="14"/>
              </w:rPr>
              <w:t>zboží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 úhradě</w:t>
            </w:r>
          </w:p>
        </w:tc>
        <w:tc>
          <w:tcPr>
            <w:tcW w:w="480" w:type="dxa"/>
            <w:gridSpan w:val="2"/>
            <w:vAlign w:val="bottom"/>
          </w:tcPr>
          <w:p w:rsidR="00CA5979" w:rsidRDefault="00D16239">
            <w:pPr>
              <w:ind w:left="1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takto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CA5979" w:rsidRDefault="00D16239">
            <w:pPr>
              <w:ind w:left="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vyfakturované</w:t>
            </w:r>
          </w:p>
        </w:tc>
        <w:tc>
          <w:tcPr>
            <w:tcW w:w="560" w:type="dxa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částky,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nabízené</w:t>
            </w:r>
          </w:p>
        </w:tc>
        <w:tc>
          <w:tcPr>
            <w:tcW w:w="740" w:type="dxa"/>
            <w:gridSpan w:val="4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6"/>
                <w:sz w:val="14"/>
                <w:szCs w:val="14"/>
              </w:rPr>
              <w:t>v systému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Align w:val="bottom"/>
          </w:tcPr>
          <w:p w:rsidR="00CA5979" w:rsidRDefault="00D16239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Cafeteria</w:t>
            </w:r>
          </w:p>
        </w:tc>
        <w:tc>
          <w:tcPr>
            <w:tcW w:w="320" w:type="dxa"/>
            <w:gridSpan w:val="3"/>
            <w:vAlign w:val="bottom"/>
          </w:tcPr>
          <w:p w:rsidR="00CA5979" w:rsidRDefault="00D16239">
            <w:pPr>
              <w:ind w:left="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3"/>
                <w:sz w:val="14"/>
                <w:szCs w:val="14"/>
              </w:rPr>
              <w:t>jsou</w:t>
            </w:r>
          </w:p>
        </w:tc>
        <w:tc>
          <w:tcPr>
            <w:tcW w:w="440" w:type="dxa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zavazuje  se  Sodexo  neprodleně  navýšit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Beneficienta daňově optimalizované, pokud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580" w:type="dxa"/>
            <w:gridSpan w:val="14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14"/>
                <w:szCs w:val="14"/>
              </w:rPr>
              <w:t>XVI. PRÁVA A POVINNOSTI STRAN</w:t>
            </w: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Kredit</w:t>
            </w:r>
          </w:p>
        </w:tc>
        <w:tc>
          <w:tcPr>
            <w:tcW w:w="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gridSpan w:val="5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odpovídajícím</w:t>
            </w:r>
          </w:p>
        </w:tc>
        <w:tc>
          <w:tcPr>
            <w:tcW w:w="700" w:type="dxa"/>
            <w:gridSpan w:val="3"/>
            <w:vAlign w:val="bottom"/>
          </w:tcPr>
          <w:p w:rsidR="00CA5979" w:rsidRDefault="00D16239">
            <w:pPr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5"/>
                <w:sz w:val="14"/>
                <w:szCs w:val="14"/>
              </w:rPr>
              <w:t>způsobem.</w:t>
            </w:r>
          </w:p>
        </w:tc>
        <w:tc>
          <w:tcPr>
            <w:tcW w:w="560" w:type="dxa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Pokud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jsou jako daňově optimalizované označené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Klient  využívá  pro  správu  </w:t>
            </w:r>
            <w:r>
              <w:rPr>
                <w:rFonts w:ascii="Tahoma" w:eastAsia="Tahoma" w:hAnsi="Tahoma" w:cs="Tahoma"/>
                <w:sz w:val="14"/>
                <w:szCs w:val="14"/>
              </w:rPr>
              <w:t>Elektronických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 systému</w:t>
            </w:r>
          </w:p>
        </w:tc>
        <w:tc>
          <w:tcPr>
            <w:tcW w:w="660" w:type="dxa"/>
            <w:gridSpan w:val="4"/>
            <w:vAlign w:val="bottom"/>
          </w:tcPr>
          <w:p w:rsidR="00CA5979" w:rsidRDefault="00D16239">
            <w:pPr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Cafeteria</w:t>
            </w:r>
          </w:p>
        </w:tc>
        <w:tc>
          <w:tcPr>
            <w:tcW w:w="800" w:type="dxa"/>
            <w:gridSpan w:val="5"/>
            <w:vAlign w:val="bottom"/>
          </w:tcPr>
          <w:p w:rsidR="00CA5979" w:rsidRDefault="00D16239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 okamžiku</w:t>
            </w: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1"/>
                <w:sz w:val="14"/>
                <w:szCs w:val="14"/>
              </w:rPr>
              <w:t>jejich</w:t>
            </w:r>
          </w:p>
        </w:tc>
        <w:tc>
          <w:tcPr>
            <w:tcW w:w="300" w:type="dxa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1.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Sodexo   provede   základní   nastavení   a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karet  systém  Cafeteria,  předchozí  věty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objednání Klientem nebo Beneficienty.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implementaci</w:t>
            </w: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systému</w:t>
            </w:r>
          </w:p>
        </w:tc>
        <w:tc>
          <w:tcPr>
            <w:tcW w:w="980" w:type="dxa"/>
            <w:gridSpan w:val="5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mojeBonusy</w:t>
            </w:r>
          </w:p>
        </w:tc>
        <w:tc>
          <w:tcPr>
            <w:tcW w:w="320" w:type="dxa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dle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 xml:space="preserve">článku  se  nepoužijí  a  </w:t>
            </w: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aplikuje  se  úprava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5.</w:t>
            </w:r>
          </w:p>
        </w:tc>
        <w:tc>
          <w:tcPr>
            <w:tcW w:w="640" w:type="dxa"/>
            <w:gridSpan w:val="2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Seznam</w:t>
            </w:r>
          </w:p>
        </w:tc>
        <w:tc>
          <w:tcPr>
            <w:tcW w:w="540" w:type="dxa"/>
            <w:gridSpan w:val="3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služeb</w:t>
            </w:r>
          </w:p>
        </w:tc>
        <w:tc>
          <w:tcPr>
            <w:tcW w:w="1020" w:type="dxa"/>
            <w:gridSpan w:val="6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poskytovaných</w:t>
            </w: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Sodexo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požadavků Klienta a systém mojeBonusy do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úhrady a vyúčtování podle části C VOP.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v rámci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systému</w:t>
            </w:r>
          </w:p>
        </w:tc>
        <w:tc>
          <w:tcPr>
            <w:tcW w:w="740" w:type="dxa"/>
            <w:gridSpan w:val="4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Cafeteria</w:t>
            </w:r>
          </w:p>
        </w:tc>
        <w:tc>
          <w:tcPr>
            <w:tcW w:w="20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je</w:t>
            </w:r>
          </w:p>
        </w:tc>
        <w:tc>
          <w:tcPr>
            <w:tcW w:w="760" w:type="dxa"/>
            <w:gridSpan w:val="4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k dispozici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dohodnutého</w:t>
            </w: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data</w:t>
            </w:r>
          </w:p>
        </w:tc>
        <w:tc>
          <w:tcPr>
            <w:tcW w:w="860" w:type="dxa"/>
            <w:gridSpan w:val="4"/>
            <w:vAlign w:val="bottom"/>
          </w:tcPr>
          <w:p w:rsidR="00CA5979" w:rsidRDefault="00D16239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zpřístupní</w:t>
            </w:r>
          </w:p>
        </w:tc>
        <w:tc>
          <w:tcPr>
            <w:tcW w:w="700" w:type="dxa"/>
            <w:gridSpan w:val="3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Klientovi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80" w:type="dxa"/>
            <w:gridSpan w:val="7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Podmínkách užívání.</w:t>
            </w: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8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 jeho Beneficientům.</w:t>
            </w: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CA5979" w:rsidRDefault="00D16239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14"/>
                <w:szCs w:val="14"/>
              </w:rPr>
              <w:t>XX. POUŽÍVÁNÍ</w:t>
            </w: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2.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Sodexo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D16239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se</w:t>
            </w: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zavazuje</w:t>
            </w: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4"/>
            <w:vAlign w:val="bottom"/>
          </w:tcPr>
          <w:p w:rsidR="00CA5979" w:rsidRDefault="00D16239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provozovat</w:t>
            </w:r>
          </w:p>
        </w:tc>
        <w:tc>
          <w:tcPr>
            <w:tcW w:w="320" w:type="dxa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gridSpan w:val="13"/>
            <w:vAlign w:val="bottom"/>
          </w:tcPr>
          <w:p w:rsidR="00CA5979" w:rsidRDefault="00D16239">
            <w:pPr>
              <w:ind w:left="3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XIV. OBJEDNÁNÍ BENEFITŮ</w:t>
            </w: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sjednanou  dobu  systém  mojeBonusy  tak,</w:t>
            </w:r>
          </w:p>
        </w:tc>
        <w:tc>
          <w:tcPr>
            <w:tcW w:w="380" w:type="dxa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1.</w:t>
            </w: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Elektronické  karty  lze  použít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 pouze  u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aby</w:t>
            </w:r>
          </w:p>
        </w:tc>
        <w:tc>
          <w:tcPr>
            <w:tcW w:w="600" w:type="dxa"/>
            <w:gridSpan w:val="5"/>
            <w:vAlign w:val="bottom"/>
          </w:tcPr>
          <w:p w:rsidR="00CA5979" w:rsidRDefault="00D16239">
            <w:pPr>
              <w:ind w:left="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Klientovi</w:t>
            </w:r>
          </w:p>
        </w:tc>
        <w:tc>
          <w:tcPr>
            <w:tcW w:w="920" w:type="dxa"/>
            <w:gridSpan w:val="4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garantovalo</w:t>
            </w:r>
          </w:p>
        </w:tc>
        <w:tc>
          <w:tcPr>
            <w:tcW w:w="940" w:type="dxa"/>
            <w:gridSpan w:val="4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dostupnost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Partnerů</w:t>
            </w: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gridSpan w:val="2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na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gridSpan w:val="2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území</w:t>
            </w: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České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1.</w:t>
            </w:r>
          </w:p>
        </w:tc>
        <w:tc>
          <w:tcPr>
            <w:tcW w:w="540" w:type="dxa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Sodexo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umožní</w:t>
            </w:r>
          </w:p>
        </w:tc>
        <w:tc>
          <w:tcPr>
            <w:tcW w:w="1020" w:type="dxa"/>
            <w:gridSpan w:val="6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prostřednictvím</w:t>
            </w:r>
          </w:p>
        </w:tc>
        <w:tc>
          <w:tcPr>
            <w:tcW w:w="680" w:type="dxa"/>
            <w:gridSpan w:val="3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systému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3"/>
                <w:sz w:val="14"/>
                <w:szCs w:val="14"/>
              </w:rPr>
              <w:t>systému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mojeBonusy</w:t>
            </w: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gridSpan w:val="4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za podmínek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republiky. Elektronickou kartu nelze použít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Cafeteria</w:t>
            </w: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Beneficientům</w:t>
            </w:r>
          </w:p>
        </w:tc>
        <w:tc>
          <w:tcPr>
            <w:tcW w:w="960" w:type="dxa"/>
            <w:gridSpan w:val="5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objednávat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uvedených v Garanci dostupnosti systému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 výběru</w:t>
            </w: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peněžních</w:t>
            </w: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prostředků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Benefity  v rámci  programu  a  logistických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mojeBonusy.</w:t>
            </w: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z bankomatu  ani  pro  výběr  hotovosti  při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kanálů zvolených Klientem ve Smlouvě.</w:t>
            </w:r>
          </w:p>
        </w:tc>
        <w:tc>
          <w:tcPr>
            <w:tcW w:w="300" w:type="dxa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3.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2"/>
                <w:sz w:val="14"/>
                <w:szCs w:val="14"/>
              </w:rPr>
              <w:t>Klient</w:t>
            </w: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CA5979" w:rsidRDefault="00D16239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0"/>
                <w:sz w:val="14"/>
                <w:szCs w:val="14"/>
              </w:rPr>
              <w:t>do</w:t>
            </w:r>
          </w:p>
        </w:tc>
        <w:tc>
          <w:tcPr>
            <w:tcW w:w="900" w:type="dxa"/>
            <w:gridSpan w:val="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dohodnutého</w:t>
            </w:r>
          </w:p>
        </w:tc>
        <w:tc>
          <w:tcPr>
            <w:tcW w:w="360" w:type="dxa"/>
            <w:gridSpan w:val="2"/>
            <w:vAlign w:val="bottom"/>
          </w:tcPr>
          <w:p w:rsidR="00CA5979" w:rsidRDefault="00D16239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5"/>
                <w:sz w:val="14"/>
                <w:szCs w:val="14"/>
              </w:rPr>
              <w:t>data</w:t>
            </w:r>
          </w:p>
        </w:tc>
        <w:tc>
          <w:tcPr>
            <w:tcW w:w="620" w:type="dxa"/>
            <w:gridSpan w:val="3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nahraje</w:t>
            </w:r>
          </w:p>
        </w:tc>
        <w:tc>
          <w:tcPr>
            <w:tcW w:w="320" w:type="dxa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do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platbě u vybraných Partnerů (služba cash-</w:t>
            </w:r>
          </w:p>
        </w:tc>
      </w:tr>
      <w:tr w:rsidR="00CA5979">
        <w:trPr>
          <w:trHeight w:val="168"/>
        </w:trPr>
        <w:tc>
          <w:tcPr>
            <w:tcW w:w="3080" w:type="dxa"/>
            <w:gridSpan w:val="15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2.   Objednávky   Benefitů   Beneficienty   jsou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3"/>
                <w:sz w:val="14"/>
                <w:szCs w:val="14"/>
              </w:rPr>
              <w:t>systému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mojeBonusy</w:t>
            </w: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20" w:type="dxa"/>
            <w:gridSpan w:val="3"/>
            <w:vAlign w:val="bottom"/>
          </w:tcPr>
          <w:p w:rsidR="00CA5979" w:rsidRDefault="00D16239">
            <w:pPr>
              <w:ind w:left="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údaje</w:t>
            </w:r>
          </w:p>
        </w:tc>
        <w:tc>
          <w:tcPr>
            <w:tcW w:w="320" w:type="dxa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back).</w:t>
            </w:r>
          </w:p>
        </w:tc>
        <w:tc>
          <w:tcPr>
            <w:tcW w:w="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gridSpan w:val="9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realizovány za použití Bodů.</w:t>
            </w: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gridSpan w:val="6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Beneficientech,</w:t>
            </w:r>
          </w:p>
        </w:tc>
        <w:tc>
          <w:tcPr>
            <w:tcW w:w="560" w:type="dxa"/>
            <w:gridSpan w:val="2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včetně</w:t>
            </w:r>
          </w:p>
        </w:tc>
        <w:tc>
          <w:tcPr>
            <w:tcW w:w="600" w:type="dxa"/>
            <w:gridSpan w:val="3"/>
            <w:vAlign w:val="bottom"/>
          </w:tcPr>
          <w:p w:rsidR="00CA5979" w:rsidRDefault="00D16239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6"/>
                <w:sz w:val="14"/>
                <w:szCs w:val="14"/>
              </w:rPr>
              <w:t>zejména</w:t>
            </w:r>
          </w:p>
        </w:tc>
        <w:tc>
          <w:tcPr>
            <w:tcW w:w="700" w:type="dxa"/>
            <w:gridSpan w:val="3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konkrétní</w:t>
            </w:r>
          </w:p>
        </w:tc>
        <w:tc>
          <w:tcPr>
            <w:tcW w:w="380" w:type="dxa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2.</w:t>
            </w:r>
          </w:p>
        </w:tc>
        <w:tc>
          <w:tcPr>
            <w:tcW w:w="900" w:type="dxa"/>
            <w:gridSpan w:val="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Předpokladem</w:t>
            </w: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gridSpan w:val="2"/>
            <w:vAlign w:val="bottom"/>
          </w:tcPr>
          <w:p w:rsidR="00CA5979" w:rsidRDefault="00D16239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</w:t>
            </w:r>
          </w:p>
        </w:tc>
        <w:tc>
          <w:tcPr>
            <w:tcW w:w="70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provedení</w:t>
            </w:r>
          </w:p>
        </w:tc>
        <w:tc>
          <w:tcPr>
            <w:tcW w:w="560" w:type="dxa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úhrady</w:t>
            </w:r>
          </w:p>
        </w:tc>
      </w:tr>
      <w:tr w:rsidR="00CA5979">
        <w:trPr>
          <w:trHeight w:val="168"/>
        </w:trPr>
        <w:tc>
          <w:tcPr>
            <w:tcW w:w="3080" w:type="dxa"/>
            <w:gridSpan w:val="15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3.   Sodexo se zavazuje, že v Zúčtovacím období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přidělené  částky,  kterou  může  konkrétní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Benefitu je dostatečná výše Kreditu.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bude  systém</w:t>
            </w:r>
          </w:p>
        </w:tc>
        <w:tc>
          <w:tcPr>
            <w:tcW w:w="620" w:type="dxa"/>
            <w:gridSpan w:val="4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Cafeteria</w:t>
            </w:r>
          </w:p>
        </w:tc>
        <w:tc>
          <w:tcPr>
            <w:tcW w:w="560" w:type="dxa"/>
            <w:gridSpan w:val="3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evidovat</w:t>
            </w: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veškeré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gridSpan w:val="7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Beneficient  v rámci</w:t>
            </w:r>
          </w:p>
        </w:tc>
        <w:tc>
          <w:tcPr>
            <w:tcW w:w="620" w:type="dxa"/>
            <w:gridSpan w:val="3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systému</w:t>
            </w:r>
          </w:p>
        </w:tc>
        <w:tc>
          <w:tcPr>
            <w:tcW w:w="940" w:type="dxa"/>
            <w:gridSpan w:val="4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mojeBonusy</w:t>
            </w:r>
          </w:p>
        </w:tc>
        <w:tc>
          <w:tcPr>
            <w:tcW w:w="380" w:type="dxa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3.</w:t>
            </w: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Při   každé   provedené   úhradě   Benefitu</w:t>
            </w:r>
          </w:p>
        </w:tc>
      </w:tr>
      <w:tr w:rsidR="00CA5979">
        <w:trPr>
          <w:trHeight w:val="171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Objednávky</w:t>
            </w: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Align w:val="bottom"/>
          </w:tcPr>
          <w:p w:rsidR="00CA5979" w:rsidRDefault="00D16239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Beneficientů</w:t>
            </w:r>
          </w:p>
        </w:tc>
        <w:tc>
          <w:tcPr>
            <w:tcW w:w="520" w:type="dxa"/>
            <w:gridSpan w:val="4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(dále</w:t>
            </w:r>
          </w:p>
        </w:tc>
        <w:tc>
          <w:tcPr>
            <w:tcW w:w="440" w:type="dxa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jen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využít.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pomocí  Elektronické  karty  bude  příslušný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40" w:type="dxa"/>
            <w:gridSpan w:val="13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„</w:t>
            </w:r>
            <w:r>
              <w:rPr>
                <w:rFonts w:ascii="Tahoma" w:eastAsia="Tahoma" w:hAnsi="Tahoma" w:cs="Tahoma"/>
                <w:b/>
                <w:bCs/>
                <w:w w:val="99"/>
                <w:sz w:val="14"/>
                <w:szCs w:val="14"/>
              </w:rPr>
              <w:t>Seznam objednaných Benefitů</w:t>
            </w: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“).</w:t>
            </w: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4.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Každý   Beneficient   je   oprávněn   do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 xml:space="preserve">Kredit  ponížen  o částku  </w:t>
            </w: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odpovídající  ceně</w:t>
            </w:r>
          </w:p>
        </w:tc>
      </w:tr>
      <w:tr w:rsidR="00CA5979">
        <w:trPr>
          <w:trHeight w:val="170"/>
        </w:trPr>
        <w:tc>
          <w:tcPr>
            <w:tcW w:w="3080" w:type="dxa"/>
            <w:gridSpan w:val="15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4.   Na základě Seznamu objednaných Benefitů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dohodnutého</w:t>
            </w:r>
          </w:p>
        </w:tc>
        <w:tc>
          <w:tcPr>
            <w:tcW w:w="420" w:type="dxa"/>
            <w:gridSpan w:val="2"/>
            <w:vAlign w:val="bottom"/>
          </w:tcPr>
          <w:p w:rsidR="00CA5979" w:rsidRDefault="00D16239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data</w:t>
            </w:r>
          </w:p>
        </w:tc>
        <w:tc>
          <w:tcPr>
            <w:tcW w:w="620" w:type="dxa"/>
            <w:gridSpan w:val="3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(závěru</w:t>
            </w:r>
          </w:p>
        </w:tc>
        <w:tc>
          <w:tcPr>
            <w:tcW w:w="940" w:type="dxa"/>
            <w:gridSpan w:val="4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Zúčtovacího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Benefitu,  přičemž  tuto  částku  následně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uskutečněných</w:t>
            </w: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4"/>
            <w:vAlign w:val="bottom"/>
          </w:tcPr>
          <w:p w:rsidR="00CA5979" w:rsidRDefault="00D16239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 průběhu</w:t>
            </w:r>
          </w:p>
        </w:tc>
        <w:tc>
          <w:tcPr>
            <w:tcW w:w="960" w:type="dxa"/>
            <w:gridSpan w:val="5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Zúčtovacího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období)</w:t>
            </w:r>
          </w:p>
        </w:tc>
        <w:tc>
          <w:tcPr>
            <w:tcW w:w="740" w:type="dxa"/>
            <w:gridSpan w:val="4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 systému</w:t>
            </w:r>
          </w:p>
        </w:tc>
        <w:tc>
          <w:tcPr>
            <w:tcW w:w="860" w:type="dxa"/>
            <w:gridSpan w:val="4"/>
            <w:vAlign w:val="bottom"/>
          </w:tcPr>
          <w:p w:rsidR="00CA5979" w:rsidRDefault="00D16239">
            <w:pPr>
              <w:ind w:left="3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mojeBonusy</w:t>
            </w: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6"/>
                <w:sz w:val="14"/>
                <w:szCs w:val="14"/>
              </w:rPr>
              <w:t>provést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Sodexo</w:t>
            </w:r>
          </w:p>
        </w:tc>
        <w:tc>
          <w:tcPr>
            <w:tcW w:w="880" w:type="dxa"/>
            <w:gridSpan w:val="4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vypořádá</w:t>
            </w:r>
          </w:p>
        </w:tc>
        <w:tc>
          <w:tcPr>
            <w:tcW w:w="500" w:type="dxa"/>
            <w:gridSpan w:val="2"/>
            <w:vAlign w:val="bottom"/>
          </w:tcPr>
          <w:p w:rsidR="00CA5979" w:rsidRDefault="00D16239">
            <w:pPr>
              <w:ind w:left="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vůči</w:t>
            </w:r>
          </w:p>
        </w:tc>
        <w:tc>
          <w:tcPr>
            <w:tcW w:w="740" w:type="dxa"/>
            <w:gridSpan w:val="2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Partnerovi.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období</w:t>
            </w:r>
          </w:p>
        </w:tc>
        <w:tc>
          <w:tcPr>
            <w:tcW w:w="1380" w:type="dxa"/>
            <w:gridSpan w:val="8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proběhne  fakturace</w:t>
            </w:r>
          </w:p>
        </w:tc>
        <w:tc>
          <w:tcPr>
            <w:tcW w:w="960" w:type="dxa"/>
            <w:gridSpan w:val="5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objednaných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gridSpan w:val="1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volbu způsobu využití přidělené částky.</w:t>
            </w: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60" w:type="dxa"/>
            <w:gridSpan w:val="5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Transakce   musí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proběhnout</w:t>
            </w:r>
          </w:p>
        </w:tc>
        <w:tc>
          <w:tcPr>
            <w:tcW w:w="740" w:type="dxa"/>
            <w:gridSpan w:val="2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 zákonné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Benefitů.  Cenu  Benefitů  objednaných  v</w:t>
            </w:r>
          </w:p>
        </w:tc>
        <w:tc>
          <w:tcPr>
            <w:tcW w:w="300" w:type="dxa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5.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gridSpan w:val="6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   ukončení</w:t>
            </w:r>
          </w:p>
        </w:tc>
        <w:tc>
          <w:tcPr>
            <w:tcW w:w="1860" w:type="dxa"/>
            <w:gridSpan w:val="8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příslušného   Zúčtovacího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měně České republiky.</w:t>
            </w: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průběhu  Zúčtovacího  období  hradí  Klient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období</w:t>
            </w:r>
          </w:p>
        </w:tc>
        <w:tc>
          <w:tcPr>
            <w:tcW w:w="1140" w:type="dxa"/>
            <w:gridSpan w:val="6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poskytne  Sodexo</w:t>
            </w:r>
          </w:p>
        </w:tc>
        <w:tc>
          <w:tcPr>
            <w:tcW w:w="1160" w:type="dxa"/>
            <w:gridSpan w:val="5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prostřednictvím</w:t>
            </w:r>
          </w:p>
        </w:tc>
        <w:tc>
          <w:tcPr>
            <w:tcW w:w="380" w:type="dxa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4.</w:t>
            </w: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Držitel  je  odpovědný  za  ochranu  PIN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bankovním převodem na základě proforma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0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3"/>
                <w:sz w:val="14"/>
                <w:szCs w:val="14"/>
              </w:rPr>
              <w:t>systému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500" w:type="dxa"/>
            <w:gridSpan w:val="7"/>
            <w:vAlign w:val="bottom"/>
          </w:tcPr>
          <w:p w:rsidR="00CA5979" w:rsidRDefault="00D16239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mojeBonusy  Klientovi</w:t>
            </w:r>
          </w:p>
        </w:tc>
        <w:tc>
          <w:tcPr>
            <w:tcW w:w="700" w:type="dxa"/>
            <w:gridSpan w:val="3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souhrnné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Elektronické karty. Sodexo neodpovídá za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faktury,  kterou  Sodexo  vystaví  Klientovi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3"/>
                <w:sz w:val="14"/>
                <w:szCs w:val="14"/>
              </w:rPr>
              <w:t>údaje</w:t>
            </w: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20" w:type="dxa"/>
            <w:gridSpan w:val="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3"/>
                <w:sz w:val="14"/>
                <w:szCs w:val="14"/>
              </w:rPr>
              <w:t>o volbě</w:t>
            </w:r>
          </w:p>
        </w:tc>
        <w:tc>
          <w:tcPr>
            <w:tcW w:w="920" w:type="dxa"/>
            <w:gridSpan w:val="4"/>
            <w:vAlign w:val="bottom"/>
          </w:tcPr>
          <w:p w:rsidR="00CA5979" w:rsidRDefault="00D16239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provedené</w:t>
            </w:r>
          </w:p>
        </w:tc>
        <w:tc>
          <w:tcPr>
            <w:tcW w:w="940" w:type="dxa"/>
            <w:gridSpan w:val="4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Beneficienty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škodu,</w:t>
            </w:r>
          </w:p>
        </w:tc>
        <w:tc>
          <w:tcPr>
            <w:tcW w:w="480" w:type="dxa"/>
            <w:gridSpan w:val="2"/>
            <w:vAlign w:val="bottom"/>
          </w:tcPr>
          <w:p w:rsidR="00CA5979" w:rsidRDefault="00D16239">
            <w:pPr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která</w:t>
            </w:r>
          </w:p>
        </w:tc>
        <w:tc>
          <w:tcPr>
            <w:tcW w:w="580" w:type="dxa"/>
            <w:gridSpan w:val="3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vznikne</w:t>
            </w:r>
          </w:p>
        </w:tc>
        <w:tc>
          <w:tcPr>
            <w:tcW w:w="1060" w:type="dxa"/>
            <w:gridSpan w:val="3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nedostatečnou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ihned</w:t>
            </w:r>
          </w:p>
        </w:tc>
        <w:tc>
          <w:tcPr>
            <w:tcW w:w="840" w:type="dxa"/>
            <w:gridSpan w:val="5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  skončení</w:t>
            </w:r>
          </w:p>
        </w:tc>
        <w:tc>
          <w:tcPr>
            <w:tcW w:w="820" w:type="dxa"/>
            <w:gridSpan w:val="5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Zúčtovacího</w:t>
            </w: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období.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 podobě Seznamu objednaných Benefitů.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ochranou PIN.</w:t>
            </w: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 úhradě</w:t>
            </w:r>
          </w:p>
        </w:tc>
        <w:tc>
          <w:tcPr>
            <w:tcW w:w="660" w:type="dxa"/>
            <w:gridSpan w:val="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proforma</w:t>
            </w: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80" w:type="dxa"/>
            <w:gridSpan w:val="2"/>
            <w:vAlign w:val="bottom"/>
          </w:tcPr>
          <w:p w:rsidR="00CA5979" w:rsidRDefault="00D16239">
            <w:pPr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6"/>
                <w:sz w:val="14"/>
                <w:szCs w:val="14"/>
              </w:rPr>
              <w:t>faktury</w:t>
            </w: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2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Sodexo</w:t>
            </w:r>
          </w:p>
        </w:tc>
        <w:tc>
          <w:tcPr>
            <w:tcW w:w="300" w:type="dxa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6.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 případě volby Benefitů zprostředkovaných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gridSpan w:val="10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následně vystaví řádnou fakturu.</w:t>
            </w: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Sodexo,  postupují  Strany  dle  Objednávky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gridSpan w:val="10"/>
            <w:vAlign w:val="bottom"/>
          </w:tcPr>
          <w:p w:rsidR="00CA5979" w:rsidRDefault="00D16239">
            <w:pPr>
              <w:ind w:left="194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14"/>
                <w:szCs w:val="14"/>
              </w:rPr>
              <w:t>XXI. PODMÍNKY SPRÁVY</w:t>
            </w: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5.</w:t>
            </w:r>
          </w:p>
        </w:tc>
        <w:tc>
          <w:tcPr>
            <w:tcW w:w="820" w:type="dxa"/>
            <w:gridSpan w:val="3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6"/>
                <w:sz w:val="14"/>
                <w:szCs w:val="14"/>
              </w:rPr>
              <w:t>Objednáním</w:t>
            </w:r>
          </w:p>
        </w:tc>
        <w:tc>
          <w:tcPr>
            <w:tcW w:w="560" w:type="dxa"/>
            <w:gridSpan w:val="3"/>
            <w:vAlign w:val="bottom"/>
          </w:tcPr>
          <w:p w:rsidR="00CA5979" w:rsidRDefault="00D16239">
            <w:pPr>
              <w:ind w:left="1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zboží</w:t>
            </w:r>
          </w:p>
        </w:tc>
        <w:tc>
          <w:tcPr>
            <w:tcW w:w="540" w:type="dxa"/>
            <w:gridSpan w:val="3"/>
            <w:vAlign w:val="bottom"/>
          </w:tcPr>
          <w:p w:rsidR="00CA5979" w:rsidRDefault="00D16239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a/nebo</w:t>
            </w:r>
          </w:p>
        </w:tc>
        <w:tc>
          <w:tcPr>
            <w:tcW w:w="520" w:type="dxa"/>
            <w:gridSpan w:val="4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služeb</w:t>
            </w:r>
          </w:p>
        </w:tc>
        <w:tc>
          <w:tcPr>
            <w:tcW w:w="440" w:type="dxa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přes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Klienta a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podle příslušných ustanovení části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systém  Cafeteria  vstupuje  Beneficient  do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4"/>
            <w:vAlign w:val="bottom"/>
          </w:tcPr>
          <w:p w:rsidR="00CA5979" w:rsidRDefault="00D16239">
            <w:pPr>
              <w:rPr>
                <w:rFonts w:ascii="Tahoma" w:eastAsia="Tahoma" w:hAnsi="Tahoma" w:cs="Tahoma"/>
                <w:w w:val="96"/>
                <w:sz w:val="14"/>
                <w:szCs w:val="14"/>
              </w:rPr>
            </w:pPr>
            <w:hyperlink w:anchor="page3">
              <w:r>
                <w:rPr>
                  <w:rFonts w:ascii="Tahoma" w:eastAsia="Tahoma" w:hAnsi="Tahoma" w:cs="Tahoma"/>
                  <w:w w:val="96"/>
                  <w:sz w:val="14"/>
                  <w:szCs w:val="14"/>
                </w:rPr>
                <w:t xml:space="preserve">B </w:t>
              </w:r>
            </w:hyperlink>
            <w:r>
              <w:rPr>
                <w:rFonts w:ascii="Tahoma" w:eastAsia="Tahoma" w:hAnsi="Tahoma" w:cs="Tahoma"/>
                <w:w w:val="96"/>
                <w:sz w:val="14"/>
                <w:szCs w:val="14"/>
              </w:rPr>
              <w:t xml:space="preserve">nebo </w:t>
            </w:r>
            <w:hyperlink w:anchor="page3">
              <w:r>
                <w:rPr>
                  <w:rFonts w:ascii="Tahoma" w:eastAsia="Tahoma" w:hAnsi="Tahoma" w:cs="Tahoma"/>
                  <w:w w:val="96"/>
                  <w:sz w:val="14"/>
                  <w:szCs w:val="14"/>
                </w:rPr>
                <w:t>C.</w:t>
              </w:r>
            </w:hyperlink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1.</w:t>
            </w: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V rámci  výkonu  správy  Elektronické  karty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smluvního vztahu s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Partnerem, který se řídí</w:t>
            </w:r>
          </w:p>
        </w:tc>
        <w:tc>
          <w:tcPr>
            <w:tcW w:w="300" w:type="dxa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7.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Ustanovení</w:t>
            </w:r>
          </w:p>
        </w:tc>
        <w:tc>
          <w:tcPr>
            <w:tcW w:w="420" w:type="dxa"/>
            <w:gridSpan w:val="2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VOP</w:t>
            </w:r>
          </w:p>
        </w:tc>
        <w:tc>
          <w:tcPr>
            <w:tcW w:w="860" w:type="dxa"/>
            <w:gridSpan w:val="4"/>
            <w:vAlign w:val="bottom"/>
          </w:tcPr>
          <w:p w:rsidR="00CA5979" w:rsidRDefault="00D16239">
            <w:pPr>
              <w:ind w:right="11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ohledně</w:t>
            </w:r>
          </w:p>
        </w:tc>
        <w:tc>
          <w:tcPr>
            <w:tcW w:w="700" w:type="dxa"/>
            <w:gridSpan w:val="3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systému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vydané  Klientovi  poskytuje  Sodexo  pro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obchodními</w:t>
            </w: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Align w:val="bottom"/>
          </w:tcPr>
          <w:p w:rsidR="00CA5979" w:rsidRDefault="00D16239">
            <w:pPr>
              <w:ind w:right="3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podmínkami</w:t>
            </w:r>
          </w:p>
        </w:tc>
        <w:tc>
          <w:tcPr>
            <w:tcW w:w="960" w:type="dxa"/>
            <w:gridSpan w:val="5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příslušného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mojeBonusy se přiměřeně použijí také pro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Klienta  služby  uvedené  v</w:t>
            </w:r>
            <w:r>
              <w:rPr>
                <w:rFonts w:ascii="Tahoma" w:eastAsia="Tahoma" w:hAnsi="Tahoma" w:cs="Tahoma"/>
                <w:color w:val="0000FF"/>
                <w:sz w:val="14"/>
                <w:szCs w:val="14"/>
              </w:rPr>
              <w:t xml:space="preserve">  </w:t>
            </w:r>
            <w:hyperlink r:id="rId25">
              <w:r>
                <w:rPr>
                  <w:rFonts w:ascii="Tahoma" w:eastAsia="Tahoma" w:hAnsi="Tahoma" w:cs="Tahoma"/>
                  <w:color w:val="0000FF"/>
                  <w:sz w:val="14"/>
                  <w:szCs w:val="14"/>
                  <w:u w:val="single"/>
                </w:rPr>
                <w:t>Podmínkách</w:t>
              </w:r>
            </w:hyperlink>
          </w:p>
        </w:tc>
      </w:tr>
      <w:tr w:rsidR="00CA5979">
        <w:trPr>
          <w:trHeight w:val="152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CA5979" w:rsidRDefault="00D16239">
            <w:pPr>
              <w:spacing w:line="152" w:lineRule="exact"/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Partnera.</w:t>
            </w: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spacing w:line="152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systém MujSwap s tím rozdílem, že systém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CA5979" w:rsidRDefault="00D16239">
            <w:pPr>
              <w:spacing w:line="152" w:lineRule="exact"/>
              <w:rPr>
                <w:rFonts w:ascii="Tahoma" w:eastAsia="Tahoma" w:hAnsi="Tahoma" w:cs="Tahoma"/>
                <w:color w:val="0000FF"/>
                <w:sz w:val="14"/>
                <w:szCs w:val="14"/>
              </w:rPr>
            </w:pPr>
            <w:hyperlink r:id="rId26">
              <w:r>
                <w:rPr>
                  <w:rFonts w:ascii="Tahoma" w:eastAsia="Tahoma" w:hAnsi="Tahoma" w:cs="Tahoma"/>
                  <w:color w:val="0000FF"/>
                  <w:sz w:val="14"/>
                  <w:szCs w:val="14"/>
                </w:rPr>
                <w:t>užívání</w:t>
              </w:r>
              <w:r>
                <w:rPr>
                  <w:rFonts w:ascii="Tahoma" w:eastAsia="Tahoma" w:hAnsi="Tahoma" w:cs="Tahoma"/>
                  <w:color w:val="000000"/>
                  <w:sz w:val="14"/>
                  <w:szCs w:val="14"/>
                </w:rPr>
                <w:t>.</w:t>
              </w:r>
            </w:hyperlink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</w:tr>
      <w:tr w:rsidR="00CA5979">
        <w:trPr>
          <w:trHeight w:val="166"/>
        </w:trPr>
        <w:tc>
          <w:tcPr>
            <w:tcW w:w="3080" w:type="dxa"/>
            <w:gridSpan w:val="15"/>
            <w:vAlign w:val="bottom"/>
          </w:tcPr>
          <w:p w:rsidR="00CA5979" w:rsidRDefault="00D16239">
            <w:pPr>
              <w:spacing w:line="167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6.   Benefity ve formě Poukázek Sodexo budou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spacing w:line="167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MujSwap  je  určen  pro  průběžný  </w:t>
            </w:r>
            <w:r>
              <w:rPr>
                <w:rFonts w:ascii="Tahoma" w:eastAsia="Tahoma" w:hAnsi="Tahoma" w:cs="Tahoma"/>
                <w:sz w:val="14"/>
                <w:szCs w:val="14"/>
              </w:rPr>
              <w:t>převod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tcBorders>
              <w:top w:val="single" w:sz="8" w:space="0" w:color="0000FF"/>
            </w:tcBorders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tcBorders>
              <w:top w:val="single" w:sz="8" w:space="0" w:color="0000FF"/>
            </w:tcBorders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dodány</w:t>
            </w:r>
          </w:p>
        </w:tc>
        <w:tc>
          <w:tcPr>
            <w:tcW w:w="280" w:type="dxa"/>
            <w:gridSpan w:val="2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</w:t>
            </w:r>
          </w:p>
        </w:tc>
        <w:tc>
          <w:tcPr>
            <w:tcW w:w="660" w:type="dxa"/>
            <w:gridSpan w:val="4"/>
            <w:vAlign w:val="bottom"/>
          </w:tcPr>
          <w:p w:rsidR="00CA5979" w:rsidRDefault="00D16239">
            <w:pPr>
              <w:ind w:left="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skončení</w:t>
            </w:r>
          </w:p>
        </w:tc>
        <w:tc>
          <w:tcPr>
            <w:tcW w:w="800" w:type="dxa"/>
            <w:gridSpan w:val="5"/>
            <w:vAlign w:val="bottom"/>
          </w:tcPr>
          <w:p w:rsidR="00CA5979" w:rsidRDefault="00D16239">
            <w:pPr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Zúčtovacího</w:t>
            </w:r>
          </w:p>
        </w:tc>
        <w:tc>
          <w:tcPr>
            <w:tcW w:w="600" w:type="dxa"/>
            <w:gridSpan w:val="2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období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části</w:t>
            </w:r>
          </w:p>
        </w:tc>
        <w:tc>
          <w:tcPr>
            <w:tcW w:w="480" w:type="dxa"/>
            <w:gridSpan w:val="4"/>
            <w:vAlign w:val="bottom"/>
          </w:tcPr>
          <w:p w:rsidR="00CA5979" w:rsidRDefault="00D16239">
            <w:pPr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mzdy</w:t>
            </w:r>
          </w:p>
        </w:tc>
        <w:tc>
          <w:tcPr>
            <w:tcW w:w="820" w:type="dxa"/>
            <w:gridSpan w:val="4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Beneficienta</w:t>
            </w:r>
          </w:p>
        </w:tc>
        <w:tc>
          <w:tcPr>
            <w:tcW w:w="220" w:type="dxa"/>
            <w:vAlign w:val="bottom"/>
          </w:tcPr>
          <w:p w:rsidR="00CA5979" w:rsidRDefault="00D16239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</w:t>
            </w:r>
          </w:p>
        </w:tc>
        <w:tc>
          <w:tcPr>
            <w:tcW w:w="240" w:type="dxa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87"/>
                <w:sz w:val="14"/>
                <w:szCs w:val="14"/>
              </w:rPr>
              <w:t>je</w:t>
            </w:r>
          </w:p>
        </w:tc>
        <w:tc>
          <w:tcPr>
            <w:tcW w:w="700" w:type="dxa"/>
            <w:gridSpan w:val="3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přístupný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CA5979" w:rsidRDefault="00D16239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8"/>
                <w:sz w:val="14"/>
                <w:szCs w:val="14"/>
              </w:rPr>
              <w:t>XXII. PLATNOST</w:t>
            </w: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920" w:type="dxa"/>
            <w:gridSpan w:val="9"/>
            <w:vAlign w:val="bottom"/>
          </w:tcPr>
          <w:p w:rsidR="00CA5979" w:rsidRDefault="00D16239">
            <w:pPr>
              <w:ind w:left="8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v souladu s článkem </w:t>
            </w:r>
            <w:hyperlink w:anchor="page3">
              <w:r>
                <w:rPr>
                  <w:rFonts w:ascii="Tahoma" w:eastAsia="Tahoma" w:hAnsi="Tahoma" w:cs="Tahoma"/>
                  <w:sz w:val="14"/>
                  <w:szCs w:val="14"/>
                </w:rPr>
                <w:t xml:space="preserve">XI. </w:t>
              </w:r>
            </w:hyperlink>
            <w:r>
              <w:rPr>
                <w:rFonts w:ascii="Tahoma" w:eastAsia="Tahoma" w:hAnsi="Tahoma" w:cs="Tahoma"/>
                <w:sz w:val="14"/>
                <w:szCs w:val="14"/>
              </w:rPr>
              <w:t>VOP.</w:t>
            </w: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kontinuálně.</w:t>
            </w: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68"/>
        </w:trPr>
        <w:tc>
          <w:tcPr>
            <w:tcW w:w="3080" w:type="dxa"/>
            <w:gridSpan w:val="15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7.   Nejde-li o  přímé  objednání </w:t>
            </w:r>
            <w:r>
              <w:rPr>
                <w:rFonts w:ascii="Tahoma" w:eastAsia="Tahoma" w:hAnsi="Tahoma" w:cs="Tahoma"/>
                <w:sz w:val="14"/>
                <w:szCs w:val="14"/>
              </w:rPr>
              <w:t>Beneficientem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1.</w:t>
            </w: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Elektronická  karta  vydaná  Klientovi  je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na  e-shopu  Partnera,  jsou  Objednávky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100" w:type="dxa"/>
            <w:gridSpan w:val="11"/>
            <w:vAlign w:val="bottom"/>
          </w:tcPr>
          <w:p w:rsidR="00CA5979" w:rsidRDefault="00D16239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14"/>
                <w:szCs w:val="14"/>
              </w:rPr>
              <w:t>E. ELEKTRONICKÉ KARTY</w:t>
            </w: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platná   po   dobu   do   Data   exspirace.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Benefitů</w:t>
            </w:r>
          </w:p>
        </w:tc>
        <w:tc>
          <w:tcPr>
            <w:tcW w:w="740" w:type="dxa"/>
            <w:gridSpan w:val="4"/>
            <w:vAlign w:val="bottom"/>
          </w:tcPr>
          <w:p w:rsidR="00CA5979" w:rsidRDefault="00D16239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 rámci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systému</w:t>
            </w: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Cafeteria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Standardní platnost Elektronické karty jsou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uskutečňovány ve prospěch Beneficientů ve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20" w:type="dxa"/>
            <w:gridSpan w:val="12"/>
            <w:vAlign w:val="bottom"/>
          </w:tcPr>
          <w:p w:rsidR="00CA5979" w:rsidRDefault="00D16239">
            <w:pPr>
              <w:ind w:left="9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XVII. OBECNÁ USTANOVENÍ</w:t>
            </w: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 roky.</w:t>
            </w: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smyslu § 1767 OZ. Ustanovení článku </w:t>
            </w:r>
            <w:hyperlink w:anchor="page2">
              <w:r>
                <w:rPr>
                  <w:rFonts w:ascii="Tahoma" w:eastAsia="Tahoma" w:hAnsi="Tahoma" w:cs="Tahoma"/>
                  <w:sz w:val="14"/>
                  <w:szCs w:val="14"/>
                </w:rPr>
                <w:t>IV.</w:t>
              </w:r>
            </w:hyperlink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80" w:type="dxa"/>
            <w:gridSpan w:val="12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2.   Sodexo se zavazuje informovat </w:t>
            </w:r>
            <w:r>
              <w:rPr>
                <w:rFonts w:ascii="Tahoma" w:eastAsia="Tahoma" w:hAnsi="Tahoma" w:cs="Tahoma"/>
                <w:sz w:val="14"/>
                <w:szCs w:val="14"/>
              </w:rPr>
              <w:t>Klienta ne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odst. </w:t>
            </w:r>
            <w:hyperlink w:anchor="page2">
              <w:r>
                <w:rPr>
                  <w:rFonts w:ascii="Tahoma" w:eastAsia="Tahoma" w:hAnsi="Tahoma" w:cs="Tahoma"/>
                  <w:sz w:val="14"/>
                  <w:szCs w:val="14"/>
                </w:rPr>
                <w:t xml:space="preserve">7 </w:t>
              </w:r>
            </w:hyperlink>
            <w:r>
              <w:rPr>
                <w:rFonts w:ascii="Tahoma" w:eastAsia="Tahoma" w:hAnsi="Tahoma" w:cs="Tahoma"/>
                <w:sz w:val="14"/>
                <w:szCs w:val="14"/>
              </w:rPr>
              <w:t>VOP se uplatní obdobně s výjimkou</w:t>
            </w:r>
          </w:p>
        </w:tc>
        <w:tc>
          <w:tcPr>
            <w:tcW w:w="3200" w:type="dxa"/>
            <w:gridSpan w:val="16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Právo Sodexo na provizi vzniká vždy okamžikem,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později než 30 dnů před Datem exspirace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povinnosti uhradit cenu za zboží a/ nebo</w:t>
            </w:r>
          </w:p>
        </w:tc>
        <w:tc>
          <w:tcPr>
            <w:tcW w:w="3200" w:type="dxa"/>
            <w:gridSpan w:val="16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kdy dojde k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řádné Objednávce Kreditu a/nebo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o blížícím</w:t>
            </w:r>
          </w:p>
        </w:tc>
        <w:tc>
          <w:tcPr>
            <w:tcW w:w="320" w:type="dxa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se</w:t>
            </w:r>
          </w:p>
        </w:tc>
        <w:tc>
          <w:tcPr>
            <w:tcW w:w="1060" w:type="dxa"/>
            <w:gridSpan w:val="5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Datu  exspirace.</w:t>
            </w:r>
          </w:p>
        </w:tc>
        <w:tc>
          <w:tcPr>
            <w:tcW w:w="740" w:type="dxa"/>
            <w:gridSpan w:val="2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Obdobně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službu, která zůstane povinností Sodexo, a</w:t>
            </w:r>
          </w:p>
        </w:tc>
        <w:tc>
          <w:tcPr>
            <w:tcW w:w="1340" w:type="dxa"/>
            <w:gridSpan w:val="8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Elektronické karty.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informuje  Sodexo  Držitele  před  Datem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 výjimkou</w:t>
            </w:r>
          </w:p>
        </w:tc>
        <w:tc>
          <w:tcPr>
            <w:tcW w:w="560" w:type="dxa"/>
            <w:gridSpan w:val="3"/>
            <w:vAlign w:val="bottom"/>
          </w:tcPr>
          <w:p w:rsidR="00CA5979" w:rsidRDefault="00D16239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nároků</w:t>
            </w:r>
          </w:p>
        </w:tc>
        <w:tc>
          <w:tcPr>
            <w:tcW w:w="100" w:type="dxa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5"/>
                <w:sz w:val="14"/>
                <w:szCs w:val="14"/>
              </w:rPr>
              <w:t>z</w:t>
            </w:r>
          </w:p>
        </w:tc>
        <w:tc>
          <w:tcPr>
            <w:tcW w:w="640" w:type="dxa"/>
            <w:gridSpan w:val="3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neplnění</w:t>
            </w: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5"/>
                <w:sz w:val="14"/>
                <w:szCs w:val="14"/>
              </w:rPr>
              <w:t>Partnera,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exspirace</w:t>
            </w: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 xml:space="preserve"> Kreditu a o výši takto exspirované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které bude moci uplatnit jak Beneficient, tak</w:t>
            </w:r>
          </w:p>
        </w:tc>
        <w:tc>
          <w:tcPr>
            <w:tcW w:w="3200" w:type="dxa"/>
            <w:gridSpan w:val="16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XVIII. PODMÍNKY VYDÁNÍ A AKTIVACE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části Kreditu.</w:t>
            </w: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Sodexo.</w:t>
            </w: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3.</w:t>
            </w: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Nezvolí-li  Klient  v  Přístupu  Klienta  jinak,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3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1.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  Klient</w:t>
            </w: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je</w:t>
            </w:r>
          </w:p>
        </w:tc>
        <w:tc>
          <w:tcPr>
            <w:tcW w:w="640" w:type="dxa"/>
            <w:gridSpan w:val="3"/>
            <w:vAlign w:val="bottom"/>
          </w:tcPr>
          <w:p w:rsidR="00CA5979" w:rsidRDefault="00D16239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oprávněn</w:t>
            </w:r>
          </w:p>
        </w:tc>
        <w:tc>
          <w:tcPr>
            <w:tcW w:w="1560" w:type="dxa"/>
            <w:gridSpan w:val="7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požadovat  po  Sodexo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Sodexo vystaví a doručí Klientovi nejpozději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80" w:type="dxa"/>
            <w:gridSpan w:val="12"/>
            <w:vAlign w:val="bottom"/>
          </w:tcPr>
          <w:p w:rsidR="00CA5979" w:rsidRDefault="00D16239">
            <w:pPr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8"/>
                <w:sz w:val="14"/>
                <w:szCs w:val="14"/>
              </w:rPr>
              <w:t>D. MOJEBONUSY, MUJSWAP</w:t>
            </w: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vydání jedné či více Elektronických karet,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týden   před   uplynutím   Data   exspirace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rFonts w:ascii="Tahoma" w:eastAsia="Tahoma" w:hAnsi="Tahoma" w:cs="Tahoma"/>
                <w:sz w:val="14"/>
                <w:szCs w:val="14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 to způsobem stanoveným v</w:t>
            </w:r>
            <w:r>
              <w:rPr>
                <w:rFonts w:ascii="Tahoma" w:eastAsia="Tahoma" w:hAnsi="Tahoma" w:cs="Tahoma"/>
                <w:color w:val="0000FF"/>
                <w:sz w:val="14"/>
                <w:szCs w:val="14"/>
              </w:rPr>
              <w:t xml:space="preserve"> </w:t>
            </w:r>
            <w:hyperlink r:id="rId27">
              <w:r>
                <w:rPr>
                  <w:rFonts w:ascii="Tahoma" w:eastAsia="Tahoma" w:hAnsi="Tahoma" w:cs="Tahoma"/>
                  <w:color w:val="0000FF"/>
                  <w:sz w:val="14"/>
                  <w:szCs w:val="14"/>
                  <w:u w:val="single"/>
                </w:rPr>
                <w:t>Podmínkách</w:t>
              </w:r>
            </w:hyperlink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gridSpan w:val="9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obnovené Elektronické karty.</w:t>
            </w: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54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2280" w:type="dxa"/>
            <w:gridSpan w:val="12"/>
            <w:vAlign w:val="bottom"/>
          </w:tcPr>
          <w:p w:rsidR="00CA5979" w:rsidRDefault="00D16239">
            <w:pPr>
              <w:spacing w:line="155" w:lineRule="exact"/>
              <w:ind w:left="21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14"/>
                <w:szCs w:val="14"/>
              </w:rPr>
              <w:t>XV. OBECNÁ USTANOVENÍ</w:t>
            </w: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3"/>
                <w:szCs w:val="13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spacing w:line="155" w:lineRule="exact"/>
              <w:rPr>
                <w:rFonts w:ascii="Tahoma" w:eastAsia="Tahoma" w:hAnsi="Tahoma" w:cs="Tahoma"/>
                <w:color w:val="0000FF"/>
                <w:sz w:val="14"/>
                <w:szCs w:val="14"/>
              </w:rPr>
            </w:pPr>
            <w:hyperlink r:id="rId28">
              <w:r>
                <w:rPr>
                  <w:rFonts w:ascii="Tahoma" w:eastAsia="Tahoma" w:hAnsi="Tahoma" w:cs="Tahoma"/>
                  <w:color w:val="0000FF"/>
                  <w:sz w:val="14"/>
                  <w:szCs w:val="14"/>
                </w:rPr>
                <w:t>užívání</w:t>
              </w:r>
              <w:r>
                <w:rPr>
                  <w:rFonts w:ascii="Tahoma" w:eastAsia="Tahoma" w:hAnsi="Tahoma" w:cs="Tahoma"/>
                  <w:color w:val="000000"/>
                  <w:sz w:val="14"/>
                  <w:szCs w:val="14"/>
                </w:rPr>
                <w:t xml:space="preserve">.  </w:t>
              </w:r>
            </w:hyperlink>
            <w:r>
              <w:rPr>
                <w:rFonts w:ascii="Tahoma" w:eastAsia="Tahoma" w:hAnsi="Tahoma" w:cs="Tahoma"/>
                <w:color w:val="000000"/>
                <w:sz w:val="14"/>
                <w:szCs w:val="14"/>
              </w:rPr>
              <w:t>Karty  jsou  vždy  vydávané  jako</w:t>
            </w:r>
          </w:p>
        </w:tc>
        <w:tc>
          <w:tcPr>
            <w:tcW w:w="380" w:type="dxa"/>
            <w:vAlign w:val="bottom"/>
          </w:tcPr>
          <w:p w:rsidR="00CA5979" w:rsidRDefault="00D16239">
            <w:pPr>
              <w:spacing w:line="155" w:lineRule="exact"/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4.</w:t>
            </w: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spacing w:line="155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Kredit na zrušené Elektronické kartě, která</w:t>
            </w:r>
          </w:p>
        </w:tc>
      </w:tr>
      <w:tr w:rsidR="00CA5979">
        <w:trPr>
          <w:trHeight w:val="20"/>
        </w:trPr>
        <w:tc>
          <w:tcPr>
            <w:tcW w:w="20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4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20" w:type="dxa"/>
            <w:gridSpan w:val="2"/>
            <w:shd w:val="clear" w:color="auto" w:fill="0000FF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20" w:type="dxa"/>
            <w:gridSpan w:val="4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0" w:type="dxa"/>
            <w:gridSpan w:val="9"/>
            <w:vAlign w:val="bottom"/>
          </w:tcPr>
          <w:p w:rsidR="00CA5979" w:rsidRDefault="00CA5979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CA5979">
        <w:trPr>
          <w:trHeight w:val="164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940" w:type="dxa"/>
            <w:gridSpan w:val="6"/>
            <w:vAlign w:val="bottom"/>
          </w:tcPr>
          <w:p w:rsidR="00CA5979" w:rsidRDefault="00D16239">
            <w:pPr>
              <w:spacing w:line="164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neaktivované.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spacing w:line="164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nebyla nahrazena obnovenou Elektronickou</w:t>
            </w:r>
          </w:p>
        </w:tc>
      </w:tr>
      <w:tr w:rsidR="00CA5979">
        <w:trPr>
          <w:trHeight w:val="170"/>
        </w:trPr>
        <w:tc>
          <w:tcPr>
            <w:tcW w:w="3080" w:type="dxa"/>
            <w:gridSpan w:val="15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1.   Sodexo poskytne k užívání Klientovi a jeho</w:t>
            </w:r>
          </w:p>
        </w:tc>
        <w:tc>
          <w:tcPr>
            <w:tcW w:w="900" w:type="dxa"/>
            <w:gridSpan w:val="5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2.   Veškerá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CA5979" w:rsidRDefault="00D16239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odpovědnost</w:t>
            </w:r>
          </w:p>
        </w:tc>
        <w:tc>
          <w:tcPr>
            <w:tcW w:w="1300" w:type="dxa"/>
            <w:gridSpan w:val="6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za   Elektronickou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kartou, se po třech měsících považuje za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zaměstnancům</w:t>
            </w: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4"/>
            <w:vAlign w:val="bottom"/>
          </w:tcPr>
          <w:p w:rsidR="00CA5979" w:rsidRDefault="00D16239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systém</w:t>
            </w:r>
          </w:p>
        </w:tc>
        <w:tc>
          <w:tcPr>
            <w:tcW w:w="960" w:type="dxa"/>
            <w:gridSpan w:val="5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mojeBonusy.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kartu</w:t>
            </w: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gridSpan w:val="2"/>
            <w:vAlign w:val="bottom"/>
          </w:tcPr>
          <w:p w:rsidR="00CA5979" w:rsidRDefault="00D16239">
            <w:pPr>
              <w:ind w:left="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</w:t>
            </w:r>
          </w:p>
        </w:tc>
        <w:tc>
          <w:tcPr>
            <w:tcW w:w="640" w:type="dxa"/>
            <w:gridSpan w:val="3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Kredit</w:t>
            </w:r>
          </w:p>
        </w:tc>
        <w:tc>
          <w:tcPr>
            <w:tcW w:w="620" w:type="dxa"/>
            <w:gridSpan w:val="3"/>
            <w:vAlign w:val="bottom"/>
          </w:tcPr>
          <w:p w:rsidR="00CA5979" w:rsidRDefault="00D16239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přechází</w:t>
            </w:r>
          </w:p>
        </w:tc>
        <w:tc>
          <w:tcPr>
            <w:tcW w:w="240" w:type="dxa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na</w:t>
            </w: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gridSpan w:val="2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Klienta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vyčerpaný a Klient nemá právo požadovat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Systém mojeBonusy umožní Klientovi a jeho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 okamžiku převzetí zásilky s Elektronickou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88"/>
                <w:sz w:val="14"/>
                <w:szCs w:val="14"/>
              </w:rPr>
              <w:t>poSodexojakoukolináhraduza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zaměstnancům</w:t>
            </w: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(Beneficientům)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kartou</w:t>
            </w:r>
            <w:r>
              <w:rPr>
                <w:rFonts w:ascii="Tahoma" w:eastAsia="Tahoma" w:hAnsi="Tahoma" w:cs="Tahoma"/>
                <w:sz w:val="14"/>
                <w:szCs w:val="14"/>
              </w:rPr>
              <w:t xml:space="preserve">   Klientem   (doručení   na   adresu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nevyčerpaný Kredit.</w:t>
            </w: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elektronickou cestou provádět rozhodnutí o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Klienta) nebo Držitelem (doručení na adresu</w:t>
            </w:r>
          </w:p>
        </w:tc>
        <w:tc>
          <w:tcPr>
            <w:tcW w:w="380" w:type="dxa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5.</w:t>
            </w: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Dobitím   Kreditu   nedochází  k   uzavření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výběru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gridSpan w:val="5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konkrétních</w:t>
            </w: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zaměstnaneckých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Držitele).</w:t>
            </w: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6"/>
                <w:sz w:val="14"/>
                <w:szCs w:val="14"/>
              </w:rPr>
              <w:t>smlouvy o účtu ve smyslu § 2670 a násl. OZ.</w:t>
            </w:r>
          </w:p>
        </w:tc>
      </w:tr>
      <w:tr w:rsidR="00CA5979">
        <w:trPr>
          <w:trHeight w:val="169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benefitů (ať již v naturální, nebo finanční</w:t>
            </w:r>
          </w:p>
        </w:tc>
        <w:tc>
          <w:tcPr>
            <w:tcW w:w="300" w:type="dxa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3.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Elektronická</w:t>
            </w:r>
          </w:p>
        </w:tc>
        <w:tc>
          <w:tcPr>
            <w:tcW w:w="1280" w:type="dxa"/>
            <w:gridSpan w:val="6"/>
            <w:vAlign w:val="bottom"/>
          </w:tcPr>
          <w:p w:rsidR="00CA5979" w:rsidRDefault="00D16239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karta  je  vydávána</w:t>
            </w:r>
          </w:p>
        </w:tc>
        <w:tc>
          <w:tcPr>
            <w:tcW w:w="700" w:type="dxa"/>
            <w:gridSpan w:val="3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s předem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Právo  čerpat  Kredit  je  časově  omezené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podobě)</w:t>
            </w:r>
          </w:p>
        </w:tc>
        <w:tc>
          <w:tcPr>
            <w:tcW w:w="540" w:type="dxa"/>
            <w:gridSpan w:val="3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v rámci</w:t>
            </w:r>
          </w:p>
        </w:tc>
        <w:tc>
          <w:tcPr>
            <w:tcW w:w="740" w:type="dxa"/>
            <w:gridSpan w:val="4"/>
            <w:vAlign w:val="bottom"/>
          </w:tcPr>
          <w:p w:rsidR="00CA5979" w:rsidRDefault="00D16239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rozpočtu</w:t>
            </w:r>
          </w:p>
        </w:tc>
        <w:tc>
          <w:tcPr>
            <w:tcW w:w="960" w:type="dxa"/>
            <w:gridSpan w:val="5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definovaného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nastavenými   limity,   </w:t>
            </w:r>
            <w:r>
              <w:rPr>
                <w:rFonts w:ascii="Tahoma" w:eastAsia="Tahoma" w:hAnsi="Tahoma" w:cs="Tahoma"/>
                <w:sz w:val="14"/>
                <w:szCs w:val="14"/>
              </w:rPr>
              <w:t>které   není   Klient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Datem exspirace Kreditu.</w:t>
            </w: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Klientem</w:t>
            </w:r>
          </w:p>
        </w:tc>
        <w:tc>
          <w:tcPr>
            <w:tcW w:w="380" w:type="dxa"/>
            <w:gridSpan w:val="2"/>
            <w:vAlign w:val="bottom"/>
          </w:tcPr>
          <w:p w:rsidR="00CA5979" w:rsidRDefault="00D16239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dle</w:t>
            </w: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preference</w:t>
            </w:r>
          </w:p>
        </w:tc>
        <w:tc>
          <w:tcPr>
            <w:tcW w:w="960" w:type="dxa"/>
            <w:gridSpan w:val="5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konkrétního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gridSpan w:val="7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oprávněn měnit.</w:t>
            </w: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Beneficienta.</w:t>
            </w: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ind w:right="212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14"/>
                <w:szCs w:val="14"/>
              </w:rPr>
              <w:t>XXIII. SOUVISEJÍCÍ PRÁVA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2.</w:t>
            </w: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 rámci Benefitů zprostředkovaných Sodexo</w:t>
            </w:r>
          </w:p>
        </w:tc>
        <w:tc>
          <w:tcPr>
            <w:tcW w:w="2880" w:type="dxa"/>
            <w:gridSpan w:val="15"/>
            <w:vAlign w:val="bottom"/>
          </w:tcPr>
          <w:p w:rsidR="00CA5979" w:rsidRDefault="00D16239">
            <w:pPr>
              <w:ind w:left="23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14"/>
                <w:szCs w:val="14"/>
              </w:rPr>
              <w:t>XIX.</w:t>
            </w:r>
            <w:r>
              <w:rPr>
                <w:rFonts w:ascii="Tahoma" w:eastAsia="Tahoma" w:hAnsi="Tahoma" w:cs="Tahoma"/>
                <w:b/>
                <w:bCs/>
                <w:w w:val="99"/>
                <w:sz w:val="14"/>
                <w:szCs w:val="14"/>
              </w:rPr>
              <w:t xml:space="preserve"> PODMÍNKY DOBÍJENÍ KREDITU</w:t>
            </w: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CA5979" w:rsidRDefault="00D16239">
            <w:pPr>
              <w:ind w:right="5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w w:val="99"/>
                <w:sz w:val="14"/>
                <w:szCs w:val="14"/>
              </w:rPr>
              <w:t>A POVINNOSTI</w:t>
            </w: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(Poukázky, Body v rámci systému Cafeteria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apod.)  slouží  systém  mojeBonusy  jako</w:t>
            </w:r>
          </w:p>
        </w:tc>
        <w:tc>
          <w:tcPr>
            <w:tcW w:w="3200" w:type="dxa"/>
            <w:gridSpan w:val="16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1.   Klient je oprávněn v rámci Přístupu Klienta</w:t>
            </w:r>
          </w:p>
        </w:tc>
        <w:tc>
          <w:tcPr>
            <w:tcW w:w="380" w:type="dxa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1.</w:t>
            </w: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 xml:space="preserve">Klient je povinen zajistit užívání </w:t>
            </w: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Elektronické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podklad  pro  generování  Objednávky  ze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požadovat po Sodexo navýšení Kreditu pro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karty</w:t>
            </w:r>
          </w:p>
        </w:tc>
        <w:tc>
          <w:tcPr>
            <w:tcW w:w="660" w:type="dxa"/>
            <w:gridSpan w:val="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 souladu</w:t>
            </w:r>
          </w:p>
        </w:tc>
        <w:tc>
          <w:tcPr>
            <w:tcW w:w="900" w:type="dxa"/>
            <w:gridSpan w:val="4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 podmínkami</w:t>
            </w:r>
          </w:p>
        </w:tc>
        <w:tc>
          <w:tcPr>
            <w:tcW w:w="740" w:type="dxa"/>
            <w:gridSpan w:val="2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uvedenými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20" w:type="dxa"/>
            <w:gridSpan w:val="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strany Klienta.</w:t>
            </w: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00" w:type="dxa"/>
            <w:gridSpan w:val="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6"/>
                <w:sz w:val="14"/>
                <w:szCs w:val="14"/>
              </w:rPr>
              <w:t>jednotlivé</w:t>
            </w:r>
          </w:p>
        </w:tc>
        <w:tc>
          <w:tcPr>
            <w:tcW w:w="900" w:type="dxa"/>
            <w:gridSpan w:val="4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Elektronické</w:t>
            </w:r>
          </w:p>
        </w:tc>
        <w:tc>
          <w:tcPr>
            <w:tcW w:w="360" w:type="dxa"/>
            <w:gridSpan w:val="2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6"/>
                <w:sz w:val="14"/>
                <w:szCs w:val="14"/>
              </w:rPr>
              <w:t>karty</w:t>
            </w:r>
          </w:p>
        </w:tc>
        <w:tc>
          <w:tcPr>
            <w:tcW w:w="940" w:type="dxa"/>
            <w:gridSpan w:val="4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i hromadně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ve VOP,</w:t>
            </w:r>
          </w:p>
        </w:tc>
        <w:tc>
          <w:tcPr>
            <w:tcW w:w="580" w:type="dxa"/>
            <w:gridSpan w:val="3"/>
            <w:vAlign w:val="bottom"/>
          </w:tcPr>
          <w:p w:rsidR="00CA5979" w:rsidRDefault="00D16239">
            <w:pPr>
              <w:ind w:left="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6"/>
                <w:sz w:val="14"/>
                <w:szCs w:val="14"/>
              </w:rPr>
              <w:t>zejména</w:t>
            </w:r>
          </w:p>
        </w:tc>
        <w:tc>
          <w:tcPr>
            <w:tcW w:w="300" w:type="dxa"/>
            <w:vAlign w:val="bottom"/>
          </w:tcPr>
          <w:p w:rsidR="00CA5979" w:rsidRDefault="00D16239">
            <w:pPr>
              <w:ind w:left="10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87"/>
                <w:sz w:val="14"/>
                <w:szCs w:val="14"/>
              </w:rPr>
              <w:t>je</w:t>
            </w:r>
          </w:p>
        </w:tc>
        <w:tc>
          <w:tcPr>
            <w:tcW w:w="700" w:type="dxa"/>
            <w:gridSpan w:val="3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povinen</w:t>
            </w:r>
          </w:p>
        </w:tc>
        <w:tc>
          <w:tcPr>
            <w:tcW w:w="560" w:type="dxa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6"/>
                <w:sz w:val="14"/>
                <w:szCs w:val="14"/>
              </w:rPr>
              <w:t>přijmout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3.</w:t>
            </w:r>
          </w:p>
        </w:tc>
        <w:tc>
          <w:tcPr>
            <w:tcW w:w="540" w:type="dxa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Sodexo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740" w:type="dxa"/>
            <w:gridSpan w:val="4"/>
            <w:vAlign w:val="bottom"/>
          </w:tcPr>
          <w:p w:rsidR="00CA5979" w:rsidRDefault="00D16239">
            <w:pPr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poskytuje</w:t>
            </w:r>
          </w:p>
        </w:tc>
        <w:tc>
          <w:tcPr>
            <w:tcW w:w="540" w:type="dxa"/>
            <w:gridSpan w:val="3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5"/>
                <w:sz w:val="14"/>
                <w:szCs w:val="14"/>
              </w:rPr>
              <w:t>Klientovi</w:t>
            </w:r>
          </w:p>
        </w:tc>
        <w:tc>
          <w:tcPr>
            <w:tcW w:w="960" w:type="dxa"/>
            <w:gridSpan w:val="5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nevýhradní,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  celé  portfolio,  a to  vždy  na  základě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700" w:type="dxa"/>
            <w:gridSpan w:val="11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veškerá  přiměřená  opatření  na  ochranu</w:t>
            </w: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3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teritoriálně</w:t>
            </w:r>
          </w:p>
        </w:tc>
        <w:tc>
          <w:tcPr>
            <w:tcW w:w="820" w:type="dxa"/>
            <w:gridSpan w:val="5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neomezené</w:t>
            </w:r>
          </w:p>
        </w:tc>
        <w:tc>
          <w:tcPr>
            <w:tcW w:w="800" w:type="dxa"/>
            <w:gridSpan w:val="5"/>
            <w:vAlign w:val="bottom"/>
          </w:tcPr>
          <w:p w:rsidR="00CA5979" w:rsidRDefault="00D16239">
            <w:pPr>
              <w:ind w:left="1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oprávnění</w:t>
            </w:r>
          </w:p>
        </w:tc>
        <w:tc>
          <w:tcPr>
            <w:tcW w:w="440" w:type="dxa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užít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40" w:type="dxa"/>
            <w:gridSpan w:val="7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7"/>
                <w:sz w:val="14"/>
                <w:szCs w:val="14"/>
              </w:rPr>
              <w:t>Objednávky Kreditu.</w:t>
            </w: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0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jejích</w:t>
            </w:r>
          </w:p>
        </w:tc>
        <w:tc>
          <w:tcPr>
            <w:tcW w:w="4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200" w:type="dxa"/>
            <w:gridSpan w:val="6"/>
            <w:vAlign w:val="bottom"/>
          </w:tcPr>
          <w:p w:rsidR="00CA5979" w:rsidRDefault="00D16239">
            <w:pPr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personalizovaných</w:t>
            </w:r>
          </w:p>
        </w:tc>
        <w:tc>
          <w:tcPr>
            <w:tcW w:w="1060" w:type="dxa"/>
            <w:gridSpan w:val="3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bezpečnostních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systém </w:t>
            </w:r>
            <w:r>
              <w:rPr>
                <w:rFonts w:ascii="Tahoma" w:eastAsia="Tahoma" w:hAnsi="Tahoma" w:cs="Tahoma"/>
                <w:sz w:val="14"/>
                <w:szCs w:val="14"/>
              </w:rPr>
              <w:t>mojeBonusy,  a to na dobu trvání</w:t>
            </w:r>
          </w:p>
        </w:tc>
        <w:tc>
          <w:tcPr>
            <w:tcW w:w="3200" w:type="dxa"/>
            <w:gridSpan w:val="16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2.   V rámci Objednávky Kreditu Klient zejména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960" w:type="dxa"/>
            <w:gridSpan w:val="9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prvků, a to i ze strany Držitelů.</w:t>
            </w: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majetkových  práv  Sodexo  k této  aplikaci.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stanoví, u jakých Elektronických karet má</w:t>
            </w:r>
          </w:p>
        </w:tc>
        <w:tc>
          <w:tcPr>
            <w:tcW w:w="380" w:type="dxa"/>
            <w:vAlign w:val="bottom"/>
          </w:tcPr>
          <w:p w:rsidR="00CA5979" w:rsidRDefault="00D16239">
            <w:pPr>
              <w:ind w:left="10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2.</w:t>
            </w:r>
          </w:p>
        </w:tc>
        <w:tc>
          <w:tcPr>
            <w:tcW w:w="1960" w:type="dxa"/>
            <w:gridSpan w:val="9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Sodexo odpovídá Klientovi za:</w:t>
            </w: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 xml:space="preserve">Klient je </w:t>
            </w:r>
            <w:r>
              <w:rPr>
                <w:rFonts w:ascii="Tahoma" w:eastAsia="Tahoma" w:hAnsi="Tahoma" w:cs="Tahoma"/>
                <w:sz w:val="14"/>
                <w:szCs w:val="14"/>
              </w:rPr>
              <w:t>oprávněn tuto licenci užít pro účely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480" w:type="dxa"/>
            <w:gridSpan w:val="1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být Kredit navýšen a o jakou hodnotu.</w:t>
            </w: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a. řádné</w:t>
            </w:r>
          </w:p>
        </w:tc>
        <w:tc>
          <w:tcPr>
            <w:tcW w:w="480" w:type="dxa"/>
            <w:gridSpan w:val="2"/>
            <w:vAlign w:val="bottom"/>
          </w:tcPr>
          <w:p w:rsidR="00CA5979" w:rsidRDefault="00D16239">
            <w:pPr>
              <w:ind w:left="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vydání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00" w:type="dxa"/>
            <w:gridSpan w:val="3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Elektronické</w:t>
            </w:r>
          </w:p>
        </w:tc>
        <w:tc>
          <w:tcPr>
            <w:tcW w:w="740" w:type="dxa"/>
            <w:gridSpan w:val="2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karty  dle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volby  formy  poskytnutí</w:t>
            </w:r>
          </w:p>
        </w:tc>
        <w:tc>
          <w:tcPr>
            <w:tcW w:w="1240" w:type="dxa"/>
            <w:gridSpan w:val="6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zaměstnaneckých</w:t>
            </w:r>
          </w:p>
        </w:tc>
        <w:tc>
          <w:tcPr>
            <w:tcW w:w="300" w:type="dxa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3.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40" w:type="dxa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Je-li</w:t>
            </w:r>
          </w:p>
        </w:tc>
        <w:tc>
          <w:tcPr>
            <w:tcW w:w="1300" w:type="dxa"/>
            <w:gridSpan w:val="8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Objednávka  Kreditu</w:t>
            </w:r>
          </w:p>
        </w:tc>
        <w:tc>
          <w:tcPr>
            <w:tcW w:w="580" w:type="dxa"/>
            <w:gridSpan w:val="3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řádná,</w:t>
            </w:r>
          </w:p>
        </w:tc>
        <w:tc>
          <w:tcPr>
            <w:tcW w:w="580" w:type="dxa"/>
            <w:gridSpan w:val="2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vystaví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160" w:type="dxa"/>
            <w:gridSpan w:val="10"/>
            <w:vAlign w:val="bottom"/>
          </w:tcPr>
          <w:p w:rsidR="00CA5979" w:rsidRDefault="00D16239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Objednávky Elektronické karty;</w:t>
            </w: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40" w:type="dxa"/>
            <w:gridSpan w:val="2"/>
            <w:vAlign w:val="bottom"/>
          </w:tcPr>
          <w:p w:rsidR="00CA5979" w:rsidRDefault="00D16239">
            <w:pPr>
              <w:spacing w:line="168" w:lineRule="exact"/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benefitů.</w:t>
            </w: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60" w:type="dxa"/>
            <w:gridSpan w:val="4"/>
            <w:vAlign w:val="bottom"/>
          </w:tcPr>
          <w:p w:rsidR="00CA5979" w:rsidRDefault="00D16239">
            <w:pPr>
              <w:spacing w:line="168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Udělením</w:t>
            </w:r>
          </w:p>
        </w:tc>
        <w:tc>
          <w:tcPr>
            <w:tcW w:w="640" w:type="dxa"/>
            <w:gridSpan w:val="3"/>
            <w:vAlign w:val="bottom"/>
          </w:tcPr>
          <w:p w:rsidR="00CA5979" w:rsidRDefault="00D16239">
            <w:pPr>
              <w:spacing w:line="168" w:lineRule="exact"/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licence</w:t>
            </w:r>
          </w:p>
        </w:tc>
        <w:tc>
          <w:tcPr>
            <w:tcW w:w="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680" w:type="dxa"/>
            <w:gridSpan w:val="3"/>
            <w:vAlign w:val="bottom"/>
          </w:tcPr>
          <w:p w:rsidR="00CA5979" w:rsidRDefault="00D16239">
            <w:pPr>
              <w:spacing w:line="168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nevzniká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spacing w:line="168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Sodexo   po   jejím   obdržení   Klientovi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CA5979" w:rsidRDefault="00D16239">
            <w:pPr>
              <w:spacing w:line="168" w:lineRule="exac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b. řádné</w:t>
            </w:r>
          </w:p>
        </w:tc>
        <w:tc>
          <w:tcPr>
            <w:tcW w:w="580" w:type="dxa"/>
            <w:gridSpan w:val="3"/>
            <w:vAlign w:val="bottom"/>
          </w:tcPr>
          <w:p w:rsidR="00CA5979" w:rsidRDefault="00D16239">
            <w:pPr>
              <w:spacing w:line="168" w:lineRule="exact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6"/>
                <w:sz w:val="14"/>
                <w:szCs w:val="14"/>
              </w:rPr>
              <w:t>navýšení</w:t>
            </w:r>
          </w:p>
        </w:tc>
        <w:tc>
          <w:tcPr>
            <w:tcW w:w="480" w:type="dxa"/>
            <w:gridSpan w:val="2"/>
            <w:vAlign w:val="bottom"/>
          </w:tcPr>
          <w:p w:rsidR="00CA5979" w:rsidRDefault="00D16239">
            <w:pPr>
              <w:spacing w:line="168" w:lineRule="exact"/>
              <w:ind w:left="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14"/>
                <w:szCs w:val="14"/>
              </w:rPr>
              <w:t>Kreditu</w:t>
            </w:r>
          </w:p>
        </w:tc>
        <w:tc>
          <w:tcPr>
            <w:tcW w:w="320" w:type="dxa"/>
            <w:vAlign w:val="bottom"/>
          </w:tcPr>
          <w:p w:rsidR="00CA5979" w:rsidRDefault="00D16239">
            <w:pPr>
              <w:spacing w:line="168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dle</w:t>
            </w:r>
          </w:p>
        </w:tc>
        <w:tc>
          <w:tcPr>
            <w:tcW w:w="740" w:type="dxa"/>
            <w:gridSpan w:val="2"/>
            <w:vAlign w:val="bottom"/>
          </w:tcPr>
          <w:p w:rsidR="00CA5979" w:rsidRDefault="00D16239">
            <w:pPr>
              <w:spacing w:line="168" w:lineRule="exact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6"/>
                <w:sz w:val="14"/>
                <w:szCs w:val="14"/>
              </w:rPr>
              <w:t>Objednávky</w:t>
            </w:r>
          </w:p>
        </w:tc>
      </w:tr>
      <w:tr w:rsidR="00CA5979">
        <w:trPr>
          <w:trHeight w:val="170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80" w:type="dxa"/>
            <w:gridSpan w:val="14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Klientovi k aplikaci mojeBonusy vlastnické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800" w:type="dxa"/>
            <w:gridSpan w:val="14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proforma   fakturu   na   zaplacení   částky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vAlign w:val="bottom"/>
          </w:tcPr>
          <w:p w:rsidR="00CA5979" w:rsidRDefault="00D16239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Kreditu; a</w:t>
            </w:r>
          </w:p>
        </w:tc>
        <w:tc>
          <w:tcPr>
            <w:tcW w:w="1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32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</w:tr>
      <w:tr w:rsidR="00CA5979">
        <w:trPr>
          <w:trHeight w:val="168"/>
        </w:trPr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40" w:type="dxa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nebo</w:t>
            </w:r>
          </w:p>
        </w:tc>
        <w:tc>
          <w:tcPr>
            <w:tcW w:w="48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jakékoli</w:t>
            </w:r>
          </w:p>
        </w:tc>
        <w:tc>
          <w:tcPr>
            <w:tcW w:w="360" w:type="dxa"/>
            <w:gridSpan w:val="2"/>
            <w:vAlign w:val="bottom"/>
          </w:tcPr>
          <w:p w:rsidR="00CA5979" w:rsidRDefault="00D16239">
            <w:pPr>
              <w:ind w:left="12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jiné</w:t>
            </w: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440" w:type="dxa"/>
            <w:gridSpan w:val="2"/>
            <w:vAlign w:val="bottom"/>
          </w:tcPr>
          <w:p w:rsidR="00CA5979" w:rsidRDefault="00D16239">
            <w:pPr>
              <w:ind w:left="4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právo</w:t>
            </w:r>
          </w:p>
        </w:tc>
        <w:tc>
          <w:tcPr>
            <w:tcW w:w="360" w:type="dxa"/>
            <w:gridSpan w:val="3"/>
            <w:vAlign w:val="bottom"/>
          </w:tcPr>
          <w:p w:rsidR="00CA5979" w:rsidRDefault="00D16239">
            <w:pPr>
              <w:ind w:left="8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nad</w:t>
            </w:r>
          </w:p>
        </w:tc>
        <w:tc>
          <w:tcPr>
            <w:tcW w:w="600" w:type="dxa"/>
            <w:gridSpan w:val="2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rámec</w:t>
            </w:r>
          </w:p>
        </w:tc>
        <w:tc>
          <w:tcPr>
            <w:tcW w:w="3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1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820" w:type="dxa"/>
            <w:gridSpan w:val="5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odpovídající</w:t>
            </w:r>
          </w:p>
        </w:tc>
        <w:tc>
          <w:tcPr>
            <w:tcW w:w="820" w:type="dxa"/>
            <w:gridSpan w:val="4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požadované</w:t>
            </w:r>
          </w:p>
        </w:tc>
        <w:tc>
          <w:tcPr>
            <w:tcW w:w="580" w:type="dxa"/>
            <w:gridSpan w:val="3"/>
            <w:vAlign w:val="bottom"/>
          </w:tcPr>
          <w:p w:rsidR="00CA5979" w:rsidRDefault="00D16239">
            <w:pPr>
              <w:jc w:val="center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hodnotě</w:t>
            </w:r>
          </w:p>
        </w:tc>
        <w:tc>
          <w:tcPr>
            <w:tcW w:w="580" w:type="dxa"/>
            <w:gridSpan w:val="2"/>
            <w:vAlign w:val="bottom"/>
          </w:tcPr>
          <w:p w:rsidR="00CA5979" w:rsidRDefault="00D16239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dobití</w:t>
            </w:r>
          </w:p>
        </w:tc>
        <w:tc>
          <w:tcPr>
            <w:tcW w:w="38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gridSpan w:val="3"/>
            <w:vAlign w:val="bottom"/>
          </w:tcPr>
          <w:p w:rsidR="00CA5979" w:rsidRDefault="00D16239">
            <w:pPr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c. řádné</w:t>
            </w:r>
          </w:p>
        </w:tc>
        <w:tc>
          <w:tcPr>
            <w:tcW w:w="880" w:type="dxa"/>
            <w:gridSpan w:val="4"/>
            <w:vAlign w:val="bottom"/>
          </w:tcPr>
          <w:p w:rsidR="00CA5979" w:rsidRDefault="00D16239">
            <w:pPr>
              <w:ind w:left="16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provedení</w:t>
            </w:r>
          </w:p>
        </w:tc>
        <w:tc>
          <w:tcPr>
            <w:tcW w:w="500" w:type="dxa"/>
            <w:gridSpan w:val="2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14"/>
                <w:szCs w:val="14"/>
              </w:rPr>
              <w:t>úhrad</w:t>
            </w:r>
          </w:p>
        </w:tc>
        <w:tc>
          <w:tcPr>
            <w:tcW w:w="200" w:type="dxa"/>
            <w:vAlign w:val="bottom"/>
          </w:tcPr>
          <w:p w:rsidR="00CA5979" w:rsidRDefault="00CA5979">
            <w:pPr>
              <w:rPr>
                <w:sz w:val="14"/>
                <w:szCs w:val="14"/>
              </w:rPr>
            </w:pPr>
          </w:p>
        </w:tc>
        <w:tc>
          <w:tcPr>
            <w:tcW w:w="560" w:type="dxa"/>
            <w:vAlign w:val="bottom"/>
          </w:tcPr>
          <w:p w:rsidR="00CA5979" w:rsidRDefault="00D16239">
            <w:pPr>
              <w:jc w:val="right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8"/>
                <w:sz w:val="14"/>
                <w:szCs w:val="14"/>
              </w:rPr>
              <w:t>Benefitů</w:t>
            </w:r>
          </w:p>
        </w:tc>
      </w:tr>
    </w:tbl>
    <w:p w:rsidR="00CA5979" w:rsidRDefault="00CA5979">
      <w:pPr>
        <w:spacing w:line="200" w:lineRule="exact"/>
        <w:rPr>
          <w:sz w:val="20"/>
          <w:szCs w:val="20"/>
        </w:rPr>
      </w:pPr>
    </w:p>
    <w:p w:rsidR="00CA5979" w:rsidRDefault="00CA5979">
      <w:pPr>
        <w:sectPr w:rsidR="00CA5979">
          <w:pgSz w:w="11900" w:h="16838"/>
          <w:pgMar w:top="706" w:right="1126" w:bottom="101" w:left="1420" w:header="0" w:footer="0" w:gutter="0"/>
          <w:cols w:space="708" w:equalWidth="0">
            <w:col w:w="9360"/>
          </w:cols>
        </w:sectPr>
      </w:pPr>
    </w:p>
    <w:p w:rsidR="00CA5979" w:rsidRDefault="00CA5979">
      <w:pPr>
        <w:spacing w:line="200" w:lineRule="exact"/>
        <w:rPr>
          <w:sz w:val="20"/>
          <w:szCs w:val="20"/>
        </w:rPr>
      </w:pPr>
    </w:p>
    <w:p w:rsidR="00CA5979" w:rsidRDefault="00CA5979">
      <w:pPr>
        <w:spacing w:line="317" w:lineRule="exact"/>
        <w:rPr>
          <w:sz w:val="20"/>
          <w:szCs w:val="20"/>
        </w:rPr>
      </w:pPr>
    </w:p>
    <w:p w:rsidR="00CA5979" w:rsidRDefault="00D16239">
      <w:pPr>
        <w:ind w:right="20"/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15"/>
          <w:szCs w:val="15"/>
        </w:rPr>
        <w:t>- 4 -</w:t>
      </w:r>
    </w:p>
    <w:p w:rsidR="00CA5979" w:rsidRDefault="00CA5979">
      <w:pPr>
        <w:sectPr w:rsidR="00CA5979">
          <w:type w:val="continuous"/>
          <w:pgSz w:w="11900" w:h="16838"/>
          <w:pgMar w:top="706" w:right="1126" w:bottom="101" w:left="1420" w:header="0" w:footer="0" w:gutter="0"/>
          <w:cols w:space="708" w:equalWidth="0">
            <w:col w:w="9360"/>
          </w:cols>
        </w:sectPr>
      </w:pPr>
    </w:p>
    <w:p w:rsidR="00CA5979" w:rsidRDefault="00D16239">
      <w:pPr>
        <w:ind w:left="8941"/>
        <w:rPr>
          <w:sz w:val="20"/>
          <w:szCs w:val="20"/>
        </w:rPr>
      </w:pPr>
      <w:bookmarkStart w:id="5" w:name="page5"/>
      <w:bookmarkEnd w:id="5"/>
      <w:r>
        <w:rPr>
          <w:rFonts w:ascii="Arial" w:eastAsia="Arial" w:hAnsi="Arial" w:cs="Arial"/>
          <w:sz w:val="11"/>
          <w:szCs w:val="11"/>
        </w:rPr>
        <w:t>C/02/12</w:t>
      </w:r>
    </w:p>
    <w:p w:rsidR="00CA5979" w:rsidRDefault="00CA5979">
      <w:pPr>
        <w:sectPr w:rsidR="00CA5979">
          <w:pgSz w:w="11900" w:h="16838"/>
          <w:pgMar w:top="714" w:right="1126" w:bottom="101" w:left="1419" w:header="0" w:footer="0" w:gutter="0"/>
          <w:cols w:space="708" w:equalWidth="0">
            <w:col w:w="9361"/>
          </w:cols>
        </w:sectPr>
      </w:pPr>
    </w:p>
    <w:p w:rsidR="00CA5979" w:rsidRDefault="00CA5979">
      <w:pPr>
        <w:spacing w:line="200" w:lineRule="exact"/>
        <w:rPr>
          <w:sz w:val="20"/>
          <w:szCs w:val="20"/>
        </w:rPr>
      </w:pPr>
    </w:p>
    <w:p w:rsidR="00CA5979" w:rsidRDefault="00CA5979">
      <w:pPr>
        <w:spacing w:line="376" w:lineRule="exact"/>
        <w:rPr>
          <w:sz w:val="20"/>
          <w:szCs w:val="20"/>
        </w:rPr>
      </w:pPr>
    </w:p>
    <w:p w:rsidR="00CA5979" w:rsidRDefault="00D16239">
      <w:pPr>
        <w:ind w:left="421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prostřednictvím Elektronické karty.</w:t>
      </w:r>
    </w:p>
    <w:p w:rsidR="00CA5979" w:rsidRDefault="00CA5979">
      <w:pPr>
        <w:spacing w:line="1" w:lineRule="exact"/>
        <w:rPr>
          <w:sz w:val="20"/>
          <w:szCs w:val="20"/>
        </w:rPr>
      </w:pPr>
    </w:p>
    <w:p w:rsidR="00CA5979" w:rsidRDefault="00D16239">
      <w:pPr>
        <w:spacing w:line="239" w:lineRule="auto"/>
        <w:ind w:left="281"/>
        <w:jc w:val="both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Je-li v tomto ohledu Klient přesvědčen o</w:t>
      </w:r>
      <w:r>
        <w:rPr>
          <w:rFonts w:ascii="Tahoma" w:eastAsia="Tahoma" w:hAnsi="Tahoma" w:cs="Tahoma"/>
          <w:sz w:val="14"/>
          <w:szCs w:val="14"/>
        </w:rPr>
        <w:t xml:space="preserve"> vadném plnění ze strany Sodexo, může vůči němu uplatnit reklamaci.</w:t>
      </w:r>
    </w:p>
    <w:p w:rsidR="00CA5979" w:rsidRDefault="00CA5979">
      <w:pPr>
        <w:spacing w:line="170" w:lineRule="exact"/>
        <w:rPr>
          <w:sz w:val="20"/>
          <w:szCs w:val="20"/>
        </w:rPr>
      </w:pPr>
    </w:p>
    <w:p w:rsidR="00CA5979" w:rsidRDefault="00D16239">
      <w:pPr>
        <w:numPr>
          <w:ilvl w:val="1"/>
          <w:numId w:val="31"/>
        </w:numPr>
        <w:tabs>
          <w:tab w:val="left" w:pos="1421"/>
        </w:tabs>
        <w:ind w:left="1421" w:hanging="176"/>
        <w:rPr>
          <w:rFonts w:ascii="Tahoma" w:eastAsia="Tahoma" w:hAnsi="Tahoma" w:cs="Tahoma"/>
          <w:b/>
          <w:bCs/>
          <w:sz w:val="14"/>
          <w:szCs w:val="14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MPC</w:t>
      </w:r>
    </w:p>
    <w:p w:rsidR="00CA5979" w:rsidRDefault="00CA5979">
      <w:pPr>
        <w:spacing w:line="171" w:lineRule="exact"/>
        <w:rPr>
          <w:rFonts w:ascii="Tahoma" w:eastAsia="Tahoma" w:hAnsi="Tahoma" w:cs="Tahoma"/>
          <w:b/>
          <w:bCs/>
          <w:sz w:val="14"/>
          <w:szCs w:val="14"/>
        </w:rPr>
      </w:pPr>
    </w:p>
    <w:p w:rsidR="00CA5979" w:rsidRDefault="00D16239">
      <w:pPr>
        <w:numPr>
          <w:ilvl w:val="0"/>
          <w:numId w:val="32"/>
        </w:numPr>
        <w:tabs>
          <w:tab w:val="left" w:pos="281"/>
        </w:tabs>
        <w:spacing w:line="239" w:lineRule="auto"/>
        <w:ind w:left="281" w:hanging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V případě, že MPC má funkce GPC či FPC, pak se ustanovení Smluvní dokumentace týkající se GPC či FPC uplatní obdobně na</w:t>
      </w:r>
    </w:p>
    <w:p w:rsidR="00CA5979" w:rsidRDefault="00D16239">
      <w:pPr>
        <w:ind w:left="281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MPC.</w:t>
      </w:r>
    </w:p>
    <w:p w:rsidR="00CA5979" w:rsidRDefault="00CA5979">
      <w:pPr>
        <w:spacing w:line="170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32"/>
        </w:numPr>
        <w:tabs>
          <w:tab w:val="left" w:pos="281"/>
        </w:tabs>
        <w:spacing w:line="239" w:lineRule="auto"/>
        <w:ind w:left="281" w:hanging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V případě, že MPC má funkce jak GPC, tak FPC zároveň, pa</w:t>
      </w:r>
      <w:r>
        <w:rPr>
          <w:rFonts w:ascii="Tahoma" w:eastAsia="Tahoma" w:hAnsi="Tahoma" w:cs="Tahoma"/>
          <w:sz w:val="14"/>
          <w:szCs w:val="14"/>
        </w:rPr>
        <w:t>k MPC funguje jako dva oddělené Produkty. To neplatí pro zablokování a odblokování, které je možné provést vždy pouze ve vztahu k MPC jako celku.</w:t>
      </w:r>
    </w:p>
    <w:p w:rsidR="00CA5979" w:rsidRDefault="00CA5979">
      <w:pPr>
        <w:spacing w:line="17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2"/>
          <w:numId w:val="32"/>
        </w:numPr>
        <w:tabs>
          <w:tab w:val="left" w:pos="1481"/>
        </w:tabs>
        <w:ind w:left="1481" w:hanging="188"/>
        <w:rPr>
          <w:rFonts w:ascii="Tahoma" w:eastAsia="Tahoma" w:hAnsi="Tahoma" w:cs="Tahoma"/>
          <w:b/>
          <w:bCs/>
          <w:sz w:val="14"/>
          <w:szCs w:val="14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AP</w:t>
      </w:r>
    </w:p>
    <w:p w:rsidR="00CA5979" w:rsidRDefault="00CA5979">
      <w:pPr>
        <w:spacing w:line="169" w:lineRule="exact"/>
        <w:rPr>
          <w:sz w:val="20"/>
          <w:szCs w:val="20"/>
        </w:rPr>
      </w:pPr>
    </w:p>
    <w:p w:rsidR="00CA5979" w:rsidRDefault="00D16239">
      <w:pPr>
        <w:ind w:left="1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3"/>
          <w:szCs w:val="13"/>
        </w:rPr>
        <w:t>XXIV. PODMÍNKY VYDÁNÍ A AKTIVACE AP</w:t>
      </w:r>
    </w:p>
    <w:p w:rsidR="00CA5979" w:rsidRDefault="00CA5979">
      <w:pPr>
        <w:spacing w:line="182" w:lineRule="exact"/>
        <w:rPr>
          <w:sz w:val="20"/>
          <w:szCs w:val="20"/>
        </w:rPr>
      </w:pPr>
    </w:p>
    <w:p w:rsidR="00CA5979" w:rsidRDefault="00D16239">
      <w:pPr>
        <w:numPr>
          <w:ilvl w:val="0"/>
          <w:numId w:val="33"/>
        </w:numPr>
        <w:tabs>
          <w:tab w:val="left" w:pos="281"/>
        </w:tabs>
        <w:spacing w:line="239" w:lineRule="auto"/>
        <w:ind w:left="281" w:hanging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Klient je oprávněn požadovat po Sodexo vydání jedné či více AP </w:t>
      </w:r>
      <w:r>
        <w:rPr>
          <w:rFonts w:ascii="Tahoma" w:eastAsia="Tahoma" w:hAnsi="Tahoma" w:cs="Tahoma"/>
          <w:sz w:val="14"/>
          <w:szCs w:val="14"/>
        </w:rPr>
        <w:t>karet, a to buď pro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1"/>
          <w:numId w:val="33"/>
        </w:numPr>
        <w:tabs>
          <w:tab w:val="left" w:pos="617"/>
        </w:tabs>
        <w:spacing w:line="239" w:lineRule="auto"/>
        <w:ind w:left="281" w:firstLine="2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zaměstnance Klienta, nebo (ii) partnerské osoby zaměstnance Klienta, kterými mohou být osoby příbuzné či sešvagřené, případně i osoby žijící se zaměstnancem Klienta v partnerském vztahu (dále jen „</w:t>
      </w:r>
      <w:r>
        <w:rPr>
          <w:rFonts w:ascii="Tahoma" w:eastAsia="Tahoma" w:hAnsi="Tahoma" w:cs="Tahoma"/>
          <w:b/>
          <w:bCs/>
          <w:sz w:val="14"/>
          <w:szCs w:val="14"/>
        </w:rPr>
        <w:t>Partnerská osoba</w:t>
      </w:r>
      <w:r>
        <w:rPr>
          <w:rFonts w:ascii="Tahoma" w:eastAsia="Tahoma" w:hAnsi="Tahoma" w:cs="Tahoma"/>
          <w:sz w:val="14"/>
          <w:szCs w:val="14"/>
        </w:rPr>
        <w:t>“). Sodexo má právo status Partnerské osoby posoudit s konečnou platností. Pro účely AP může zaměstnanec Klienta určit pouze jednu Partnerskou osobu.</w:t>
      </w:r>
    </w:p>
    <w:p w:rsidR="00CA5979" w:rsidRDefault="00CA5979">
      <w:pPr>
        <w:spacing w:line="6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33"/>
        </w:numPr>
        <w:tabs>
          <w:tab w:val="left" w:pos="281"/>
        </w:tabs>
        <w:spacing w:line="239" w:lineRule="auto"/>
        <w:ind w:left="281" w:hanging="281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AP karty jsou vždy vydávané jako neaktivované.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33"/>
        </w:numPr>
        <w:tabs>
          <w:tab w:val="left" w:pos="281"/>
        </w:tabs>
        <w:spacing w:line="239" w:lineRule="auto"/>
        <w:ind w:left="281" w:hanging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Veškerá odpovědnost za AP karty přechází na Klienta v oka</w:t>
      </w:r>
      <w:r>
        <w:rPr>
          <w:rFonts w:ascii="Tahoma" w:eastAsia="Tahoma" w:hAnsi="Tahoma" w:cs="Tahoma"/>
          <w:sz w:val="14"/>
          <w:szCs w:val="14"/>
        </w:rPr>
        <w:t>mžiku převzetí zásilky s AP kartami Klientem.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33"/>
        </w:numPr>
        <w:tabs>
          <w:tab w:val="left" w:pos="281"/>
        </w:tabs>
        <w:spacing w:line="239" w:lineRule="auto"/>
        <w:ind w:left="281" w:hanging="281"/>
        <w:jc w:val="both"/>
        <w:rPr>
          <w:rFonts w:ascii="Tahoma" w:eastAsia="Tahoma" w:hAnsi="Tahoma" w:cs="Tahoma"/>
          <w:color w:val="0000FF"/>
          <w:sz w:val="14"/>
          <w:szCs w:val="14"/>
          <w:u w:val="single"/>
        </w:rPr>
      </w:pPr>
      <w:r>
        <w:rPr>
          <w:rFonts w:ascii="Tahoma" w:eastAsia="Tahoma" w:hAnsi="Tahoma" w:cs="Tahoma"/>
          <w:sz w:val="14"/>
          <w:szCs w:val="14"/>
        </w:rPr>
        <w:t>Objednávky AP karet bude provádět Klient doručením objednávky AP karet Sodexo. Způsob objednání AP karet včetně lhůt pro jejich dodání je k nalezení v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hyperlink r:id="rId29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Podmínkách</w:t>
        </w:r>
      </w:hyperlink>
      <w:r>
        <w:rPr>
          <w:rFonts w:ascii="Tahoma" w:eastAsia="Tahoma" w:hAnsi="Tahoma" w:cs="Tahoma"/>
          <w:color w:val="0000FF"/>
          <w:sz w:val="14"/>
          <w:szCs w:val="14"/>
          <w:u w:val="single"/>
        </w:rPr>
        <w:t xml:space="preserve"> </w:t>
      </w:r>
      <w:hyperlink r:id="rId30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užívání</w:t>
        </w:r>
        <w:r>
          <w:rPr>
            <w:rFonts w:ascii="Tahoma" w:eastAsia="Tahoma" w:hAnsi="Tahoma" w:cs="Tahoma"/>
            <w:color w:val="000000"/>
            <w:sz w:val="14"/>
            <w:szCs w:val="14"/>
          </w:rPr>
          <w:t>.</w:t>
        </w:r>
      </w:hyperlink>
    </w:p>
    <w:p w:rsidR="00CA5979" w:rsidRDefault="00CA5979">
      <w:pPr>
        <w:spacing w:line="3" w:lineRule="exact"/>
        <w:rPr>
          <w:rFonts w:ascii="Tahoma" w:eastAsia="Tahoma" w:hAnsi="Tahoma" w:cs="Tahoma"/>
          <w:color w:val="0000FF"/>
          <w:sz w:val="14"/>
          <w:szCs w:val="14"/>
          <w:u w:val="single"/>
        </w:rPr>
      </w:pPr>
    </w:p>
    <w:p w:rsidR="00CA5979" w:rsidRDefault="00D16239">
      <w:pPr>
        <w:numPr>
          <w:ilvl w:val="0"/>
          <w:numId w:val="33"/>
        </w:numPr>
        <w:tabs>
          <w:tab w:val="left" w:pos="281"/>
        </w:tabs>
        <w:ind w:left="281" w:hanging="281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Sodexo se zavazuje po obdržení objednávky</w:t>
      </w:r>
    </w:p>
    <w:p w:rsidR="00CA5979" w:rsidRDefault="00CA5979">
      <w:pPr>
        <w:spacing w:line="13" w:lineRule="exact"/>
        <w:rPr>
          <w:rFonts w:ascii="Tahoma" w:eastAsia="Tahoma" w:hAnsi="Tahoma" w:cs="Tahoma"/>
          <w:sz w:val="13"/>
          <w:szCs w:val="13"/>
        </w:rPr>
      </w:pPr>
    </w:p>
    <w:p w:rsidR="00CA5979" w:rsidRDefault="00D16239">
      <w:pPr>
        <w:spacing w:line="239" w:lineRule="auto"/>
        <w:ind w:left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AP karet vystavit Klientovi elektronicky proforma fakturu splatnou ve lhůtě uvedené v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hyperlink r:id="rId31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Podmínkách užívání</w:t>
        </w:r>
        <w:r>
          <w:rPr>
            <w:rFonts w:ascii="Tahoma" w:eastAsia="Tahoma" w:hAnsi="Tahoma" w:cs="Tahoma"/>
            <w:sz w:val="14"/>
            <w:szCs w:val="14"/>
            <w:u w:val="single"/>
          </w:rPr>
          <w:t>.</w:t>
        </w:r>
      </w:hyperlink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33"/>
        </w:numPr>
        <w:tabs>
          <w:tab w:val="left" w:pos="281"/>
        </w:tabs>
        <w:spacing w:line="239" w:lineRule="auto"/>
        <w:ind w:left="281" w:hanging="281"/>
        <w:jc w:val="both"/>
        <w:rPr>
          <w:rFonts w:ascii="Tahoma" w:eastAsia="Tahoma" w:hAnsi="Tahoma" w:cs="Tahoma"/>
          <w:color w:val="0000FF"/>
          <w:sz w:val="14"/>
          <w:szCs w:val="14"/>
          <w:u w:val="single"/>
        </w:rPr>
      </w:pPr>
      <w:r>
        <w:rPr>
          <w:rFonts w:ascii="Tahoma" w:eastAsia="Tahoma" w:hAnsi="Tahoma" w:cs="Tahoma"/>
          <w:sz w:val="14"/>
          <w:szCs w:val="14"/>
        </w:rPr>
        <w:t>Podmínkou užití AP karty je její aktivace ze strany Sodexo postupem dle</w:t>
      </w:r>
      <w:r>
        <w:rPr>
          <w:rFonts w:ascii="Tahoma" w:eastAsia="Tahoma" w:hAnsi="Tahoma" w:cs="Tahoma"/>
          <w:color w:val="0000FF"/>
          <w:sz w:val="14"/>
          <w:szCs w:val="14"/>
        </w:rPr>
        <w:t xml:space="preserve"> </w:t>
      </w:r>
      <w:hyperlink r:id="rId32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Podmínkách</w:t>
        </w:r>
      </w:hyperlink>
      <w:r>
        <w:rPr>
          <w:rFonts w:ascii="Tahoma" w:eastAsia="Tahoma" w:hAnsi="Tahoma" w:cs="Tahoma"/>
          <w:color w:val="0000FF"/>
          <w:sz w:val="14"/>
          <w:szCs w:val="14"/>
          <w:u w:val="single"/>
        </w:rPr>
        <w:t xml:space="preserve"> </w:t>
      </w:r>
      <w:hyperlink r:id="rId33">
        <w:r>
          <w:rPr>
            <w:rFonts w:ascii="Tahoma" w:eastAsia="Tahoma" w:hAnsi="Tahoma" w:cs="Tahoma"/>
            <w:color w:val="0000FF"/>
            <w:sz w:val="14"/>
            <w:szCs w:val="14"/>
            <w:u w:val="single"/>
          </w:rPr>
          <w:t>užívání.</w:t>
        </w:r>
      </w:hyperlink>
    </w:p>
    <w:p w:rsidR="00CA5979" w:rsidRDefault="00CA5979">
      <w:pPr>
        <w:spacing w:line="1" w:lineRule="exact"/>
        <w:rPr>
          <w:rFonts w:ascii="Tahoma" w:eastAsia="Tahoma" w:hAnsi="Tahoma" w:cs="Tahoma"/>
          <w:color w:val="0000FF"/>
          <w:sz w:val="14"/>
          <w:szCs w:val="14"/>
          <w:u w:val="single"/>
        </w:rPr>
      </w:pPr>
    </w:p>
    <w:p w:rsidR="00CA5979" w:rsidRDefault="00D16239">
      <w:pPr>
        <w:numPr>
          <w:ilvl w:val="0"/>
          <w:numId w:val="33"/>
        </w:numPr>
        <w:tabs>
          <w:tab w:val="left" w:pos="281"/>
        </w:tabs>
        <w:spacing w:line="239" w:lineRule="auto"/>
        <w:ind w:left="281" w:hanging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AP karty jsou vydávány na předplacené období. Uplynutím předplaceného období končí možnost užívání AP karty.</w:t>
      </w:r>
    </w:p>
    <w:p w:rsidR="00CA5979" w:rsidRDefault="00CA5979">
      <w:pPr>
        <w:spacing w:line="17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8" w:lineRule="auto"/>
        <w:ind w:left="1" w:right="80"/>
        <w:jc w:val="center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XXV. POUŽÍVÁNÍ, BLOKACE A ZRUŠENÍ, OPRÁVNĚNÉ OSOBY</w:t>
      </w:r>
    </w:p>
    <w:p w:rsidR="00CA5979" w:rsidRDefault="00CA5979">
      <w:pPr>
        <w:spacing w:line="17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34"/>
        </w:numPr>
        <w:tabs>
          <w:tab w:val="left" w:pos="281"/>
        </w:tabs>
        <w:spacing w:line="238" w:lineRule="auto"/>
        <w:ind w:left="281" w:hanging="281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Ustanovení článku</w:t>
      </w:r>
      <w:r>
        <w:rPr>
          <w:rFonts w:ascii="Tahoma" w:eastAsia="Tahoma" w:hAnsi="Tahoma" w:cs="Tahoma"/>
          <w:sz w:val="14"/>
          <w:szCs w:val="14"/>
        </w:rPr>
        <w:t xml:space="preserve"> </w:t>
      </w:r>
      <w:hyperlink w:anchor="page4">
        <w:r>
          <w:rPr>
            <w:rFonts w:ascii="Tahoma" w:eastAsia="Tahoma" w:hAnsi="Tahoma" w:cs="Tahoma"/>
            <w:sz w:val="14"/>
            <w:szCs w:val="14"/>
          </w:rPr>
          <w:t xml:space="preserve">XX. </w:t>
        </w:r>
      </w:hyperlink>
      <w:r>
        <w:rPr>
          <w:rFonts w:ascii="Tahoma" w:eastAsia="Tahoma" w:hAnsi="Tahoma" w:cs="Tahoma"/>
          <w:sz w:val="14"/>
          <w:szCs w:val="14"/>
        </w:rPr>
        <w:t>odst. 1 se použije obdobně.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34"/>
        </w:numPr>
        <w:tabs>
          <w:tab w:val="left" w:pos="281"/>
        </w:tabs>
        <w:spacing w:line="239" w:lineRule="auto"/>
        <w:ind w:left="281" w:hanging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Každá z osob oprávněných k použití AP karty může AP kartu využít v jednom dni pouze k jednomu vstupu do jedné provozovny Partnera.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34"/>
        </w:numPr>
        <w:tabs>
          <w:tab w:val="left" w:pos="281"/>
        </w:tabs>
        <w:spacing w:line="239" w:lineRule="auto"/>
        <w:ind w:left="281" w:hanging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Klient předá Sodexo spolu s Objednávkou AP karet v písemné pod</w:t>
      </w:r>
      <w:r>
        <w:rPr>
          <w:rFonts w:ascii="Tahoma" w:eastAsia="Tahoma" w:hAnsi="Tahoma" w:cs="Tahoma"/>
          <w:sz w:val="14"/>
          <w:szCs w:val="14"/>
        </w:rPr>
        <w:t>obě přehled zaměstnanců Klienta a Partnerských osob oprávněných užívat AP karty. Klient je povinen na žádost Sodexo kdykoli doložit podklady, na základě kterých zařadil kteroukoli z osob do přehledu oprávněných osob.</w:t>
      </w:r>
    </w:p>
    <w:p w:rsidR="00CA5979" w:rsidRDefault="00CA5979">
      <w:pPr>
        <w:spacing w:line="7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34"/>
        </w:numPr>
        <w:tabs>
          <w:tab w:val="left" w:pos="281"/>
        </w:tabs>
        <w:spacing w:line="239" w:lineRule="auto"/>
        <w:ind w:left="281" w:hanging="281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V případě, že do přehledu oprávněných </w:t>
      </w:r>
      <w:r>
        <w:rPr>
          <w:rFonts w:ascii="Tahoma" w:eastAsia="Tahoma" w:hAnsi="Tahoma" w:cs="Tahoma"/>
          <w:sz w:val="14"/>
          <w:szCs w:val="14"/>
        </w:rPr>
        <w:t>osob zařadí Klient osoby, které nesplňují podmínky stanovené Sodexo, je Sodexo oprávněno účtovat Klientovi smluvní pokutu ve výši 10 000,- Kč (slovy: deset tisíc korun českých) za každou jednu osobu neoprávněně Klientem zařazenou do přehledu oprávněných os</w:t>
      </w:r>
      <w:r>
        <w:rPr>
          <w:rFonts w:ascii="Tahoma" w:eastAsia="Tahoma" w:hAnsi="Tahoma" w:cs="Tahoma"/>
          <w:sz w:val="14"/>
          <w:szCs w:val="14"/>
        </w:rPr>
        <w:t>ob. Splatnost smluvní pokuty činí 10 dnů ode dne</w:t>
      </w:r>
    </w:p>
    <w:p w:rsidR="00CA5979" w:rsidRDefault="00D16239">
      <w:pPr>
        <w:spacing w:line="20" w:lineRule="exact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br w:type="column"/>
      </w:r>
    </w:p>
    <w:p w:rsidR="00CA5979" w:rsidRDefault="00CA5979">
      <w:pPr>
        <w:spacing w:line="200" w:lineRule="exact"/>
        <w:rPr>
          <w:rFonts w:ascii="Tahoma" w:eastAsia="Tahoma" w:hAnsi="Tahoma" w:cs="Tahoma"/>
          <w:sz w:val="14"/>
          <w:szCs w:val="14"/>
        </w:rPr>
      </w:pPr>
    </w:p>
    <w:p w:rsidR="00CA5979" w:rsidRDefault="00CA5979">
      <w:pPr>
        <w:spacing w:line="356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left="289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doručení výzvy k uhrazení smluvní pokuty</w:t>
      </w:r>
    </w:p>
    <w:p w:rsidR="00CA5979" w:rsidRDefault="00D16239">
      <w:pPr>
        <w:ind w:left="289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Klientovi.</w:t>
      </w:r>
    </w:p>
    <w:p w:rsidR="00CA5979" w:rsidRDefault="00CA5979">
      <w:pPr>
        <w:spacing w:line="3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35"/>
        </w:numPr>
        <w:tabs>
          <w:tab w:val="left" w:pos="289"/>
        </w:tabs>
        <w:spacing w:line="259" w:lineRule="auto"/>
        <w:ind w:left="289" w:right="3200" w:hanging="289"/>
        <w:jc w:val="both"/>
        <w:rPr>
          <w:rFonts w:ascii="Tahoma" w:eastAsia="Tahoma" w:hAnsi="Tahoma" w:cs="Tahoma"/>
          <w:sz w:val="13"/>
          <w:szCs w:val="13"/>
        </w:rPr>
      </w:pPr>
      <w:r>
        <w:rPr>
          <w:rFonts w:ascii="Tahoma" w:eastAsia="Tahoma" w:hAnsi="Tahoma" w:cs="Tahoma"/>
          <w:sz w:val="13"/>
          <w:szCs w:val="13"/>
        </w:rPr>
        <w:t>V případě, že Klient a/nebo oprávněná osoba poruší povinnost zákazu obchodování s</w:t>
      </w:r>
      <w:r>
        <w:rPr>
          <w:rFonts w:ascii="Tahoma" w:eastAsia="Tahoma" w:hAnsi="Tahoma" w:cs="Tahoma"/>
          <w:sz w:val="13"/>
          <w:szCs w:val="13"/>
        </w:rPr>
        <w:t xml:space="preserve"> AP kartami příp. jakékoli formy jejich půjčování a distribuce třetím osobám, je Sodexo oprávněno účtovat Klientovi smluvní pokutu ve výši 50.000,- Kč (slovy: padesát tisíc korun českých), za každé jednotlivé porušení. Splatnost smluvní pokuty činí 10 dnů </w:t>
      </w:r>
      <w:r>
        <w:rPr>
          <w:rFonts w:ascii="Tahoma" w:eastAsia="Tahoma" w:hAnsi="Tahoma" w:cs="Tahoma"/>
          <w:sz w:val="13"/>
          <w:szCs w:val="13"/>
        </w:rPr>
        <w:t>ode dne doručení výzvy k uhrazení smluvní pokuty Klientovi.</w:t>
      </w:r>
    </w:p>
    <w:p w:rsidR="00CA5979" w:rsidRDefault="00CA5979">
      <w:pPr>
        <w:spacing w:line="16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left="529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XXVI. SOUVISEJÍCÍ PRÁVA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1"/>
          <w:numId w:val="36"/>
        </w:numPr>
        <w:tabs>
          <w:tab w:val="left" w:pos="1449"/>
        </w:tabs>
        <w:ind w:left="1449" w:hanging="138"/>
        <w:rPr>
          <w:rFonts w:ascii="Tahoma" w:eastAsia="Tahoma" w:hAnsi="Tahoma" w:cs="Tahoma"/>
          <w:b/>
          <w:bCs/>
          <w:sz w:val="14"/>
          <w:szCs w:val="14"/>
        </w:rPr>
      </w:pPr>
      <w:r>
        <w:rPr>
          <w:rFonts w:ascii="Tahoma" w:eastAsia="Tahoma" w:hAnsi="Tahoma" w:cs="Tahoma"/>
          <w:b/>
          <w:bCs/>
          <w:sz w:val="14"/>
          <w:szCs w:val="14"/>
        </w:rPr>
        <w:t>POVINNOSTI</w:t>
      </w:r>
    </w:p>
    <w:p w:rsidR="00CA5979" w:rsidRDefault="00CA5979">
      <w:pPr>
        <w:spacing w:line="168" w:lineRule="exact"/>
        <w:rPr>
          <w:rFonts w:ascii="Tahoma" w:eastAsia="Tahoma" w:hAnsi="Tahoma" w:cs="Tahoma"/>
          <w:b/>
          <w:bCs/>
          <w:sz w:val="14"/>
          <w:szCs w:val="14"/>
        </w:rPr>
      </w:pPr>
    </w:p>
    <w:p w:rsidR="00CA5979" w:rsidRDefault="00D16239">
      <w:pPr>
        <w:numPr>
          <w:ilvl w:val="0"/>
          <w:numId w:val="37"/>
        </w:numPr>
        <w:tabs>
          <w:tab w:val="left" w:pos="289"/>
        </w:tabs>
        <w:spacing w:line="239" w:lineRule="auto"/>
        <w:ind w:left="289" w:right="3200" w:hanging="289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Ustanovení článku </w:t>
      </w:r>
      <w:hyperlink w:anchor="page2">
        <w:r>
          <w:rPr>
            <w:rFonts w:ascii="Tahoma" w:eastAsia="Tahoma" w:hAnsi="Tahoma" w:cs="Tahoma"/>
            <w:sz w:val="14"/>
            <w:szCs w:val="14"/>
          </w:rPr>
          <w:t xml:space="preserve">IV. </w:t>
        </w:r>
      </w:hyperlink>
      <w:r>
        <w:rPr>
          <w:rFonts w:ascii="Tahoma" w:eastAsia="Tahoma" w:hAnsi="Tahoma" w:cs="Tahoma"/>
          <w:sz w:val="14"/>
          <w:szCs w:val="14"/>
        </w:rPr>
        <w:t xml:space="preserve">odst. </w:t>
      </w:r>
      <w:hyperlink w:anchor="page2">
        <w:r>
          <w:rPr>
            <w:rFonts w:ascii="Tahoma" w:eastAsia="Tahoma" w:hAnsi="Tahoma" w:cs="Tahoma"/>
            <w:sz w:val="14"/>
            <w:szCs w:val="14"/>
          </w:rPr>
          <w:t xml:space="preserve">5 </w:t>
        </w:r>
      </w:hyperlink>
      <w:r>
        <w:rPr>
          <w:rFonts w:ascii="Tahoma" w:eastAsia="Tahoma" w:hAnsi="Tahoma" w:cs="Tahoma"/>
          <w:sz w:val="14"/>
          <w:szCs w:val="14"/>
        </w:rPr>
        <w:t>VOP se použijí obdobně.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numPr>
          <w:ilvl w:val="0"/>
          <w:numId w:val="37"/>
        </w:numPr>
        <w:tabs>
          <w:tab w:val="left" w:pos="289"/>
        </w:tabs>
        <w:spacing w:line="239" w:lineRule="auto"/>
        <w:ind w:left="289" w:right="3200" w:hanging="289"/>
        <w:jc w:val="both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 xml:space="preserve">Ve vztahu k AP a pouze v rozsahu k AP Smlouva, </w:t>
      </w:r>
      <w:r>
        <w:rPr>
          <w:rFonts w:ascii="Tahoma" w:eastAsia="Tahoma" w:hAnsi="Tahoma" w:cs="Tahoma"/>
          <w:sz w:val="14"/>
          <w:szCs w:val="14"/>
        </w:rPr>
        <w:t>která byla jednou ze Stran vypovězena, skončí posledním dnem zaplaceného a nejdéle sjednaného období platnosti AP karty. Minimální délka výpovědní doby je však 1 měsíc.</w:t>
      </w:r>
    </w:p>
    <w:p w:rsidR="00CA5979" w:rsidRDefault="00CA5979">
      <w:pPr>
        <w:spacing w:line="342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spacing w:line="239" w:lineRule="auto"/>
        <w:ind w:left="289" w:right="3200"/>
        <w:rPr>
          <w:rFonts w:ascii="Tahoma" w:eastAsia="Tahoma" w:hAnsi="Tahoma" w:cs="Tahoma"/>
          <w:sz w:val="14"/>
          <w:szCs w:val="14"/>
        </w:rPr>
      </w:pPr>
      <w:r>
        <w:rPr>
          <w:rFonts w:ascii="Tahoma" w:eastAsia="Tahoma" w:hAnsi="Tahoma" w:cs="Tahoma"/>
          <w:sz w:val="14"/>
          <w:szCs w:val="14"/>
        </w:rPr>
        <w:t>Tyto VOP nabývají platnosti a účinnosti dnem 5.7.2020.</w:t>
      </w:r>
    </w:p>
    <w:p w:rsidR="00CA5979" w:rsidRDefault="00CA5979">
      <w:pPr>
        <w:spacing w:line="170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right="3200"/>
        <w:jc w:val="right"/>
        <w:rPr>
          <w:sz w:val="20"/>
          <w:szCs w:val="20"/>
        </w:rPr>
      </w:pPr>
      <w:r>
        <w:rPr>
          <w:rFonts w:ascii="Tahoma" w:eastAsia="Tahoma" w:hAnsi="Tahoma" w:cs="Tahoma"/>
          <w:sz w:val="14"/>
          <w:szCs w:val="14"/>
        </w:rPr>
        <w:t>V Praze dne 26.5.2020</w:t>
      </w:r>
    </w:p>
    <w:p w:rsidR="00CA5979" w:rsidRDefault="00CA5979">
      <w:pPr>
        <w:spacing w:line="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left="969"/>
        <w:rPr>
          <w:sz w:val="20"/>
          <w:szCs w:val="20"/>
        </w:rPr>
      </w:pPr>
      <w:r>
        <w:rPr>
          <w:rFonts w:ascii="Tahoma" w:eastAsia="Tahoma" w:hAnsi="Tahoma" w:cs="Tahoma"/>
          <w:sz w:val="13"/>
          <w:szCs w:val="13"/>
        </w:rPr>
        <w:t xml:space="preserve">Sodexo </w:t>
      </w:r>
      <w:r>
        <w:rPr>
          <w:rFonts w:ascii="Tahoma" w:eastAsia="Tahoma" w:hAnsi="Tahoma" w:cs="Tahoma"/>
          <w:sz w:val="13"/>
          <w:szCs w:val="13"/>
        </w:rPr>
        <w:t>Pass Česká republika a.s</w:t>
      </w:r>
    </w:p>
    <w:p w:rsidR="00CA5979" w:rsidRDefault="00CA5979">
      <w:pPr>
        <w:spacing w:line="8825" w:lineRule="exact"/>
        <w:rPr>
          <w:rFonts w:ascii="Tahoma" w:eastAsia="Tahoma" w:hAnsi="Tahoma" w:cs="Tahoma"/>
          <w:sz w:val="14"/>
          <w:szCs w:val="14"/>
        </w:rPr>
      </w:pPr>
    </w:p>
    <w:p w:rsidR="00CA5979" w:rsidRDefault="00CA5979">
      <w:pPr>
        <w:sectPr w:rsidR="00CA5979">
          <w:type w:val="continuous"/>
          <w:pgSz w:w="11900" w:h="16838"/>
          <w:pgMar w:top="714" w:right="1126" w:bottom="101" w:left="1419" w:header="0" w:footer="0" w:gutter="0"/>
          <w:cols w:num="2" w:space="708" w:equalWidth="0">
            <w:col w:w="2961" w:space="231"/>
            <w:col w:w="6169"/>
          </w:cols>
        </w:sectPr>
      </w:pPr>
    </w:p>
    <w:p w:rsidR="00CA5979" w:rsidRDefault="00CA5979">
      <w:pPr>
        <w:spacing w:line="200" w:lineRule="exact"/>
        <w:rPr>
          <w:rFonts w:ascii="Tahoma" w:eastAsia="Tahoma" w:hAnsi="Tahoma" w:cs="Tahoma"/>
          <w:sz w:val="14"/>
          <w:szCs w:val="14"/>
        </w:rPr>
      </w:pPr>
    </w:p>
    <w:p w:rsidR="00CA5979" w:rsidRDefault="00CA5979">
      <w:pPr>
        <w:spacing w:line="321" w:lineRule="exact"/>
        <w:rPr>
          <w:rFonts w:ascii="Tahoma" w:eastAsia="Tahoma" w:hAnsi="Tahoma" w:cs="Tahoma"/>
          <w:sz w:val="14"/>
          <w:szCs w:val="14"/>
        </w:rPr>
      </w:pPr>
    </w:p>
    <w:p w:rsidR="00CA5979" w:rsidRDefault="00D16239">
      <w:pPr>
        <w:ind w:right="19"/>
        <w:jc w:val="center"/>
        <w:rPr>
          <w:sz w:val="20"/>
          <w:szCs w:val="20"/>
        </w:rPr>
      </w:pPr>
      <w:r>
        <w:rPr>
          <w:rFonts w:ascii="Tahoma" w:eastAsia="Tahoma" w:hAnsi="Tahoma" w:cs="Tahoma"/>
          <w:sz w:val="15"/>
          <w:szCs w:val="15"/>
        </w:rPr>
        <w:t>- 5 -</w:t>
      </w:r>
    </w:p>
    <w:sectPr w:rsidR="00CA5979">
      <w:type w:val="continuous"/>
      <w:pgSz w:w="11900" w:h="16838"/>
      <w:pgMar w:top="714" w:right="1126" w:bottom="101" w:left="1419" w:header="0" w:footer="0" w:gutter="0"/>
      <w:cols w:space="708" w:equalWidth="0">
        <w:col w:w="936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1D82"/>
    <w:multiLevelType w:val="hybridMultilevel"/>
    <w:tmpl w:val="D018A610"/>
    <w:lvl w:ilvl="0" w:tplc="421457E4">
      <w:start w:val="1"/>
      <w:numFmt w:val="decimal"/>
      <w:lvlText w:val="%1."/>
      <w:lvlJc w:val="left"/>
    </w:lvl>
    <w:lvl w:ilvl="1" w:tplc="33188678">
      <w:numFmt w:val="decimal"/>
      <w:lvlText w:val=""/>
      <w:lvlJc w:val="left"/>
    </w:lvl>
    <w:lvl w:ilvl="2" w:tplc="2402E7A0">
      <w:numFmt w:val="decimal"/>
      <w:lvlText w:val=""/>
      <w:lvlJc w:val="left"/>
    </w:lvl>
    <w:lvl w:ilvl="3" w:tplc="6D18B6A6">
      <w:numFmt w:val="decimal"/>
      <w:lvlText w:val=""/>
      <w:lvlJc w:val="left"/>
    </w:lvl>
    <w:lvl w:ilvl="4" w:tplc="9514AE3C">
      <w:numFmt w:val="decimal"/>
      <w:lvlText w:val=""/>
      <w:lvlJc w:val="left"/>
    </w:lvl>
    <w:lvl w:ilvl="5" w:tplc="A6E632FC">
      <w:numFmt w:val="decimal"/>
      <w:lvlText w:val=""/>
      <w:lvlJc w:val="left"/>
    </w:lvl>
    <w:lvl w:ilvl="6" w:tplc="7D8A7AA2">
      <w:numFmt w:val="decimal"/>
      <w:lvlText w:val=""/>
      <w:lvlJc w:val="left"/>
    </w:lvl>
    <w:lvl w:ilvl="7" w:tplc="3B7686D6">
      <w:numFmt w:val="decimal"/>
      <w:lvlText w:val=""/>
      <w:lvlJc w:val="left"/>
    </w:lvl>
    <w:lvl w:ilvl="8" w:tplc="4224DD5C">
      <w:numFmt w:val="decimal"/>
      <w:lvlText w:val=""/>
      <w:lvlJc w:val="left"/>
    </w:lvl>
  </w:abstractNum>
  <w:abstractNum w:abstractNumId="1" w15:restartNumberingAfterBreak="0">
    <w:nsid w:val="05072367"/>
    <w:multiLevelType w:val="hybridMultilevel"/>
    <w:tmpl w:val="9ED4D216"/>
    <w:lvl w:ilvl="0" w:tplc="19728EF6">
      <w:start w:val="5"/>
      <w:numFmt w:val="decimal"/>
      <w:lvlText w:val="%1."/>
      <w:lvlJc w:val="left"/>
    </w:lvl>
    <w:lvl w:ilvl="1" w:tplc="087857BA">
      <w:numFmt w:val="decimal"/>
      <w:lvlText w:val=""/>
      <w:lvlJc w:val="left"/>
    </w:lvl>
    <w:lvl w:ilvl="2" w:tplc="DFCC2D04">
      <w:numFmt w:val="decimal"/>
      <w:lvlText w:val=""/>
      <w:lvlJc w:val="left"/>
    </w:lvl>
    <w:lvl w:ilvl="3" w:tplc="4BC2D142">
      <w:numFmt w:val="decimal"/>
      <w:lvlText w:val=""/>
      <w:lvlJc w:val="left"/>
    </w:lvl>
    <w:lvl w:ilvl="4" w:tplc="8364F5E2">
      <w:numFmt w:val="decimal"/>
      <w:lvlText w:val=""/>
      <w:lvlJc w:val="left"/>
    </w:lvl>
    <w:lvl w:ilvl="5" w:tplc="7AE055E0">
      <w:numFmt w:val="decimal"/>
      <w:lvlText w:val=""/>
      <w:lvlJc w:val="left"/>
    </w:lvl>
    <w:lvl w:ilvl="6" w:tplc="DA70BC56">
      <w:numFmt w:val="decimal"/>
      <w:lvlText w:val=""/>
      <w:lvlJc w:val="left"/>
    </w:lvl>
    <w:lvl w:ilvl="7" w:tplc="CD90A666">
      <w:numFmt w:val="decimal"/>
      <w:lvlText w:val=""/>
      <w:lvlJc w:val="left"/>
    </w:lvl>
    <w:lvl w:ilvl="8" w:tplc="0F06C0CA">
      <w:numFmt w:val="decimal"/>
      <w:lvlText w:val=""/>
      <w:lvlJc w:val="left"/>
    </w:lvl>
  </w:abstractNum>
  <w:abstractNum w:abstractNumId="2" w15:restartNumberingAfterBreak="0">
    <w:nsid w:val="08138641"/>
    <w:multiLevelType w:val="hybridMultilevel"/>
    <w:tmpl w:val="3C8AC8A4"/>
    <w:lvl w:ilvl="0" w:tplc="E1F03D00">
      <w:start w:val="2"/>
      <w:numFmt w:val="decimal"/>
      <w:lvlText w:val="%1."/>
      <w:lvlJc w:val="left"/>
    </w:lvl>
    <w:lvl w:ilvl="1" w:tplc="8954F566">
      <w:numFmt w:val="decimal"/>
      <w:lvlText w:val=""/>
      <w:lvlJc w:val="left"/>
    </w:lvl>
    <w:lvl w:ilvl="2" w:tplc="FBEE729E">
      <w:numFmt w:val="decimal"/>
      <w:lvlText w:val=""/>
      <w:lvlJc w:val="left"/>
    </w:lvl>
    <w:lvl w:ilvl="3" w:tplc="BC0A8696">
      <w:numFmt w:val="decimal"/>
      <w:lvlText w:val=""/>
      <w:lvlJc w:val="left"/>
    </w:lvl>
    <w:lvl w:ilvl="4" w:tplc="D2EE7CAE">
      <w:numFmt w:val="decimal"/>
      <w:lvlText w:val=""/>
      <w:lvlJc w:val="left"/>
    </w:lvl>
    <w:lvl w:ilvl="5" w:tplc="8C7E31FE">
      <w:numFmt w:val="decimal"/>
      <w:lvlText w:val=""/>
      <w:lvlJc w:val="left"/>
    </w:lvl>
    <w:lvl w:ilvl="6" w:tplc="60E6BC14">
      <w:numFmt w:val="decimal"/>
      <w:lvlText w:val=""/>
      <w:lvlJc w:val="left"/>
    </w:lvl>
    <w:lvl w:ilvl="7" w:tplc="BC34B0BA">
      <w:numFmt w:val="decimal"/>
      <w:lvlText w:val=""/>
      <w:lvlJc w:val="left"/>
    </w:lvl>
    <w:lvl w:ilvl="8" w:tplc="4A9A5C74">
      <w:numFmt w:val="decimal"/>
      <w:lvlText w:val=""/>
      <w:lvlJc w:val="left"/>
    </w:lvl>
  </w:abstractNum>
  <w:abstractNum w:abstractNumId="3" w15:restartNumberingAfterBreak="0">
    <w:nsid w:val="0836C40E"/>
    <w:multiLevelType w:val="hybridMultilevel"/>
    <w:tmpl w:val="79F08412"/>
    <w:lvl w:ilvl="0" w:tplc="112E6E0E">
      <w:start w:val="2"/>
      <w:numFmt w:val="upperLetter"/>
      <w:lvlText w:val="%1."/>
      <w:lvlJc w:val="left"/>
    </w:lvl>
    <w:lvl w:ilvl="1" w:tplc="A0044B6C">
      <w:numFmt w:val="decimal"/>
      <w:lvlText w:val=""/>
      <w:lvlJc w:val="left"/>
    </w:lvl>
    <w:lvl w:ilvl="2" w:tplc="D4405250">
      <w:numFmt w:val="decimal"/>
      <w:lvlText w:val=""/>
      <w:lvlJc w:val="left"/>
    </w:lvl>
    <w:lvl w:ilvl="3" w:tplc="1E588496">
      <w:numFmt w:val="decimal"/>
      <w:lvlText w:val=""/>
      <w:lvlJc w:val="left"/>
    </w:lvl>
    <w:lvl w:ilvl="4" w:tplc="F4529E30">
      <w:numFmt w:val="decimal"/>
      <w:lvlText w:val=""/>
      <w:lvlJc w:val="left"/>
    </w:lvl>
    <w:lvl w:ilvl="5" w:tplc="0D2CC66C">
      <w:numFmt w:val="decimal"/>
      <w:lvlText w:val=""/>
      <w:lvlJc w:val="left"/>
    </w:lvl>
    <w:lvl w:ilvl="6" w:tplc="C30A0604">
      <w:numFmt w:val="decimal"/>
      <w:lvlText w:val=""/>
      <w:lvlJc w:val="left"/>
    </w:lvl>
    <w:lvl w:ilvl="7" w:tplc="3F087EEA">
      <w:numFmt w:val="decimal"/>
      <w:lvlText w:val=""/>
      <w:lvlJc w:val="left"/>
    </w:lvl>
    <w:lvl w:ilvl="8" w:tplc="5238BF8C">
      <w:numFmt w:val="decimal"/>
      <w:lvlText w:val=""/>
      <w:lvlJc w:val="left"/>
    </w:lvl>
  </w:abstractNum>
  <w:abstractNum w:abstractNumId="4" w15:restartNumberingAfterBreak="0">
    <w:nsid w:val="08EDBDAB"/>
    <w:multiLevelType w:val="hybridMultilevel"/>
    <w:tmpl w:val="2CE265F8"/>
    <w:lvl w:ilvl="0" w:tplc="36A6F14A">
      <w:start w:val="1"/>
      <w:numFmt w:val="lowerRoman"/>
      <w:lvlText w:val="%1."/>
      <w:lvlJc w:val="left"/>
    </w:lvl>
    <w:lvl w:ilvl="1" w:tplc="48F6965C">
      <w:numFmt w:val="decimal"/>
      <w:lvlText w:val=""/>
      <w:lvlJc w:val="left"/>
    </w:lvl>
    <w:lvl w:ilvl="2" w:tplc="D806D54A">
      <w:numFmt w:val="decimal"/>
      <w:lvlText w:val=""/>
      <w:lvlJc w:val="left"/>
    </w:lvl>
    <w:lvl w:ilvl="3" w:tplc="15386464">
      <w:numFmt w:val="decimal"/>
      <w:lvlText w:val=""/>
      <w:lvlJc w:val="left"/>
    </w:lvl>
    <w:lvl w:ilvl="4" w:tplc="DDDA7D20">
      <w:numFmt w:val="decimal"/>
      <w:lvlText w:val=""/>
      <w:lvlJc w:val="left"/>
    </w:lvl>
    <w:lvl w:ilvl="5" w:tplc="D334124E">
      <w:numFmt w:val="decimal"/>
      <w:lvlText w:val=""/>
      <w:lvlJc w:val="left"/>
    </w:lvl>
    <w:lvl w:ilvl="6" w:tplc="95B6EE26">
      <w:numFmt w:val="decimal"/>
      <w:lvlText w:val=""/>
      <w:lvlJc w:val="left"/>
    </w:lvl>
    <w:lvl w:ilvl="7" w:tplc="E96A1E94">
      <w:numFmt w:val="decimal"/>
      <w:lvlText w:val=""/>
      <w:lvlJc w:val="left"/>
    </w:lvl>
    <w:lvl w:ilvl="8" w:tplc="89CCE336">
      <w:numFmt w:val="decimal"/>
      <w:lvlText w:val=""/>
      <w:lvlJc w:val="left"/>
    </w:lvl>
  </w:abstractNum>
  <w:abstractNum w:abstractNumId="5" w15:restartNumberingAfterBreak="0">
    <w:nsid w:val="0B03E0C6"/>
    <w:multiLevelType w:val="hybridMultilevel"/>
    <w:tmpl w:val="4E4C0A9A"/>
    <w:lvl w:ilvl="0" w:tplc="2DB60F82">
      <w:start w:val="1"/>
      <w:numFmt w:val="decimal"/>
      <w:lvlText w:val="%1"/>
      <w:lvlJc w:val="left"/>
    </w:lvl>
    <w:lvl w:ilvl="1" w:tplc="45C61646">
      <w:start w:val="1"/>
      <w:numFmt w:val="lowerRoman"/>
      <w:lvlText w:val="%2."/>
      <w:lvlJc w:val="left"/>
    </w:lvl>
    <w:lvl w:ilvl="2" w:tplc="E7ECEC1A">
      <w:start w:val="1"/>
      <w:numFmt w:val="lowerRoman"/>
      <w:lvlText w:val="(%3)"/>
      <w:lvlJc w:val="left"/>
    </w:lvl>
    <w:lvl w:ilvl="3" w:tplc="42FA0122">
      <w:numFmt w:val="decimal"/>
      <w:lvlText w:val=""/>
      <w:lvlJc w:val="left"/>
    </w:lvl>
    <w:lvl w:ilvl="4" w:tplc="DF0429A0">
      <w:numFmt w:val="decimal"/>
      <w:lvlText w:val=""/>
      <w:lvlJc w:val="left"/>
    </w:lvl>
    <w:lvl w:ilvl="5" w:tplc="3884AE02">
      <w:numFmt w:val="decimal"/>
      <w:lvlText w:val=""/>
      <w:lvlJc w:val="left"/>
    </w:lvl>
    <w:lvl w:ilvl="6" w:tplc="0A68B2BA">
      <w:numFmt w:val="decimal"/>
      <w:lvlText w:val=""/>
      <w:lvlJc w:val="left"/>
    </w:lvl>
    <w:lvl w:ilvl="7" w:tplc="F6FCA61C">
      <w:numFmt w:val="decimal"/>
      <w:lvlText w:val=""/>
      <w:lvlJc w:val="left"/>
    </w:lvl>
    <w:lvl w:ilvl="8" w:tplc="06E60242">
      <w:numFmt w:val="decimal"/>
      <w:lvlText w:val=""/>
      <w:lvlJc w:val="left"/>
    </w:lvl>
  </w:abstractNum>
  <w:abstractNum w:abstractNumId="6" w15:restartNumberingAfterBreak="0">
    <w:nsid w:val="189A769B"/>
    <w:multiLevelType w:val="hybridMultilevel"/>
    <w:tmpl w:val="F858E032"/>
    <w:lvl w:ilvl="0" w:tplc="67849B9A">
      <w:start w:val="1"/>
      <w:numFmt w:val="decimal"/>
      <w:lvlText w:val="%1"/>
      <w:lvlJc w:val="left"/>
    </w:lvl>
    <w:lvl w:ilvl="1" w:tplc="0DA6F99A">
      <w:start w:val="1"/>
      <w:numFmt w:val="lowerRoman"/>
      <w:lvlText w:val="%2"/>
      <w:lvlJc w:val="left"/>
    </w:lvl>
    <w:lvl w:ilvl="2" w:tplc="369C4D84">
      <w:start w:val="3"/>
      <w:numFmt w:val="lowerRoman"/>
      <w:lvlText w:val="(%3)"/>
      <w:lvlJc w:val="left"/>
    </w:lvl>
    <w:lvl w:ilvl="3" w:tplc="21366C44">
      <w:numFmt w:val="decimal"/>
      <w:lvlText w:val=""/>
      <w:lvlJc w:val="left"/>
    </w:lvl>
    <w:lvl w:ilvl="4" w:tplc="F078BD20">
      <w:numFmt w:val="decimal"/>
      <w:lvlText w:val=""/>
      <w:lvlJc w:val="left"/>
    </w:lvl>
    <w:lvl w:ilvl="5" w:tplc="E8FCAC3C">
      <w:numFmt w:val="decimal"/>
      <w:lvlText w:val=""/>
      <w:lvlJc w:val="left"/>
    </w:lvl>
    <w:lvl w:ilvl="6" w:tplc="EA14918C">
      <w:numFmt w:val="decimal"/>
      <w:lvlText w:val=""/>
      <w:lvlJc w:val="left"/>
    </w:lvl>
    <w:lvl w:ilvl="7" w:tplc="0BC4BE0A">
      <w:numFmt w:val="decimal"/>
      <w:lvlText w:val=""/>
      <w:lvlJc w:val="left"/>
    </w:lvl>
    <w:lvl w:ilvl="8" w:tplc="14FC8788">
      <w:numFmt w:val="decimal"/>
      <w:lvlText w:val=""/>
      <w:lvlJc w:val="left"/>
    </w:lvl>
  </w:abstractNum>
  <w:abstractNum w:abstractNumId="7" w15:restartNumberingAfterBreak="0">
    <w:nsid w:val="1E7FF521"/>
    <w:multiLevelType w:val="hybridMultilevel"/>
    <w:tmpl w:val="42F03F1C"/>
    <w:lvl w:ilvl="0" w:tplc="6EE859FA">
      <w:start w:val="2"/>
      <w:numFmt w:val="decimal"/>
      <w:lvlText w:val="%1."/>
      <w:lvlJc w:val="left"/>
    </w:lvl>
    <w:lvl w:ilvl="1" w:tplc="5FBAD7F4">
      <w:numFmt w:val="decimal"/>
      <w:lvlText w:val=""/>
      <w:lvlJc w:val="left"/>
    </w:lvl>
    <w:lvl w:ilvl="2" w:tplc="3B00D854">
      <w:numFmt w:val="decimal"/>
      <w:lvlText w:val=""/>
      <w:lvlJc w:val="left"/>
    </w:lvl>
    <w:lvl w:ilvl="3" w:tplc="C81ED42A">
      <w:numFmt w:val="decimal"/>
      <w:lvlText w:val=""/>
      <w:lvlJc w:val="left"/>
    </w:lvl>
    <w:lvl w:ilvl="4" w:tplc="C6DEDE52">
      <w:numFmt w:val="decimal"/>
      <w:lvlText w:val=""/>
      <w:lvlJc w:val="left"/>
    </w:lvl>
    <w:lvl w:ilvl="5" w:tplc="7BFCEF6A">
      <w:numFmt w:val="decimal"/>
      <w:lvlText w:val=""/>
      <w:lvlJc w:val="left"/>
    </w:lvl>
    <w:lvl w:ilvl="6" w:tplc="7F7AD8B8">
      <w:numFmt w:val="decimal"/>
      <w:lvlText w:val=""/>
      <w:lvlJc w:val="left"/>
    </w:lvl>
    <w:lvl w:ilvl="7" w:tplc="BA3C28D2">
      <w:numFmt w:val="decimal"/>
      <w:lvlText w:val=""/>
      <w:lvlJc w:val="left"/>
    </w:lvl>
    <w:lvl w:ilvl="8" w:tplc="7E2E2952">
      <w:numFmt w:val="decimal"/>
      <w:lvlText w:val=""/>
      <w:lvlJc w:val="left"/>
    </w:lvl>
  </w:abstractNum>
  <w:abstractNum w:abstractNumId="8" w15:restartNumberingAfterBreak="0">
    <w:nsid w:val="22221A70"/>
    <w:multiLevelType w:val="hybridMultilevel"/>
    <w:tmpl w:val="83140EB2"/>
    <w:lvl w:ilvl="0" w:tplc="36943A66">
      <w:start w:val="1"/>
      <w:numFmt w:val="decimal"/>
      <w:lvlText w:val="%1."/>
      <w:lvlJc w:val="left"/>
    </w:lvl>
    <w:lvl w:ilvl="1" w:tplc="E8B291AC">
      <w:numFmt w:val="decimal"/>
      <w:lvlText w:val=""/>
      <w:lvlJc w:val="left"/>
    </w:lvl>
    <w:lvl w:ilvl="2" w:tplc="01742172">
      <w:numFmt w:val="decimal"/>
      <w:lvlText w:val=""/>
      <w:lvlJc w:val="left"/>
    </w:lvl>
    <w:lvl w:ilvl="3" w:tplc="767A97AC">
      <w:numFmt w:val="decimal"/>
      <w:lvlText w:val=""/>
      <w:lvlJc w:val="left"/>
    </w:lvl>
    <w:lvl w:ilvl="4" w:tplc="3AE48F24">
      <w:numFmt w:val="decimal"/>
      <w:lvlText w:val=""/>
      <w:lvlJc w:val="left"/>
    </w:lvl>
    <w:lvl w:ilvl="5" w:tplc="EC4829B8">
      <w:numFmt w:val="decimal"/>
      <w:lvlText w:val=""/>
      <w:lvlJc w:val="left"/>
    </w:lvl>
    <w:lvl w:ilvl="6" w:tplc="E0B6665C">
      <w:numFmt w:val="decimal"/>
      <w:lvlText w:val=""/>
      <w:lvlJc w:val="left"/>
    </w:lvl>
    <w:lvl w:ilvl="7" w:tplc="461E560E">
      <w:numFmt w:val="decimal"/>
      <w:lvlText w:val=""/>
      <w:lvlJc w:val="left"/>
    </w:lvl>
    <w:lvl w:ilvl="8" w:tplc="CEB8E2C6">
      <w:numFmt w:val="decimal"/>
      <w:lvlText w:val=""/>
      <w:lvlJc w:val="left"/>
    </w:lvl>
  </w:abstractNum>
  <w:abstractNum w:abstractNumId="9" w15:restartNumberingAfterBreak="0">
    <w:nsid w:val="2443A858"/>
    <w:multiLevelType w:val="hybridMultilevel"/>
    <w:tmpl w:val="5652DD7C"/>
    <w:lvl w:ilvl="0" w:tplc="7CA6928E">
      <w:start w:val="1"/>
      <w:numFmt w:val="decimal"/>
      <w:lvlText w:val="%1."/>
      <w:lvlJc w:val="left"/>
    </w:lvl>
    <w:lvl w:ilvl="1" w:tplc="F52647DA">
      <w:numFmt w:val="decimal"/>
      <w:lvlText w:val=""/>
      <w:lvlJc w:val="left"/>
    </w:lvl>
    <w:lvl w:ilvl="2" w:tplc="F3C20176">
      <w:numFmt w:val="decimal"/>
      <w:lvlText w:val=""/>
      <w:lvlJc w:val="left"/>
    </w:lvl>
    <w:lvl w:ilvl="3" w:tplc="5E7E7868">
      <w:numFmt w:val="decimal"/>
      <w:lvlText w:val=""/>
      <w:lvlJc w:val="left"/>
    </w:lvl>
    <w:lvl w:ilvl="4" w:tplc="BEF445BC">
      <w:numFmt w:val="decimal"/>
      <w:lvlText w:val=""/>
      <w:lvlJc w:val="left"/>
    </w:lvl>
    <w:lvl w:ilvl="5" w:tplc="9BC45E4C">
      <w:numFmt w:val="decimal"/>
      <w:lvlText w:val=""/>
      <w:lvlJc w:val="left"/>
    </w:lvl>
    <w:lvl w:ilvl="6" w:tplc="17FEBB12">
      <w:numFmt w:val="decimal"/>
      <w:lvlText w:val=""/>
      <w:lvlJc w:val="left"/>
    </w:lvl>
    <w:lvl w:ilvl="7" w:tplc="4D9A927E">
      <w:numFmt w:val="decimal"/>
      <w:lvlText w:val=""/>
      <w:lvlJc w:val="left"/>
    </w:lvl>
    <w:lvl w:ilvl="8" w:tplc="704ED5E2">
      <w:numFmt w:val="decimal"/>
      <w:lvlText w:val=""/>
      <w:lvlJc w:val="left"/>
    </w:lvl>
  </w:abstractNum>
  <w:abstractNum w:abstractNumId="10" w15:restartNumberingAfterBreak="0">
    <w:nsid w:val="257130A3"/>
    <w:multiLevelType w:val="hybridMultilevel"/>
    <w:tmpl w:val="15CC8300"/>
    <w:lvl w:ilvl="0" w:tplc="1B90B096">
      <w:start w:val="1"/>
      <w:numFmt w:val="decimal"/>
      <w:lvlText w:val="%1"/>
      <w:lvlJc w:val="left"/>
    </w:lvl>
    <w:lvl w:ilvl="1" w:tplc="FB940702">
      <w:start w:val="61"/>
      <w:numFmt w:val="upperLetter"/>
      <w:lvlText w:val="%2."/>
      <w:lvlJc w:val="left"/>
    </w:lvl>
    <w:lvl w:ilvl="2" w:tplc="5576E138">
      <w:numFmt w:val="decimal"/>
      <w:lvlText w:val=""/>
      <w:lvlJc w:val="left"/>
    </w:lvl>
    <w:lvl w:ilvl="3" w:tplc="E544F9AC">
      <w:numFmt w:val="decimal"/>
      <w:lvlText w:val=""/>
      <w:lvlJc w:val="left"/>
    </w:lvl>
    <w:lvl w:ilvl="4" w:tplc="F19485BC">
      <w:numFmt w:val="decimal"/>
      <w:lvlText w:val=""/>
      <w:lvlJc w:val="left"/>
    </w:lvl>
    <w:lvl w:ilvl="5" w:tplc="DC486734">
      <w:numFmt w:val="decimal"/>
      <w:lvlText w:val=""/>
      <w:lvlJc w:val="left"/>
    </w:lvl>
    <w:lvl w:ilvl="6" w:tplc="B5EA484A">
      <w:numFmt w:val="decimal"/>
      <w:lvlText w:val=""/>
      <w:lvlJc w:val="left"/>
    </w:lvl>
    <w:lvl w:ilvl="7" w:tplc="B276CC98">
      <w:numFmt w:val="decimal"/>
      <w:lvlText w:val=""/>
      <w:lvlJc w:val="left"/>
    </w:lvl>
    <w:lvl w:ilvl="8" w:tplc="6F302656">
      <w:numFmt w:val="decimal"/>
      <w:lvlText w:val=""/>
      <w:lvlJc w:val="left"/>
    </w:lvl>
  </w:abstractNum>
  <w:abstractNum w:abstractNumId="11" w15:restartNumberingAfterBreak="0">
    <w:nsid w:val="2CA88611"/>
    <w:multiLevelType w:val="hybridMultilevel"/>
    <w:tmpl w:val="40A8DA68"/>
    <w:lvl w:ilvl="0" w:tplc="4A9EFCB6">
      <w:start w:val="10"/>
      <w:numFmt w:val="decimal"/>
      <w:lvlText w:val="%1."/>
      <w:lvlJc w:val="left"/>
    </w:lvl>
    <w:lvl w:ilvl="1" w:tplc="7CCE8AE6">
      <w:numFmt w:val="decimal"/>
      <w:lvlText w:val=""/>
      <w:lvlJc w:val="left"/>
    </w:lvl>
    <w:lvl w:ilvl="2" w:tplc="0F12A942">
      <w:numFmt w:val="decimal"/>
      <w:lvlText w:val=""/>
      <w:lvlJc w:val="left"/>
    </w:lvl>
    <w:lvl w:ilvl="3" w:tplc="D286F28A">
      <w:numFmt w:val="decimal"/>
      <w:lvlText w:val=""/>
      <w:lvlJc w:val="left"/>
    </w:lvl>
    <w:lvl w:ilvl="4" w:tplc="1CB21C6C">
      <w:numFmt w:val="decimal"/>
      <w:lvlText w:val=""/>
      <w:lvlJc w:val="left"/>
    </w:lvl>
    <w:lvl w:ilvl="5" w:tplc="CBA65C84">
      <w:numFmt w:val="decimal"/>
      <w:lvlText w:val=""/>
      <w:lvlJc w:val="left"/>
    </w:lvl>
    <w:lvl w:ilvl="6" w:tplc="ACC0C486">
      <w:numFmt w:val="decimal"/>
      <w:lvlText w:val=""/>
      <w:lvlJc w:val="left"/>
    </w:lvl>
    <w:lvl w:ilvl="7" w:tplc="C6F8A058">
      <w:numFmt w:val="decimal"/>
      <w:lvlText w:val=""/>
      <w:lvlJc w:val="left"/>
    </w:lvl>
    <w:lvl w:ilvl="8" w:tplc="E1982A92">
      <w:numFmt w:val="decimal"/>
      <w:lvlText w:val=""/>
      <w:lvlJc w:val="left"/>
    </w:lvl>
  </w:abstractNum>
  <w:abstractNum w:abstractNumId="12" w15:restartNumberingAfterBreak="0">
    <w:nsid w:val="2D1D5AE9"/>
    <w:multiLevelType w:val="hybridMultilevel"/>
    <w:tmpl w:val="F53465C0"/>
    <w:lvl w:ilvl="0" w:tplc="05FA9A9C">
      <w:start w:val="1"/>
      <w:numFmt w:val="decimal"/>
      <w:lvlText w:val="%1."/>
      <w:lvlJc w:val="left"/>
    </w:lvl>
    <w:lvl w:ilvl="1" w:tplc="ED7C603A">
      <w:numFmt w:val="decimal"/>
      <w:lvlText w:val=""/>
      <w:lvlJc w:val="left"/>
    </w:lvl>
    <w:lvl w:ilvl="2" w:tplc="2F30A218">
      <w:numFmt w:val="decimal"/>
      <w:lvlText w:val=""/>
      <w:lvlJc w:val="left"/>
    </w:lvl>
    <w:lvl w:ilvl="3" w:tplc="E7D43AFA">
      <w:numFmt w:val="decimal"/>
      <w:lvlText w:val=""/>
      <w:lvlJc w:val="left"/>
    </w:lvl>
    <w:lvl w:ilvl="4" w:tplc="D60E9014">
      <w:numFmt w:val="decimal"/>
      <w:lvlText w:val=""/>
      <w:lvlJc w:val="left"/>
    </w:lvl>
    <w:lvl w:ilvl="5" w:tplc="F8243FA4">
      <w:numFmt w:val="decimal"/>
      <w:lvlText w:val=""/>
      <w:lvlJc w:val="left"/>
    </w:lvl>
    <w:lvl w:ilvl="6" w:tplc="EE56E316">
      <w:numFmt w:val="decimal"/>
      <w:lvlText w:val=""/>
      <w:lvlJc w:val="left"/>
    </w:lvl>
    <w:lvl w:ilvl="7" w:tplc="4312965C">
      <w:numFmt w:val="decimal"/>
      <w:lvlText w:val=""/>
      <w:lvlJc w:val="left"/>
    </w:lvl>
    <w:lvl w:ilvl="8" w:tplc="DA8CD3E4">
      <w:numFmt w:val="decimal"/>
      <w:lvlText w:val=""/>
      <w:lvlJc w:val="left"/>
    </w:lvl>
  </w:abstractNum>
  <w:abstractNum w:abstractNumId="13" w15:restartNumberingAfterBreak="0">
    <w:nsid w:val="3006C83E"/>
    <w:multiLevelType w:val="hybridMultilevel"/>
    <w:tmpl w:val="2756572A"/>
    <w:lvl w:ilvl="0" w:tplc="59E41A1C">
      <w:start w:val="1"/>
      <w:numFmt w:val="decimal"/>
      <w:lvlText w:val="%1."/>
      <w:lvlJc w:val="left"/>
    </w:lvl>
    <w:lvl w:ilvl="1" w:tplc="2A72E388">
      <w:numFmt w:val="decimal"/>
      <w:lvlText w:val=""/>
      <w:lvlJc w:val="left"/>
    </w:lvl>
    <w:lvl w:ilvl="2" w:tplc="9F6A0D10">
      <w:numFmt w:val="decimal"/>
      <w:lvlText w:val=""/>
      <w:lvlJc w:val="left"/>
    </w:lvl>
    <w:lvl w:ilvl="3" w:tplc="974020CE">
      <w:numFmt w:val="decimal"/>
      <w:lvlText w:val=""/>
      <w:lvlJc w:val="left"/>
    </w:lvl>
    <w:lvl w:ilvl="4" w:tplc="097AC86E">
      <w:numFmt w:val="decimal"/>
      <w:lvlText w:val=""/>
      <w:lvlJc w:val="left"/>
    </w:lvl>
    <w:lvl w:ilvl="5" w:tplc="9D8EE528">
      <w:numFmt w:val="decimal"/>
      <w:lvlText w:val=""/>
      <w:lvlJc w:val="left"/>
    </w:lvl>
    <w:lvl w:ilvl="6" w:tplc="EB0CB7DC">
      <w:numFmt w:val="decimal"/>
      <w:lvlText w:val=""/>
      <w:lvlJc w:val="left"/>
    </w:lvl>
    <w:lvl w:ilvl="7" w:tplc="E06C3EE8">
      <w:numFmt w:val="decimal"/>
      <w:lvlText w:val=""/>
      <w:lvlJc w:val="left"/>
    </w:lvl>
    <w:lvl w:ilvl="8" w:tplc="9ADEB40E">
      <w:numFmt w:val="decimal"/>
      <w:lvlText w:val=""/>
      <w:lvlJc w:val="left"/>
    </w:lvl>
  </w:abstractNum>
  <w:abstractNum w:abstractNumId="14" w15:restartNumberingAfterBreak="0">
    <w:nsid w:val="333AB105"/>
    <w:multiLevelType w:val="hybridMultilevel"/>
    <w:tmpl w:val="0E9A7E76"/>
    <w:lvl w:ilvl="0" w:tplc="D980A454">
      <w:start w:val="6"/>
      <w:numFmt w:val="decimal"/>
      <w:lvlText w:val="%1."/>
      <w:lvlJc w:val="left"/>
    </w:lvl>
    <w:lvl w:ilvl="1" w:tplc="CE9CC82C">
      <w:numFmt w:val="decimal"/>
      <w:lvlText w:val=""/>
      <w:lvlJc w:val="left"/>
    </w:lvl>
    <w:lvl w:ilvl="2" w:tplc="D76863E0">
      <w:numFmt w:val="decimal"/>
      <w:lvlText w:val=""/>
      <w:lvlJc w:val="left"/>
    </w:lvl>
    <w:lvl w:ilvl="3" w:tplc="FDF2CB6A">
      <w:numFmt w:val="decimal"/>
      <w:lvlText w:val=""/>
      <w:lvlJc w:val="left"/>
    </w:lvl>
    <w:lvl w:ilvl="4" w:tplc="6008A49C">
      <w:numFmt w:val="decimal"/>
      <w:lvlText w:val=""/>
      <w:lvlJc w:val="left"/>
    </w:lvl>
    <w:lvl w:ilvl="5" w:tplc="8884A608">
      <w:numFmt w:val="decimal"/>
      <w:lvlText w:val=""/>
      <w:lvlJc w:val="left"/>
    </w:lvl>
    <w:lvl w:ilvl="6" w:tplc="ED267B34">
      <w:numFmt w:val="decimal"/>
      <w:lvlText w:val=""/>
      <w:lvlJc w:val="left"/>
    </w:lvl>
    <w:lvl w:ilvl="7" w:tplc="0D224D74">
      <w:numFmt w:val="decimal"/>
      <w:lvlText w:val=""/>
      <w:lvlJc w:val="left"/>
    </w:lvl>
    <w:lvl w:ilvl="8" w:tplc="C8A02A9C">
      <w:numFmt w:val="decimal"/>
      <w:lvlText w:val=""/>
      <w:lvlJc w:val="left"/>
    </w:lvl>
  </w:abstractNum>
  <w:abstractNum w:abstractNumId="15" w15:restartNumberingAfterBreak="0">
    <w:nsid w:val="3804823E"/>
    <w:multiLevelType w:val="hybridMultilevel"/>
    <w:tmpl w:val="B8BA2A22"/>
    <w:lvl w:ilvl="0" w:tplc="BC50F406">
      <w:start w:val="1"/>
      <w:numFmt w:val="decimal"/>
      <w:lvlText w:val="%1"/>
      <w:lvlJc w:val="left"/>
    </w:lvl>
    <w:lvl w:ilvl="1" w:tplc="4640514E">
      <w:start w:val="1"/>
      <w:numFmt w:val="upperLetter"/>
      <w:lvlText w:val="%2"/>
      <w:lvlJc w:val="left"/>
    </w:lvl>
    <w:lvl w:ilvl="2" w:tplc="A044009A">
      <w:numFmt w:val="decimal"/>
      <w:lvlText w:val=""/>
      <w:lvlJc w:val="left"/>
    </w:lvl>
    <w:lvl w:ilvl="3" w:tplc="882EF1E6">
      <w:numFmt w:val="decimal"/>
      <w:lvlText w:val=""/>
      <w:lvlJc w:val="left"/>
    </w:lvl>
    <w:lvl w:ilvl="4" w:tplc="A5E86482">
      <w:numFmt w:val="decimal"/>
      <w:lvlText w:val=""/>
      <w:lvlJc w:val="left"/>
    </w:lvl>
    <w:lvl w:ilvl="5" w:tplc="6902D12E">
      <w:numFmt w:val="decimal"/>
      <w:lvlText w:val=""/>
      <w:lvlJc w:val="left"/>
    </w:lvl>
    <w:lvl w:ilvl="6" w:tplc="6E182DD2">
      <w:numFmt w:val="decimal"/>
      <w:lvlText w:val=""/>
      <w:lvlJc w:val="left"/>
    </w:lvl>
    <w:lvl w:ilvl="7" w:tplc="4C0E4690">
      <w:numFmt w:val="decimal"/>
      <w:lvlText w:val=""/>
      <w:lvlJc w:val="left"/>
    </w:lvl>
    <w:lvl w:ilvl="8" w:tplc="7E2E3188">
      <w:numFmt w:val="decimal"/>
      <w:lvlText w:val=""/>
      <w:lvlJc w:val="left"/>
    </w:lvl>
  </w:abstractNum>
  <w:abstractNum w:abstractNumId="16" w15:restartNumberingAfterBreak="0">
    <w:nsid w:val="3A95F874"/>
    <w:multiLevelType w:val="hybridMultilevel"/>
    <w:tmpl w:val="BEF42AF2"/>
    <w:lvl w:ilvl="0" w:tplc="E2CE8A20">
      <w:start w:val="4"/>
      <w:numFmt w:val="lowerLetter"/>
      <w:lvlText w:val="%1)"/>
      <w:lvlJc w:val="left"/>
    </w:lvl>
    <w:lvl w:ilvl="1" w:tplc="79A07AA4">
      <w:numFmt w:val="decimal"/>
      <w:lvlText w:val=""/>
      <w:lvlJc w:val="left"/>
    </w:lvl>
    <w:lvl w:ilvl="2" w:tplc="71D2F468">
      <w:numFmt w:val="decimal"/>
      <w:lvlText w:val=""/>
      <w:lvlJc w:val="left"/>
    </w:lvl>
    <w:lvl w:ilvl="3" w:tplc="BD0AE040">
      <w:numFmt w:val="decimal"/>
      <w:lvlText w:val=""/>
      <w:lvlJc w:val="left"/>
    </w:lvl>
    <w:lvl w:ilvl="4" w:tplc="7B96B056">
      <w:numFmt w:val="decimal"/>
      <w:lvlText w:val=""/>
      <w:lvlJc w:val="left"/>
    </w:lvl>
    <w:lvl w:ilvl="5" w:tplc="5A3AEFFC">
      <w:numFmt w:val="decimal"/>
      <w:lvlText w:val=""/>
      <w:lvlJc w:val="left"/>
    </w:lvl>
    <w:lvl w:ilvl="6" w:tplc="43F8FDAA">
      <w:numFmt w:val="decimal"/>
      <w:lvlText w:val=""/>
      <w:lvlJc w:val="left"/>
    </w:lvl>
    <w:lvl w:ilvl="7" w:tplc="211CB75C">
      <w:numFmt w:val="decimal"/>
      <w:lvlText w:val=""/>
      <w:lvlJc w:val="left"/>
    </w:lvl>
    <w:lvl w:ilvl="8" w:tplc="C9CE7D66">
      <w:numFmt w:val="decimal"/>
      <w:lvlText w:val=""/>
      <w:lvlJc w:val="left"/>
    </w:lvl>
  </w:abstractNum>
  <w:abstractNum w:abstractNumId="17" w15:restartNumberingAfterBreak="0">
    <w:nsid w:val="419AC241"/>
    <w:multiLevelType w:val="hybridMultilevel"/>
    <w:tmpl w:val="FF88C32C"/>
    <w:lvl w:ilvl="0" w:tplc="E9A280B2">
      <w:start w:val="1"/>
      <w:numFmt w:val="decimal"/>
      <w:lvlText w:val="%1."/>
      <w:lvlJc w:val="left"/>
    </w:lvl>
    <w:lvl w:ilvl="1" w:tplc="B70AB2F2">
      <w:start w:val="1"/>
      <w:numFmt w:val="upperLetter"/>
      <w:lvlText w:val="%2"/>
      <w:lvlJc w:val="left"/>
    </w:lvl>
    <w:lvl w:ilvl="2" w:tplc="8D486F68">
      <w:start w:val="7"/>
      <w:numFmt w:val="upperLetter"/>
      <w:lvlText w:val="%3."/>
      <w:lvlJc w:val="left"/>
    </w:lvl>
    <w:lvl w:ilvl="3" w:tplc="7206E5B6">
      <w:numFmt w:val="decimal"/>
      <w:lvlText w:val=""/>
      <w:lvlJc w:val="left"/>
    </w:lvl>
    <w:lvl w:ilvl="4" w:tplc="F418C804">
      <w:numFmt w:val="decimal"/>
      <w:lvlText w:val=""/>
      <w:lvlJc w:val="left"/>
    </w:lvl>
    <w:lvl w:ilvl="5" w:tplc="FB464F8C">
      <w:numFmt w:val="decimal"/>
      <w:lvlText w:val=""/>
      <w:lvlJc w:val="left"/>
    </w:lvl>
    <w:lvl w:ilvl="6" w:tplc="3A9AA8C4">
      <w:numFmt w:val="decimal"/>
      <w:lvlText w:val=""/>
      <w:lvlJc w:val="left"/>
    </w:lvl>
    <w:lvl w:ilvl="7" w:tplc="17F8CAE0">
      <w:numFmt w:val="decimal"/>
      <w:lvlText w:val=""/>
      <w:lvlJc w:val="left"/>
    </w:lvl>
    <w:lvl w:ilvl="8" w:tplc="824880A4">
      <w:numFmt w:val="decimal"/>
      <w:lvlText w:val=""/>
      <w:lvlJc w:val="left"/>
    </w:lvl>
  </w:abstractNum>
  <w:abstractNum w:abstractNumId="18" w15:restartNumberingAfterBreak="0">
    <w:nsid w:val="4353D0CD"/>
    <w:multiLevelType w:val="hybridMultilevel"/>
    <w:tmpl w:val="BE94EE26"/>
    <w:lvl w:ilvl="0" w:tplc="DE90F3A6">
      <w:start w:val="1"/>
      <w:numFmt w:val="decimal"/>
      <w:lvlText w:val="%1."/>
      <w:lvlJc w:val="left"/>
    </w:lvl>
    <w:lvl w:ilvl="1" w:tplc="A7D2B320">
      <w:start w:val="2"/>
      <w:numFmt w:val="lowerRoman"/>
      <w:lvlText w:val="(%2)"/>
      <w:lvlJc w:val="left"/>
    </w:lvl>
    <w:lvl w:ilvl="2" w:tplc="7AF69FD6">
      <w:numFmt w:val="decimal"/>
      <w:lvlText w:val=""/>
      <w:lvlJc w:val="left"/>
    </w:lvl>
    <w:lvl w:ilvl="3" w:tplc="5186D388">
      <w:numFmt w:val="decimal"/>
      <w:lvlText w:val=""/>
      <w:lvlJc w:val="left"/>
    </w:lvl>
    <w:lvl w:ilvl="4" w:tplc="C75C87D0">
      <w:numFmt w:val="decimal"/>
      <w:lvlText w:val=""/>
      <w:lvlJc w:val="left"/>
    </w:lvl>
    <w:lvl w:ilvl="5" w:tplc="9AA066F0">
      <w:numFmt w:val="decimal"/>
      <w:lvlText w:val=""/>
      <w:lvlJc w:val="left"/>
    </w:lvl>
    <w:lvl w:ilvl="6" w:tplc="5ADE8E74">
      <w:numFmt w:val="decimal"/>
      <w:lvlText w:val=""/>
      <w:lvlJc w:val="left"/>
    </w:lvl>
    <w:lvl w:ilvl="7" w:tplc="801639A8">
      <w:numFmt w:val="decimal"/>
      <w:lvlText w:val=""/>
      <w:lvlJc w:val="left"/>
    </w:lvl>
    <w:lvl w:ilvl="8" w:tplc="4EACA786">
      <w:numFmt w:val="decimal"/>
      <w:lvlText w:val=""/>
      <w:lvlJc w:val="left"/>
    </w:lvl>
  </w:abstractNum>
  <w:abstractNum w:abstractNumId="19" w15:restartNumberingAfterBreak="0">
    <w:nsid w:val="436C6125"/>
    <w:multiLevelType w:val="hybridMultilevel"/>
    <w:tmpl w:val="9E6645BC"/>
    <w:lvl w:ilvl="0" w:tplc="B798DDEE">
      <w:start w:val="4"/>
      <w:numFmt w:val="decimal"/>
      <w:lvlText w:val="%1."/>
      <w:lvlJc w:val="left"/>
    </w:lvl>
    <w:lvl w:ilvl="1" w:tplc="AEF69B50">
      <w:numFmt w:val="decimal"/>
      <w:lvlText w:val=""/>
      <w:lvlJc w:val="left"/>
    </w:lvl>
    <w:lvl w:ilvl="2" w:tplc="BDBEB7AE">
      <w:numFmt w:val="decimal"/>
      <w:lvlText w:val=""/>
      <w:lvlJc w:val="left"/>
    </w:lvl>
    <w:lvl w:ilvl="3" w:tplc="1C622392">
      <w:numFmt w:val="decimal"/>
      <w:lvlText w:val=""/>
      <w:lvlJc w:val="left"/>
    </w:lvl>
    <w:lvl w:ilvl="4" w:tplc="164E1566">
      <w:numFmt w:val="decimal"/>
      <w:lvlText w:val=""/>
      <w:lvlJc w:val="left"/>
    </w:lvl>
    <w:lvl w:ilvl="5" w:tplc="29306728">
      <w:numFmt w:val="decimal"/>
      <w:lvlText w:val=""/>
      <w:lvlJc w:val="left"/>
    </w:lvl>
    <w:lvl w:ilvl="6" w:tplc="F6F6F284">
      <w:numFmt w:val="decimal"/>
      <w:lvlText w:val=""/>
      <w:lvlJc w:val="left"/>
    </w:lvl>
    <w:lvl w:ilvl="7" w:tplc="6756D1C2">
      <w:numFmt w:val="decimal"/>
      <w:lvlText w:val=""/>
      <w:lvlJc w:val="left"/>
    </w:lvl>
    <w:lvl w:ilvl="8" w:tplc="B87272A2">
      <w:numFmt w:val="decimal"/>
      <w:lvlText w:val=""/>
      <w:lvlJc w:val="left"/>
    </w:lvl>
  </w:abstractNum>
  <w:abstractNum w:abstractNumId="20" w15:restartNumberingAfterBreak="0">
    <w:nsid w:val="440BADFC"/>
    <w:multiLevelType w:val="hybridMultilevel"/>
    <w:tmpl w:val="1FD6A944"/>
    <w:lvl w:ilvl="0" w:tplc="37E24182">
      <w:start w:val="1"/>
      <w:numFmt w:val="decimal"/>
      <w:lvlText w:val="%1."/>
      <w:lvlJc w:val="left"/>
    </w:lvl>
    <w:lvl w:ilvl="1" w:tplc="A962A170">
      <w:numFmt w:val="decimal"/>
      <w:lvlText w:val=""/>
      <w:lvlJc w:val="left"/>
    </w:lvl>
    <w:lvl w:ilvl="2" w:tplc="CD32B5EE">
      <w:numFmt w:val="decimal"/>
      <w:lvlText w:val=""/>
      <w:lvlJc w:val="left"/>
    </w:lvl>
    <w:lvl w:ilvl="3" w:tplc="04B4BA3C">
      <w:numFmt w:val="decimal"/>
      <w:lvlText w:val=""/>
      <w:lvlJc w:val="left"/>
    </w:lvl>
    <w:lvl w:ilvl="4" w:tplc="404E7224">
      <w:numFmt w:val="decimal"/>
      <w:lvlText w:val=""/>
      <w:lvlJc w:val="left"/>
    </w:lvl>
    <w:lvl w:ilvl="5" w:tplc="638C4C0C">
      <w:numFmt w:val="decimal"/>
      <w:lvlText w:val=""/>
      <w:lvlJc w:val="left"/>
    </w:lvl>
    <w:lvl w:ilvl="6" w:tplc="C518AC40">
      <w:numFmt w:val="decimal"/>
      <w:lvlText w:val=""/>
      <w:lvlJc w:val="left"/>
    </w:lvl>
    <w:lvl w:ilvl="7" w:tplc="C3D65DC6">
      <w:numFmt w:val="decimal"/>
      <w:lvlText w:val=""/>
      <w:lvlJc w:val="left"/>
    </w:lvl>
    <w:lvl w:ilvl="8" w:tplc="D4A8ACE0">
      <w:numFmt w:val="decimal"/>
      <w:lvlText w:val=""/>
      <w:lvlJc w:val="left"/>
    </w:lvl>
  </w:abstractNum>
  <w:abstractNum w:abstractNumId="21" w15:restartNumberingAfterBreak="0">
    <w:nsid w:val="4516DDE9"/>
    <w:multiLevelType w:val="hybridMultilevel"/>
    <w:tmpl w:val="7D8ABF02"/>
    <w:lvl w:ilvl="0" w:tplc="442467D6">
      <w:start w:val="1"/>
      <w:numFmt w:val="decimal"/>
      <w:lvlText w:val="%1."/>
      <w:lvlJc w:val="left"/>
    </w:lvl>
    <w:lvl w:ilvl="1" w:tplc="FD126760">
      <w:start w:val="3"/>
      <w:numFmt w:val="upperLetter"/>
      <w:lvlText w:val="%2."/>
      <w:lvlJc w:val="left"/>
    </w:lvl>
    <w:lvl w:ilvl="2" w:tplc="2594F5EC">
      <w:numFmt w:val="decimal"/>
      <w:lvlText w:val=""/>
      <w:lvlJc w:val="left"/>
    </w:lvl>
    <w:lvl w:ilvl="3" w:tplc="23C825E4">
      <w:numFmt w:val="decimal"/>
      <w:lvlText w:val=""/>
      <w:lvlJc w:val="left"/>
    </w:lvl>
    <w:lvl w:ilvl="4" w:tplc="15C2F46C">
      <w:numFmt w:val="decimal"/>
      <w:lvlText w:val=""/>
      <w:lvlJc w:val="left"/>
    </w:lvl>
    <w:lvl w:ilvl="5" w:tplc="881CFCBA">
      <w:numFmt w:val="decimal"/>
      <w:lvlText w:val=""/>
      <w:lvlJc w:val="left"/>
    </w:lvl>
    <w:lvl w:ilvl="6" w:tplc="EF563568">
      <w:numFmt w:val="decimal"/>
      <w:lvlText w:val=""/>
      <w:lvlJc w:val="left"/>
    </w:lvl>
    <w:lvl w:ilvl="7" w:tplc="315ABBFA">
      <w:numFmt w:val="decimal"/>
      <w:lvlText w:val=""/>
      <w:lvlJc w:val="left"/>
    </w:lvl>
    <w:lvl w:ilvl="8" w:tplc="00A4FA04">
      <w:numFmt w:val="decimal"/>
      <w:lvlText w:val=""/>
      <w:lvlJc w:val="left"/>
    </w:lvl>
  </w:abstractNum>
  <w:abstractNum w:abstractNumId="22" w15:restartNumberingAfterBreak="0">
    <w:nsid w:val="54E49EB4"/>
    <w:multiLevelType w:val="hybridMultilevel"/>
    <w:tmpl w:val="E9DE9DEE"/>
    <w:lvl w:ilvl="0" w:tplc="38D22578">
      <w:start w:val="8"/>
      <w:numFmt w:val="decimal"/>
      <w:lvlText w:val="%1."/>
      <w:lvlJc w:val="left"/>
    </w:lvl>
    <w:lvl w:ilvl="1" w:tplc="D7B83366">
      <w:start w:val="1"/>
      <w:numFmt w:val="lowerRoman"/>
      <w:lvlText w:val="%2"/>
      <w:lvlJc w:val="left"/>
    </w:lvl>
    <w:lvl w:ilvl="2" w:tplc="18FA73A8">
      <w:start w:val="1"/>
      <w:numFmt w:val="lowerRoman"/>
      <w:lvlText w:val="%3"/>
      <w:lvlJc w:val="left"/>
    </w:lvl>
    <w:lvl w:ilvl="3" w:tplc="6C00C108">
      <w:numFmt w:val="decimal"/>
      <w:lvlText w:val=""/>
      <w:lvlJc w:val="left"/>
    </w:lvl>
    <w:lvl w:ilvl="4" w:tplc="E3A60C08">
      <w:numFmt w:val="decimal"/>
      <w:lvlText w:val=""/>
      <w:lvlJc w:val="left"/>
    </w:lvl>
    <w:lvl w:ilvl="5" w:tplc="1088961A">
      <w:numFmt w:val="decimal"/>
      <w:lvlText w:val=""/>
      <w:lvlJc w:val="left"/>
    </w:lvl>
    <w:lvl w:ilvl="6" w:tplc="DC205970">
      <w:numFmt w:val="decimal"/>
      <w:lvlText w:val=""/>
      <w:lvlJc w:val="left"/>
    </w:lvl>
    <w:lvl w:ilvl="7" w:tplc="7ABC193A">
      <w:numFmt w:val="decimal"/>
      <w:lvlText w:val=""/>
      <w:lvlJc w:val="left"/>
    </w:lvl>
    <w:lvl w:ilvl="8" w:tplc="0FF8DAA0">
      <w:numFmt w:val="decimal"/>
      <w:lvlText w:val=""/>
      <w:lvlJc w:val="left"/>
    </w:lvl>
  </w:abstractNum>
  <w:abstractNum w:abstractNumId="23" w15:restartNumberingAfterBreak="0">
    <w:nsid w:val="5577F8E1"/>
    <w:multiLevelType w:val="hybridMultilevel"/>
    <w:tmpl w:val="A130468A"/>
    <w:lvl w:ilvl="0" w:tplc="8E6EA7D6">
      <w:start w:val="1"/>
      <w:numFmt w:val="decimal"/>
      <w:lvlText w:val="%1."/>
      <w:lvlJc w:val="left"/>
    </w:lvl>
    <w:lvl w:ilvl="1" w:tplc="25D0282C">
      <w:start w:val="1"/>
      <w:numFmt w:val="lowerRoman"/>
      <w:lvlText w:val="(%2)"/>
      <w:lvlJc w:val="left"/>
    </w:lvl>
    <w:lvl w:ilvl="2" w:tplc="A650DA7C">
      <w:numFmt w:val="decimal"/>
      <w:lvlText w:val=""/>
      <w:lvlJc w:val="left"/>
    </w:lvl>
    <w:lvl w:ilvl="3" w:tplc="3EF0FC6C">
      <w:numFmt w:val="decimal"/>
      <w:lvlText w:val=""/>
      <w:lvlJc w:val="left"/>
    </w:lvl>
    <w:lvl w:ilvl="4" w:tplc="6CF42C28">
      <w:numFmt w:val="decimal"/>
      <w:lvlText w:val=""/>
      <w:lvlJc w:val="left"/>
    </w:lvl>
    <w:lvl w:ilvl="5" w:tplc="6124001C">
      <w:numFmt w:val="decimal"/>
      <w:lvlText w:val=""/>
      <w:lvlJc w:val="left"/>
    </w:lvl>
    <w:lvl w:ilvl="6" w:tplc="729A0602">
      <w:numFmt w:val="decimal"/>
      <w:lvlText w:val=""/>
      <w:lvlJc w:val="left"/>
    </w:lvl>
    <w:lvl w:ilvl="7" w:tplc="F432DD44">
      <w:numFmt w:val="decimal"/>
      <w:lvlText w:val=""/>
      <w:lvlJc w:val="left"/>
    </w:lvl>
    <w:lvl w:ilvl="8" w:tplc="0ECE3BEC">
      <w:numFmt w:val="decimal"/>
      <w:lvlText w:val=""/>
      <w:lvlJc w:val="left"/>
    </w:lvl>
  </w:abstractNum>
  <w:abstractNum w:abstractNumId="24" w15:restartNumberingAfterBreak="0">
    <w:nsid w:val="614FD4A1"/>
    <w:multiLevelType w:val="hybridMultilevel"/>
    <w:tmpl w:val="F70C3486"/>
    <w:lvl w:ilvl="0" w:tplc="63A63DBA">
      <w:start w:val="1"/>
      <w:numFmt w:val="decimal"/>
      <w:lvlText w:val="%1"/>
      <w:lvlJc w:val="left"/>
    </w:lvl>
    <w:lvl w:ilvl="1" w:tplc="9BEAFE60">
      <w:start w:val="6"/>
      <w:numFmt w:val="upperLetter"/>
      <w:lvlText w:val="%2."/>
      <w:lvlJc w:val="left"/>
    </w:lvl>
    <w:lvl w:ilvl="2" w:tplc="663CA684">
      <w:start w:val="1"/>
      <w:numFmt w:val="upperLetter"/>
      <w:lvlText w:val="%3"/>
      <w:lvlJc w:val="left"/>
    </w:lvl>
    <w:lvl w:ilvl="3" w:tplc="A78E7264">
      <w:numFmt w:val="decimal"/>
      <w:lvlText w:val=""/>
      <w:lvlJc w:val="left"/>
    </w:lvl>
    <w:lvl w:ilvl="4" w:tplc="FA38EFDE">
      <w:numFmt w:val="decimal"/>
      <w:lvlText w:val=""/>
      <w:lvlJc w:val="left"/>
    </w:lvl>
    <w:lvl w:ilvl="5" w:tplc="973689F0">
      <w:numFmt w:val="decimal"/>
      <w:lvlText w:val=""/>
      <w:lvlJc w:val="left"/>
    </w:lvl>
    <w:lvl w:ilvl="6" w:tplc="5D169206">
      <w:numFmt w:val="decimal"/>
      <w:lvlText w:val=""/>
      <w:lvlJc w:val="left"/>
    </w:lvl>
    <w:lvl w:ilvl="7" w:tplc="88F46E8A">
      <w:numFmt w:val="decimal"/>
      <w:lvlText w:val=""/>
      <w:lvlJc w:val="left"/>
    </w:lvl>
    <w:lvl w:ilvl="8" w:tplc="38BCE176">
      <w:numFmt w:val="decimal"/>
      <w:lvlText w:val=""/>
      <w:lvlJc w:val="left"/>
    </w:lvl>
  </w:abstractNum>
  <w:abstractNum w:abstractNumId="25" w15:restartNumberingAfterBreak="0">
    <w:nsid w:val="628C895D"/>
    <w:multiLevelType w:val="hybridMultilevel"/>
    <w:tmpl w:val="11F41968"/>
    <w:lvl w:ilvl="0" w:tplc="08307276">
      <w:start w:val="5"/>
      <w:numFmt w:val="decimal"/>
      <w:lvlText w:val="%1."/>
      <w:lvlJc w:val="left"/>
    </w:lvl>
    <w:lvl w:ilvl="1" w:tplc="8630490E">
      <w:numFmt w:val="decimal"/>
      <w:lvlText w:val=""/>
      <w:lvlJc w:val="left"/>
    </w:lvl>
    <w:lvl w:ilvl="2" w:tplc="33A0DDCA">
      <w:numFmt w:val="decimal"/>
      <w:lvlText w:val=""/>
      <w:lvlJc w:val="left"/>
    </w:lvl>
    <w:lvl w:ilvl="3" w:tplc="534AB810">
      <w:numFmt w:val="decimal"/>
      <w:lvlText w:val=""/>
      <w:lvlJc w:val="left"/>
    </w:lvl>
    <w:lvl w:ilvl="4" w:tplc="D2EC5C98">
      <w:numFmt w:val="decimal"/>
      <w:lvlText w:val=""/>
      <w:lvlJc w:val="left"/>
    </w:lvl>
    <w:lvl w:ilvl="5" w:tplc="BA6E7EB0">
      <w:numFmt w:val="decimal"/>
      <w:lvlText w:val=""/>
      <w:lvlJc w:val="left"/>
    </w:lvl>
    <w:lvl w:ilvl="6" w:tplc="9FFACD2E">
      <w:numFmt w:val="decimal"/>
      <w:lvlText w:val=""/>
      <w:lvlJc w:val="left"/>
    </w:lvl>
    <w:lvl w:ilvl="7" w:tplc="D7AC94A4">
      <w:numFmt w:val="decimal"/>
      <w:lvlText w:val=""/>
      <w:lvlJc w:val="left"/>
    </w:lvl>
    <w:lvl w:ilvl="8" w:tplc="E8268210">
      <w:numFmt w:val="decimal"/>
      <w:lvlText w:val=""/>
      <w:lvlJc w:val="left"/>
    </w:lvl>
  </w:abstractNum>
  <w:abstractNum w:abstractNumId="26" w15:restartNumberingAfterBreak="0">
    <w:nsid w:val="62BBD95A"/>
    <w:multiLevelType w:val="hybridMultilevel"/>
    <w:tmpl w:val="FC4E0A8E"/>
    <w:lvl w:ilvl="0" w:tplc="4D5E73B2">
      <w:start w:val="1"/>
      <w:numFmt w:val="decimal"/>
      <w:lvlText w:val="%1."/>
      <w:lvlJc w:val="left"/>
    </w:lvl>
    <w:lvl w:ilvl="1" w:tplc="DD6CFDA0">
      <w:start w:val="1"/>
      <w:numFmt w:val="upperLetter"/>
      <w:lvlText w:val="%2"/>
      <w:lvlJc w:val="left"/>
    </w:lvl>
    <w:lvl w:ilvl="2" w:tplc="7CD09D50">
      <w:numFmt w:val="decimal"/>
      <w:lvlText w:val=""/>
      <w:lvlJc w:val="left"/>
    </w:lvl>
    <w:lvl w:ilvl="3" w:tplc="77EAEF4A">
      <w:numFmt w:val="decimal"/>
      <w:lvlText w:val=""/>
      <w:lvlJc w:val="left"/>
    </w:lvl>
    <w:lvl w:ilvl="4" w:tplc="890C24A8">
      <w:numFmt w:val="decimal"/>
      <w:lvlText w:val=""/>
      <w:lvlJc w:val="left"/>
    </w:lvl>
    <w:lvl w:ilvl="5" w:tplc="AD507EEA">
      <w:numFmt w:val="decimal"/>
      <w:lvlText w:val=""/>
      <w:lvlJc w:val="left"/>
    </w:lvl>
    <w:lvl w:ilvl="6" w:tplc="76E4908E">
      <w:numFmt w:val="decimal"/>
      <w:lvlText w:val=""/>
      <w:lvlJc w:val="left"/>
    </w:lvl>
    <w:lvl w:ilvl="7" w:tplc="017AEE80">
      <w:numFmt w:val="decimal"/>
      <w:lvlText w:val=""/>
      <w:lvlJc w:val="left"/>
    </w:lvl>
    <w:lvl w:ilvl="8" w:tplc="35902CDE">
      <w:numFmt w:val="decimal"/>
      <w:lvlText w:val=""/>
      <w:lvlJc w:val="left"/>
    </w:lvl>
  </w:abstractNum>
  <w:abstractNum w:abstractNumId="27" w15:restartNumberingAfterBreak="0">
    <w:nsid w:val="6763845E"/>
    <w:multiLevelType w:val="hybridMultilevel"/>
    <w:tmpl w:val="8FCC31B0"/>
    <w:lvl w:ilvl="0" w:tplc="A9161C44">
      <w:start w:val="3"/>
      <w:numFmt w:val="decimal"/>
      <w:lvlText w:val="%1."/>
      <w:lvlJc w:val="left"/>
    </w:lvl>
    <w:lvl w:ilvl="1" w:tplc="C41AC2FA">
      <w:numFmt w:val="decimal"/>
      <w:lvlText w:val=""/>
      <w:lvlJc w:val="left"/>
    </w:lvl>
    <w:lvl w:ilvl="2" w:tplc="85B8555C">
      <w:numFmt w:val="decimal"/>
      <w:lvlText w:val=""/>
      <w:lvlJc w:val="left"/>
    </w:lvl>
    <w:lvl w:ilvl="3" w:tplc="310261B2">
      <w:numFmt w:val="decimal"/>
      <w:lvlText w:val=""/>
      <w:lvlJc w:val="left"/>
    </w:lvl>
    <w:lvl w:ilvl="4" w:tplc="59D84F9A">
      <w:numFmt w:val="decimal"/>
      <w:lvlText w:val=""/>
      <w:lvlJc w:val="left"/>
    </w:lvl>
    <w:lvl w:ilvl="5" w:tplc="37FE876A">
      <w:numFmt w:val="decimal"/>
      <w:lvlText w:val=""/>
      <w:lvlJc w:val="left"/>
    </w:lvl>
    <w:lvl w:ilvl="6" w:tplc="55AC1C00">
      <w:numFmt w:val="decimal"/>
      <w:lvlText w:val=""/>
      <w:lvlJc w:val="left"/>
    </w:lvl>
    <w:lvl w:ilvl="7" w:tplc="B12C8CD0">
      <w:numFmt w:val="decimal"/>
      <w:lvlText w:val=""/>
      <w:lvlJc w:val="left"/>
    </w:lvl>
    <w:lvl w:ilvl="8" w:tplc="8AD46516">
      <w:numFmt w:val="decimal"/>
      <w:lvlText w:val=""/>
      <w:lvlJc w:val="left"/>
    </w:lvl>
  </w:abstractNum>
  <w:abstractNum w:abstractNumId="28" w15:restartNumberingAfterBreak="0">
    <w:nsid w:val="6CEAF087"/>
    <w:multiLevelType w:val="hybridMultilevel"/>
    <w:tmpl w:val="1834CFEA"/>
    <w:lvl w:ilvl="0" w:tplc="BCA69F72">
      <w:start w:val="2"/>
      <w:numFmt w:val="decimal"/>
      <w:lvlText w:val="%1."/>
      <w:lvlJc w:val="left"/>
    </w:lvl>
    <w:lvl w:ilvl="1" w:tplc="7336464A">
      <w:numFmt w:val="decimal"/>
      <w:lvlText w:val=""/>
      <w:lvlJc w:val="left"/>
    </w:lvl>
    <w:lvl w:ilvl="2" w:tplc="1C58A3E6">
      <w:numFmt w:val="decimal"/>
      <w:lvlText w:val=""/>
      <w:lvlJc w:val="left"/>
    </w:lvl>
    <w:lvl w:ilvl="3" w:tplc="1CE609B4">
      <w:numFmt w:val="decimal"/>
      <w:lvlText w:val=""/>
      <w:lvlJc w:val="left"/>
    </w:lvl>
    <w:lvl w:ilvl="4" w:tplc="AB78B0F6">
      <w:numFmt w:val="decimal"/>
      <w:lvlText w:val=""/>
      <w:lvlJc w:val="left"/>
    </w:lvl>
    <w:lvl w:ilvl="5" w:tplc="4FAA975E">
      <w:numFmt w:val="decimal"/>
      <w:lvlText w:val=""/>
      <w:lvlJc w:val="left"/>
    </w:lvl>
    <w:lvl w:ilvl="6" w:tplc="6E286C16">
      <w:numFmt w:val="decimal"/>
      <w:lvlText w:val=""/>
      <w:lvlJc w:val="left"/>
    </w:lvl>
    <w:lvl w:ilvl="7" w:tplc="01C08EB6">
      <w:numFmt w:val="decimal"/>
      <w:lvlText w:val=""/>
      <w:lvlJc w:val="left"/>
    </w:lvl>
    <w:lvl w:ilvl="8" w:tplc="57C80614">
      <w:numFmt w:val="decimal"/>
      <w:lvlText w:val=""/>
      <w:lvlJc w:val="left"/>
    </w:lvl>
  </w:abstractNum>
  <w:abstractNum w:abstractNumId="29" w15:restartNumberingAfterBreak="0">
    <w:nsid w:val="71F32454"/>
    <w:multiLevelType w:val="hybridMultilevel"/>
    <w:tmpl w:val="D71A7E70"/>
    <w:lvl w:ilvl="0" w:tplc="F3464410">
      <w:start w:val="9"/>
      <w:numFmt w:val="decimal"/>
      <w:lvlText w:val="%1."/>
      <w:lvlJc w:val="left"/>
    </w:lvl>
    <w:lvl w:ilvl="1" w:tplc="8C400E18">
      <w:numFmt w:val="decimal"/>
      <w:lvlText w:val=""/>
      <w:lvlJc w:val="left"/>
    </w:lvl>
    <w:lvl w:ilvl="2" w:tplc="0A0259E4">
      <w:numFmt w:val="decimal"/>
      <w:lvlText w:val=""/>
      <w:lvlJc w:val="left"/>
    </w:lvl>
    <w:lvl w:ilvl="3" w:tplc="D70699B6">
      <w:numFmt w:val="decimal"/>
      <w:lvlText w:val=""/>
      <w:lvlJc w:val="left"/>
    </w:lvl>
    <w:lvl w:ilvl="4" w:tplc="8A9C1444">
      <w:numFmt w:val="decimal"/>
      <w:lvlText w:val=""/>
      <w:lvlJc w:val="left"/>
    </w:lvl>
    <w:lvl w:ilvl="5" w:tplc="FA8A1AF6">
      <w:numFmt w:val="decimal"/>
      <w:lvlText w:val=""/>
      <w:lvlJc w:val="left"/>
    </w:lvl>
    <w:lvl w:ilvl="6" w:tplc="B2A25DBE">
      <w:numFmt w:val="decimal"/>
      <w:lvlText w:val=""/>
      <w:lvlJc w:val="left"/>
    </w:lvl>
    <w:lvl w:ilvl="7" w:tplc="BD469826">
      <w:numFmt w:val="decimal"/>
      <w:lvlText w:val=""/>
      <w:lvlJc w:val="left"/>
    </w:lvl>
    <w:lvl w:ilvl="8" w:tplc="5874E81C">
      <w:numFmt w:val="decimal"/>
      <w:lvlText w:val=""/>
      <w:lvlJc w:val="left"/>
    </w:lvl>
  </w:abstractNum>
  <w:abstractNum w:abstractNumId="30" w15:restartNumberingAfterBreak="0">
    <w:nsid w:val="721DA317"/>
    <w:multiLevelType w:val="hybridMultilevel"/>
    <w:tmpl w:val="2006F6EA"/>
    <w:lvl w:ilvl="0" w:tplc="28CC5E10">
      <w:start w:val="1"/>
      <w:numFmt w:val="decimal"/>
      <w:lvlText w:val="%1."/>
      <w:lvlJc w:val="left"/>
    </w:lvl>
    <w:lvl w:ilvl="1" w:tplc="1C0406C6">
      <w:numFmt w:val="decimal"/>
      <w:lvlText w:val=""/>
      <w:lvlJc w:val="left"/>
    </w:lvl>
    <w:lvl w:ilvl="2" w:tplc="4FD06CCA">
      <w:numFmt w:val="decimal"/>
      <w:lvlText w:val=""/>
      <w:lvlJc w:val="left"/>
    </w:lvl>
    <w:lvl w:ilvl="3" w:tplc="EF74D4D8">
      <w:numFmt w:val="decimal"/>
      <w:lvlText w:val=""/>
      <w:lvlJc w:val="left"/>
    </w:lvl>
    <w:lvl w:ilvl="4" w:tplc="EB8E4D46">
      <w:numFmt w:val="decimal"/>
      <w:lvlText w:val=""/>
      <w:lvlJc w:val="left"/>
    </w:lvl>
    <w:lvl w:ilvl="5" w:tplc="FDAEACA0">
      <w:numFmt w:val="decimal"/>
      <w:lvlText w:val=""/>
      <w:lvlJc w:val="left"/>
    </w:lvl>
    <w:lvl w:ilvl="6" w:tplc="F4F28AF0">
      <w:numFmt w:val="decimal"/>
      <w:lvlText w:val=""/>
      <w:lvlJc w:val="left"/>
    </w:lvl>
    <w:lvl w:ilvl="7" w:tplc="A3881C80">
      <w:numFmt w:val="decimal"/>
      <w:lvlText w:val=""/>
      <w:lvlJc w:val="left"/>
    </w:lvl>
    <w:lvl w:ilvl="8" w:tplc="B330AFA2">
      <w:numFmt w:val="decimal"/>
      <w:lvlText w:val=""/>
      <w:lvlJc w:val="left"/>
    </w:lvl>
  </w:abstractNum>
  <w:abstractNum w:abstractNumId="31" w15:restartNumberingAfterBreak="0">
    <w:nsid w:val="737B8DDC"/>
    <w:multiLevelType w:val="hybridMultilevel"/>
    <w:tmpl w:val="7AE87E84"/>
    <w:lvl w:ilvl="0" w:tplc="328A67A4">
      <w:start w:val="1"/>
      <w:numFmt w:val="decimal"/>
      <w:lvlText w:val="%1."/>
      <w:lvlJc w:val="left"/>
    </w:lvl>
    <w:lvl w:ilvl="1" w:tplc="7D9EA726">
      <w:numFmt w:val="decimal"/>
      <w:lvlText w:val=""/>
      <w:lvlJc w:val="left"/>
    </w:lvl>
    <w:lvl w:ilvl="2" w:tplc="D0C25EA8">
      <w:numFmt w:val="decimal"/>
      <w:lvlText w:val=""/>
      <w:lvlJc w:val="left"/>
    </w:lvl>
    <w:lvl w:ilvl="3" w:tplc="C3F2D7E4">
      <w:numFmt w:val="decimal"/>
      <w:lvlText w:val=""/>
      <w:lvlJc w:val="left"/>
    </w:lvl>
    <w:lvl w:ilvl="4" w:tplc="C1D0DB4E">
      <w:numFmt w:val="decimal"/>
      <w:lvlText w:val=""/>
      <w:lvlJc w:val="left"/>
    </w:lvl>
    <w:lvl w:ilvl="5" w:tplc="B89EF4F6">
      <w:numFmt w:val="decimal"/>
      <w:lvlText w:val=""/>
      <w:lvlJc w:val="left"/>
    </w:lvl>
    <w:lvl w:ilvl="6" w:tplc="33222C8E">
      <w:numFmt w:val="decimal"/>
      <w:lvlText w:val=""/>
      <w:lvlJc w:val="left"/>
    </w:lvl>
    <w:lvl w:ilvl="7" w:tplc="9FFAC694">
      <w:numFmt w:val="decimal"/>
      <w:lvlText w:val=""/>
      <w:lvlJc w:val="left"/>
    </w:lvl>
    <w:lvl w:ilvl="8" w:tplc="D32838CA">
      <w:numFmt w:val="decimal"/>
      <w:lvlText w:val=""/>
      <w:lvlJc w:val="left"/>
    </w:lvl>
  </w:abstractNum>
  <w:abstractNum w:abstractNumId="32" w15:restartNumberingAfterBreak="0">
    <w:nsid w:val="75A2A8D4"/>
    <w:multiLevelType w:val="hybridMultilevel"/>
    <w:tmpl w:val="736219DA"/>
    <w:lvl w:ilvl="0" w:tplc="05084F2A">
      <w:start w:val="5"/>
      <w:numFmt w:val="decimal"/>
      <w:lvlText w:val="%1."/>
      <w:lvlJc w:val="left"/>
    </w:lvl>
    <w:lvl w:ilvl="1" w:tplc="7A266D80">
      <w:numFmt w:val="decimal"/>
      <w:lvlText w:val=""/>
      <w:lvlJc w:val="left"/>
    </w:lvl>
    <w:lvl w:ilvl="2" w:tplc="48787CA4">
      <w:numFmt w:val="decimal"/>
      <w:lvlText w:val=""/>
      <w:lvlJc w:val="left"/>
    </w:lvl>
    <w:lvl w:ilvl="3" w:tplc="34B207D8">
      <w:numFmt w:val="decimal"/>
      <w:lvlText w:val=""/>
      <w:lvlJc w:val="left"/>
    </w:lvl>
    <w:lvl w:ilvl="4" w:tplc="69E4CAF6">
      <w:numFmt w:val="decimal"/>
      <w:lvlText w:val=""/>
      <w:lvlJc w:val="left"/>
    </w:lvl>
    <w:lvl w:ilvl="5" w:tplc="FEE436E8">
      <w:numFmt w:val="decimal"/>
      <w:lvlText w:val=""/>
      <w:lvlJc w:val="left"/>
    </w:lvl>
    <w:lvl w:ilvl="6" w:tplc="E46EFBCA">
      <w:numFmt w:val="decimal"/>
      <w:lvlText w:val=""/>
      <w:lvlJc w:val="left"/>
    </w:lvl>
    <w:lvl w:ilvl="7" w:tplc="273A57E4">
      <w:numFmt w:val="decimal"/>
      <w:lvlText w:val=""/>
      <w:lvlJc w:val="left"/>
    </w:lvl>
    <w:lvl w:ilvl="8" w:tplc="4E987774">
      <w:numFmt w:val="decimal"/>
      <w:lvlText w:val=""/>
      <w:lvlJc w:val="left"/>
    </w:lvl>
  </w:abstractNum>
  <w:abstractNum w:abstractNumId="33" w15:restartNumberingAfterBreak="0">
    <w:nsid w:val="77465F01"/>
    <w:multiLevelType w:val="hybridMultilevel"/>
    <w:tmpl w:val="8D765448"/>
    <w:lvl w:ilvl="0" w:tplc="9F002A56">
      <w:start w:val="1"/>
      <w:numFmt w:val="decimal"/>
      <w:lvlText w:val="%1."/>
      <w:lvlJc w:val="left"/>
    </w:lvl>
    <w:lvl w:ilvl="1" w:tplc="98940FEC">
      <w:start w:val="1"/>
      <w:numFmt w:val="upperLetter"/>
      <w:lvlText w:val="%2"/>
      <w:lvlJc w:val="left"/>
    </w:lvl>
    <w:lvl w:ilvl="2" w:tplc="425AEF0A">
      <w:numFmt w:val="decimal"/>
      <w:lvlText w:val=""/>
      <w:lvlJc w:val="left"/>
    </w:lvl>
    <w:lvl w:ilvl="3" w:tplc="F1783506">
      <w:numFmt w:val="decimal"/>
      <w:lvlText w:val=""/>
      <w:lvlJc w:val="left"/>
    </w:lvl>
    <w:lvl w:ilvl="4" w:tplc="A10CB25E">
      <w:numFmt w:val="decimal"/>
      <w:lvlText w:val=""/>
      <w:lvlJc w:val="left"/>
    </w:lvl>
    <w:lvl w:ilvl="5" w:tplc="511AB73A">
      <w:numFmt w:val="decimal"/>
      <w:lvlText w:val=""/>
      <w:lvlJc w:val="left"/>
    </w:lvl>
    <w:lvl w:ilvl="6" w:tplc="E5988B18">
      <w:numFmt w:val="decimal"/>
      <w:lvlText w:val=""/>
      <w:lvlJc w:val="left"/>
    </w:lvl>
    <w:lvl w:ilvl="7" w:tplc="B40CC5EC">
      <w:numFmt w:val="decimal"/>
      <w:lvlText w:val=""/>
      <w:lvlJc w:val="left"/>
    </w:lvl>
    <w:lvl w:ilvl="8" w:tplc="637C0690">
      <w:numFmt w:val="decimal"/>
      <w:lvlText w:val=""/>
      <w:lvlJc w:val="left"/>
    </w:lvl>
  </w:abstractNum>
  <w:abstractNum w:abstractNumId="34" w15:restartNumberingAfterBreak="0">
    <w:nsid w:val="79838CB2"/>
    <w:multiLevelType w:val="hybridMultilevel"/>
    <w:tmpl w:val="2CF05A26"/>
    <w:lvl w:ilvl="0" w:tplc="E594F780">
      <w:start w:val="1"/>
      <w:numFmt w:val="lowerLetter"/>
      <w:lvlText w:val="%1"/>
      <w:lvlJc w:val="left"/>
    </w:lvl>
    <w:lvl w:ilvl="1" w:tplc="A8068C1A">
      <w:numFmt w:val="decimal"/>
      <w:lvlText w:val=""/>
      <w:lvlJc w:val="left"/>
    </w:lvl>
    <w:lvl w:ilvl="2" w:tplc="403A5EE0">
      <w:numFmt w:val="decimal"/>
      <w:lvlText w:val=""/>
      <w:lvlJc w:val="left"/>
    </w:lvl>
    <w:lvl w:ilvl="3" w:tplc="17B26938">
      <w:numFmt w:val="decimal"/>
      <w:lvlText w:val=""/>
      <w:lvlJc w:val="left"/>
    </w:lvl>
    <w:lvl w:ilvl="4" w:tplc="1DEE9006">
      <w:numFmt w:val="decimal"/>
      <w:lvlText w:val=""/>
      <w:lvlJc w:val="left"/>
    </w:lvl>
    <w:lvl w:ilvl="5" w:tplc="C734AB50">
      <w:numFmt w:val="decimal"/>
      <w:lvlText w:val=""/>
      <w:lvlJc w:val="left"/>
    </w:lvl>
    <w:lvl w:ilvl="6" w:tplc="88A2331A">
      <w:numFmt w:val="decimal"/>
      <w:lvlText w:val=""/>
      <w:lvlJc w:val="left"/>
    </w:lvl>
    <w:lvl w:ilvl="7" w:tplc="BCAA53A2">
      <w:numFmt w:val="decimal"/>
      <w:lvlText w:val=""/>
      <w:lvlJc w:val="left"/>
    </w:lvl>
    <w:lvl w:ilvl="8" w:tplc="CB2600F2">
      <w:numFmt w:val="decimal"/>
      <w:lvlText w:val=""/>
      <w:lvlJc w:val="left"/>
    </w:lvl>
  </w:abstractNum>
  <w:abstractNum w:abstractNumId="35" w15:restartNumberingAfterBreak="0">
    <w:nsid w:val="7C3DBD3D"/>
    <w:multiLevelType w:val="hybridMultilevel"/>
    <w:tmpl w:val="ACACDB32"/>
    <w:lvl w:ilvl="0" w:tplc="CF3CAFDE">
      <w:start w:val="5"/>
      <w:numFmt w:val="decimal"/>
      <w:lvlText w:val="%1."/>
      <w:lvlJc w:val="left"/>
    </w:lvl>
    <w:lvl w:ilvl="1" w:tplc="8D768CB6">
      <w:start w:val="24"/>
      <w:numFmt w:val="upperLetter"/>
      <w:lvlText w:val="%2."/>
      <w:lvlJc w:val="left"/>
    </w:lvl>
    <w:lvl w:ilvl="2" w:tplc="C3B47698">
      <w:numFmt w:val="decimal"/>
      <w:lvlText w:val=""/>
      <w:lvlJc w:val="left"/>
    </w:lvl>
    <w:lvl w:ilvl="3" w:tplc="12BE8A62">
      <w:numFmt w:val="decimal"/>
      <w:lvlText w:val=""/>
      <w:lvlJc w:val="left"/>
    </w:lvl>
    <w:lvl w:ilvl="4" w:tplc="63B0EA58">
      <w:numFmt w:val="decimal"/>
      <w:lvlText w:val=""/>
      <w:lvlJc w:val="left"/>
    </w:lvl>
    <w:lvl w:ilvl="5" w:tplc="B652DA86">
      <w:numFmt w:val="decimal"/>
      <w:lvlText w:val=""/>
      <w:lvlJc w:val="left"/>
    </w:lvl>
    <w:lvl w:ilvl="6" w:tplc="07488EE8">
      <w:numFmt w:val="decimal"/>
      <w:lvlText w:val=""/>
      <w:lvlJc w:val="left"/>
    </w:lvl>
    <w:lvl w:ilvl="7" w:tplc="C6F4F598">
      <w:numFmt w:val="decimal"/>
      <w:lvlText w:val=""/>
      <w:lvlJc w:val="left"/>
    </w:lvl>
    <w:lvl w:ilvl="8" w:tplc="5A807A7C">
      <w:numFmt w:val="decimal"/>
      <w:lvlText w:val=""/>
      <w:lvlJc w:val="left"/>
    </w:lvl>
  </w:abstractNum>
  <w:abstractNum w:abstractNumId="36" w15:restartNumberingAfterBreak="0">
    <w:nsid w:val="7C83E458"/>
    <w:multiLevelType w:val="hybridMultilevel"/>
    <w:tmpl w:val="2E3032D0"/>
    <w:lvl w:ilvl="0" w:tplc="D3DAE68C">
      <w:start w:val="1"/>
      <w:numFmt w:val="decimal"/>
      <w:lvlText w:val="%1."/>
      <w:lvlJc w:val="left"/>
    </w:lvl>
    <w:lvl w:ilvl="1" w:tplc="358EDE54">
      <w:start w:val="35"/>
      <w:numFmt w:val="upperLetter"/>
      <w:lvlText w:val="%2."/>
      <w:lvlJc w:val="left"/>
    </w:lvl>
    <w:lvl w:ilvl="2" w:tplc="D5C22470">
      <w:numFmt w:val="decimal"/>
      <w:lvlText w:val=""/>
      <w:lvlJc w:val="left"/>
    </w:lvl>
    <w:lvl w:ilvl="3" w:tplc="66B80E64">
      <w:numFmt w:val="decimal"/>
      <w:lvlText w:val=""/>
      <w:lvlJc w:val="left"/>
    </w:lvl>
    <w:lvl w:ilvl="4" w:tplc="6EA04BCE">
      <w:numFmt w:val="decimal"/>
      <w:lvlText w:val=""/>
      <w:lvlJc w:val="left"/>
    </w:lvl>
    <w:lvl w:ilvl="5" w:tplc="83FCF9B4">
      <w:numFmt w:val="decimal"/>
      <w:lvlText w:val=""/>
      <w:lvlJc w:val="left"/>
    </w:lvl>
    <w:lvl w:ilvl="6" w:tplc="0E3C6896">
      <w:numFmt w:val="decimal"/>
      <w:lvlText w:val=""/>
      <w:lvlJc w:val="left"/>
    </w:lvl>
    <w:lvl w:ilvl="7" w:tplc="DE52B4F2">
      <w:numFmt w:val="decimal"/>
      <w:lvlText w:val=""/>
      <w:lvlJc w:val="left"/>
    </w:lvl>
    <w:lvl w:ilvl="8" w:tplc="313A0408">
      <w:numFmt w:val="decimal"/>
      <w:lvlText w:val=""/>
      <w:lvlJc w:val="left"/>
    </w:lvl>
  </w:abstractNum>
  <w:num w:numId="1">
    <w:abstractNumId w:val="36"/>
  </w:num>
  <w:num w:numId="2">
    <w:abstractNumId w:val="10"/>
  </w:num>
  <w:num w:numId="3">
    <w:abstractNumId w:val="26"/>
  </w:num>
  <w:num w:numId="4">
    <w:abstractNumId w:val="19"/>
  </w:num>
  <w:num w:numId="5">
    <w:abstractNumId w:val="25"/>
  </w:num>
  <w:num w:numId="6">
    <w:abstractNumId w:val="14"/>
  </w:num>
  <w:num w:numId="7">
    <w:abstractNumId w:val="30"/>
  </w:num>
  <w:num w:numId="8">
    <w:abstractNumId w:val="9"/>
  </w:num>
  <w:num w:numId="9">
    <w:abstractNumId w:val="12"/>
  </w:num>
  <w:num w:numId="10">
    <w:abstractNumId w:val="27"/>
  </w:num>
  <w:num w:numId="11">
    <w:abstractNumId w:val="32"/>
  </w:num>
  <w:num w:numId="12">
    <w:abstractNumId w:val="4"/>
  </w:num>
  <w:num w:numId="13">
    <w:abstractNumId w:val="34"/>
  </w:num>
  <w:num w:numId="14">
    <w:abstractNumId w:val="18"/>
  </w:num>
  <w:num w:numId="15">
    <w:abstractNumId w:val="5"/>
  </w:num>
  <w:num w:numId="16">
    <w:abstractNumId w:val="6"/>
  </w:num>
  <w:num w:numId="17">
    <w:abstractNumId w:val="22"/>
  </w:num>
  <w:num w:numId="18">
    <w:abstractNumId w:val="29"/>
  </w:num>
  <w:num w:numId="19">
    <w:abstractNumId w:val="11"/>
  </w:num>
  <w:num w:numId="20">
    <w:abstractNumId w:val="3"/>
  </w:num>
  <w:num w:numId="21">
    <w:abstractNumId w:val="0"/>
  </w:num>
  <w:num w:numId="22">
    <w:abstractNumId w:val="16"/>
  </w:num>
  <w:num w:numId="23">
    <w:abstractNumId w:val="2"/>
  </w:num>
  <w:num w:numId="24">
    <w:abstractNumId w:val="7"/>
  </w:num>
  <w:num w:numId="25">
    <w:abstractNumId w:val="35"/>
  </w:num>
  <w:num w:numId="26">
    <w:abstractNumId w:val="31"/>
  </w:num>
  <w:num w:numId="27">
    <w:abstractNumId w:val="28"/>
  </w:num>
  <w:num w:numId="28">
    <w:abstractNumId w:val="8"/>
  </w:num>
  <w:num w:numId="29">
    <w:abstractNumId w:val="21"/>
  </w:num>
  <w:num w:numId="30">
    <w:abstractNumId w:val="13"/>
  </w:num>
  <w:num w:numId="31">
    <w:abstractNumId w:val="24"/>
  </w:num>
  <w:num w:numId="32">
    <w:abstractNumId w:val="17"/>
  </w:num>
  <w:num w:numId="33">
    <w:abstractNumId w:val="23"/>
  </w:num>
  <w:num w:numId="34">
    <w:abstractNumId w:val="20"/>
  </w:num>
  <w:num w:numId="35">
    <w:abstractNumId w:val="1"/>
  </w:num>
  <w:num w:numId="36">
    <w:abstractNumId w:val="15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979"/>
    <w:rsid w:val="00CA5979"/>
    <w:rsid w:val="00D1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C3C77-C1A8-4A54-B8C0-38F01FA6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ojesodexo.cz/" TargetMode="External"/><Relationship Id="rId18" Type="http://schemas.openxmlformats.org/officeDocument/2006/relationships/hyperlink" Target="https://cz.sodexo.com/dokumenty-sodexo.html" TargetMode="External"/><Relationship Id="rId26" Type="http://schemas.openxmlformats.org/officeDocument/2006/relationships/hyperlink" Target="https://cz.sodexo.com/home/dokumenty-sodexo/sodexo-benefity/newsList-area/souhrnna-prohlaeni-sodexo-benefi/podminky-uzivani-benefitu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ojesodexo.cz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sodexo-ucet.cz/" TargetMode="External"/><Relationship Id="rId12" Type="http://schemas.openxmlformats.org/officeDocument/2006/relationships/hyperlink" Target="http://www.sodexo.cz/" TargetMode="External"/><Relationship Id="rId17" Type="http://schemas.openxmlformats.org/officeDocument/2006/relationships/hyperlink" Target="https://cz.sodexo.com/dokumenty-sodexo.html" TargetMode="External"/><Relationship Id="rId25" Type="http://schemas.openxmlformats.org/officeDocument/2006/relationships/hyperlink" Target="https://cz.sodexo.com/home/dokumenty-sodexo/sodexo-benefity/newsList-area/souhrnna-prohlaeni-sodexo-benefi/podminky-uzivani-benefitu.html" TargetMode="External"/><Relationship Id="rId33" Type="http://schemas.openxmlformats.org/officeDocument/2006/relationships/hyperlink" Target="https://cz.sodexo.com/home/dokumenty-sodexo/sodexo-benefity/newsList-area/souhrnna-prohlaeni-sodexo-benefi/podminky-uzivani-benefitu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cz.sodexo.com/dokumenty-sodexo/sodexo-benefity/prohlaseni-o-bezuhonnosti.html" TargetMode="External"/><Relationship Id="rId20" Type="http://schemas.openxmlformats.org/officeDocument/2006/relationships/hyperlink" Target="http://www.mujpass.cz/" TargetMode="External"/><Relationship Id="rId29" Type="http://schemas.openxmlformats.org/officeDocument/2006/relationships/hyperlink" Target="https://cz.sodexo.com/home/dokumenty-sodexo/sodexo-benefity/newsList-area/souhrnna-prohlaeni-sodexo-benefi/podminky-uzivani-benefitu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odexo-ucet.cz/" TargetMode="External"/><Relationship Id="rId11" Type="http://schemas.openxmlformats.org/officeDocument/2006/relationships/hyperlink" Target="https://cz.sodexo.com/dokumenty-sodexo/sodexo-benefity.html" TargetMode="External"/><Relationship Id="rId24" Type="http://schemas.openxmlformats.org/officeDocument/2006/relationships/hyperlink" Target="http://www.mojesodexo.cz/" TargetMode="External"/><Relationship Id="rId32" Type="http://schemas.openxmlformats.org/officeDocument/2006/relationships/hyperlink" Target="https://cz.sodexo.com/home/dokumenty-sodexo/sodexo-benefity/newsList-area/souhrnna-prohlaeni-sodexo-benefi/podminky-uzivani-benefitu.html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cz.sodexo.com/home/dokumenty-sodexo/sodexo-benefity/newsList-area/souhrnna-prohlaeni-sodexo-benefi/eticky-kodex.html" TargetMode="External"/><Relationship Id="rId23" Type="http://schemas.openxmlformats.org/officeDocument/2006/relationships/hyperlink" Target="http://www.mojesodexo.cz/" TargetMode="External"/><Relationship Id="rId28" Type="http://schemas.openxmlformats.org/officeDocument/2006/relationships/hyperlink" Target="https://cz.sodexo.com/home/dokumenty-sodexo/sodexo-benefity/newsList-area/souhrnna-prohlaeni-sodexo-benefi/podminky-uzivani-benefitu.html" TargetMode="External"/><Relationship Id="rId10" Type="http://schemas.openxmlformats.org/officeDocument/2006/relationships/hyperlink" Target="https://cz.sodexo.com/dokumenty-sodexo/sodexo-benefity.html" TargetMode="External"/><Relationship Id="rId19" Type="http://schemas.openxmlformats.org/officeDocument/2006/relationships/hyperlink" Target="http://www.sodexo.cz/" TargetMode="External"/><Relationship Id="rId31" Type="http://schemas.openxmlformats.org/officeDocument/2006/relationships/hyperlink" Target="https://cz.sodexo.com/home/dokumenty-sodexo/sodexo-benefity/newsList-area/souhrnna-prohlaeni-sodexo-benefi/podminky-uzivani-benefit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jesodexo.cz/" TargetMode="External"/><Relationship Id="rId14" Type="http://schemas.openxmlformats.org/officeDocument/2006/relationships/hyperlink" Target="http://www.mojesodexo.cz/" TargetMode="External"/><Relationship Id="rId22" Type="http://schemas.openxmlformats.org/officeDocument/2006/relationships/hyperlink" Target="mailto:info.cz@sodexo.com" TargetMode="External"/><Relationship Id="rId27" Type="http://schemas.openxmlformats.org/officeDocument/2006/relationships/hyperlink" Target="https://cz.sodexo.com/home/dokumenty-sodexo/sodexo-benefity/newsList-area/souhrnna-prohlaeni-sodexo-benefi/podminky-uzivani-benefitu.html" TargetMode="External"/><Relationship Id="rId30" Type="http://schemas.openxmlformats.org/officeDocument/2006/relationships/hyperlink" Target="https://cz.sodexo.com/home/dokumenty-sodexo/sodexo-benefity/newsList-area/souhrnna-prohlaeni-sodexo-benefi/podminky-uzivani-benefitu.html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klient-portal.sodexo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6045</Words>
  <Characters>35672</Characters>
  <Application>Microsoft Office Word</Application>
  <DocSecurity>4</DocSecurity>
  <Lines>297</Lines>
  <Paragraphs>83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moudrichova</cp:lastModifiedBy>
  <cp:revision>2</cp:revision>
  <dcterms:created xsi:type="dcterms:W3CDTF">2021-07-14T14:15:00Z</dcterms:created>
  <dcterms:modified xsi:type="dcterms:W3CDTF">2021-07-14T14:15:00Z</dcterms:modified>
</cp:coreProperties>
</file>