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F7" w:rsidRDefault="00A962F7">
      <w:pPr>
        <w:pStyle w:val="Nzev"/>
        <w:spacing w:before="0"/>
        <w:rPr>
          <w:rFonts w:ascii="Arial" w:hAnsi="Arial" w:cs="Arial"/>
          <w:sz w:val="32"/>
          <w:szCs w:val="32"/>
        </w:rPr>
      </w:pPr>
      <w:r>
        <w:rPr>
          <w:rFonts w:ascii="Arial" w:hAnsi="Arial" w:cs="Arial"/>
          <w:sz w:val="32"/>
          <w:szCs w:val="32"/>
        </w:rPr>
        <w:t xml:space="preserve">Smlouva o dílo </w:t>
      </w:r>
    </w:p>
    <w:p w:rsidR="00A962F7" w:rsidRDefault="00A962F7">
      <w:pPr>
        <w:pStyle w:val="Nzev"/>
        <w:spacing w:before="0"/>
        <w:rPr>
          <w:rFonts w:ascii="Arial" w:hAnsi="Arial" w:cs="Arial"/>
          <w:sz w:val="20"/>
          <w:szCs w:val="20"/>
        </w:rPr>
      </w:pPr>
    </w:p>
    <w:p w:rsidR="00A962F7" w:rsidRDefault="00A962F7">
      <w:pPr>
        <w:pStyle w:val="Nzev"/>
        <w:spacing w:before="0"/>
        <w:rPr>
          <w:rFonts w:ascii="Arial" w:hAnsi="Arial" w:cs="Arial"/>
          <w:b w:val="0"/>
          <w:bCs w:val="0"/>
          <w:sz w:val="22"/>
          <w:szCs w:val="22"/>
        </w:rPr>
      </w:pPr>
      <w:r>
        <w:rPr>
          <w:rFonts w:ascii="Arial" w:hAnsi="Arial" w:cs="Arial"/>
          <w:b w:val="0"/>
          <w:bCs w:val="0"/>
          <w:sz w:val="22"/>
          <w:szCs w:val="22"/>
        </w:rPr>
        <w:t>č. 0274/F7900/16/RS (objednatele)</w:t>
      </w:r>
      <w:r>
        <w:rPr>
          <w:rFonts w:ascii="Arial" w:hAnsi="Arial" w:cs="Arial"/>
          <w:b w:val="0"/>
          <w:bCs w:val="0"/>
          <w:sz w:val="22"/>
          <w:szCs w:val="22"/>
        </w:rPr>
        <w:tab/>
        <w:t>č. 25/2016 (zhotovitele)</w:t>
      </w:r>
    </w:p>
    <w:p w:rsidR="00A962F7" w:rsidRDefault="00A962F7">
      <w:pPr>
        <w:pStyle w:val="Nzev"/>
        <w:spacing w:before="0"/>
        <w:rPr>
          <w:rFonts w:ascii="Arial" w:hAnsi="Arial" w:cs="Arial"/>
          <w:b w:val="0"/>
          <w:bCs w:val="0"/>
          <w:sz w:val="22"/>
          <w:szCs w:val="22"/>
        </w:rPr>
      </w:pPr>
    </w:p>
    <w:p w:rsidR="00A962F7" w:rsidRPr="008952C9" w:rsidRDefault="00A962F7" w:rsidP="006C38B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A962F7" w:rsidRDefault="00A962F7">
      <w:pPr>
        <w:pStyle w:val="Nzev"/>
        <w:spacing w:before="100" w:beforeAutospacing="1" w:after="100" w:afterAutospacing="1"/>
        <w:rPr>
          <w:rFonts w:ascii="Arial" w:hAnsi="Arial" w:cs="Arial"/>
          <w:sz w:val="24"/>
          <w:szCs w:val="24"/>
        </w:rPr>
      </w:pPr>
      <w:r>
        <w:rPr>
          <w:rFonts w:ascii="Arial" w:hAnsi="Arial" w:cs="Arial"/>
          <w:sz w:val="24"/>
          <w:szCs w:val="24"/>
        </w:rPr>
        <w:t>I. Smluvní strany</w:t>
      </w:r>
    </w:p>
    <w:p w:rsidR="00A962F7" w:rsidRDefault="00A962F7">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t>Pražská vodohospodářská společnost a.s.</w:t>
      </w:r>
    </w:p>
    <w:p w:rsidR="00A962F7" w:rsidRDefault="00A962F7">
      <w:pPr>
        <w:rPr>
          <w:rFonts w:ascii="Arial" w:hAnsi="Arial" w:cs="Arial"/>
          <w:sz w:val="22"/>
          <w:szCs w:val="22"/>
        </w:rPr>
      </w:pPr>
      <w:r>
        <w:rPr>
          <w:rFonts w:ascii="Arial" w:hAnsi="Arial" w:cs="Arial"/>
          <w:sz w:val="22"/>
          <w:szCs w:val="22"/>
        </w:rPr>
        <w:t xml:space="preserve">se sídlem </w:t>
      </w:r>
      <w:r w:rsidRPr="004E23A5">
        <w:rPr>
          <w:rFonts w:ascii="Arial" w:hAnsi="Arial" w:cs="Arial"/>
          <w:sz w:val="22"/>
          <w:szCs w:val="22"/>
        </w:rPr>
        <w:t>Praha 1, Staré Město, Žatecká 110/2, PSČ 110 00</w:t>
      </w:r>
    </w:p>
    <w:p w:rsidR="00A962F7" w:rsidRDefault="00A962F7" w:rsidP="005E0C3B">
      <w:pPr>
        <w:ind w:left="1440" w:hanging="1440"/>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sidRPr="009E44BE">
        <w:rPr>
          <w:rFonts w:ascii="Arial" w:hAnsi="Arial" w:cs="Arial"/>
          <w:sz w:val="22"/>
          <w:szCs w:val="22"/>
        </w:rPr>
        <w:t>Ing. Petr</w:t>
      </w:r>
      <w:r>
        <w:rPr>
          <w:rFonts w:ascii="Arial" w:hAnsi="Arial" w:cs="Arial"/>
          <w:sz w:val="22"/>
          <w:szCs w:val="22"/>
        </w:rPr>
        <w:t>em</w:t>
      </w:r>
      <w:r w:rsidRPr="009E44BE">
        <w:rPr>
          <w:rFonts w:ascii="Arial" w:hAnsi="Arial" w:cs="Arial"/>
          <w:sz w:val="22"/>
          <w:szCs w:val="22"/>
        </w:rPr>
        <w:t xml:space="preserve"> Bureš</w:t>
      </w:r>
      <w:r>
        <w:rPr>
          <w:rFonts w:ascii="Arial" w:hAnsi="Arial" w:cs="Arial"/>
          <w:sz w:val="22"/>
          <w:szCs w:val="22"/>
        </w:rPr>
        <w:t>em, ředitelem obchodní divize,</w:t>
      </w:r>
      <w:r w:rsidRPr="009E44BE">
        <w:rPr>
          <w:rFonts w:ascii="Arial" w:hAnsi="Arial" w:cs="Arial"/>
          <w:sz w:val="22"/>
          <w:szCs w:val="22"/>
        </w:rPr>
        <w:t xml:space="preserve"> na základě pověření</w:t>
      </w:r>
    </w:p>
    <w:p w:rsidR="00A962F7" w:rsidRDefault="00A962F7" w:rsidP="005E0C3B">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25656112</w:t>
      </w:r>
    </w:p>
    <w:p w:rsidR="00A962F7" w:rsidRPr="00C662F6" w:rsidRDefault="00A962F7">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662F6">
        <w:rPr>
          <w:rFonts w:ascii="Arial" w:hAnsi="Arial" w:cs="Arial"/>
          <w:sz w:val="22"/>
          <w:szCs w:val="22"/>
        </w:rPr>
        <w:t>CZ25656112</w:t>
      </w:r>
    </w:p>
    <w:p w:rsidR="00A962F7" w:rsidRDefault="00A962F7" w:rsidP="00BB4C9C">
      <w:pPr>
        <w:spacing w:after="100" w:afterAutospacing="1"/>
        <w:rPr>
          <w:rFonts w:ascii="Arial" w:hAnsi="Arial" w:cs="Arial"/>
          <w:sz w:val="22"/>
          <w:szCs w:val="22"/>
        </w:rPr>
      </w:pPr>
      <w:r w:rsidRPr="00C662F6">
        <w:rPr>
          <w:rFonts w:ascii="Arial" w:hAnsi="Arial" w:cs="Arial"/>
          <w:sz w:val="22"/>
          <w:szCs w:val="22"/>
        </w:rPr>
        <w:t>zapsaná v obchodním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A962F7" w:rsidRDefault="00A962F7" w:rsidP="00BB4C9C">
      <w:pPr>
        <w:rPr>
          <w:rFonts w:ascii="Arial" w:hAnsi="Arial" w:cs="Arial"/>
          <w:sz w:val="22"/>
          <w:szCs w:val="22"/>
        </w:rPr>
      </w:pPr>
      <w:r>
        <w:rPr>
          <w:rFonts w:ascii="Arial" w:hAnsi="Arial" w:cs="Arial"/>
          <w:sz w:val="22"/>
          <w:szCs w:val="22"/>
        </w:rPr>
        <w:t>dále i jen objednatel</w:t>
      </w:r>
    </w:p>
    <w:p w:rsidR="00A962F7" w:rsidRDefault="00A962F7">
      <w:pPr>
        <w:rPr>
          <w:rFonts w:ascii="Arial" w:hAnsi="Arial" w:cs="Arial"/>
          <w:sz w:val="22"/>
          <w:szCs w:val="22"/>
        </w:rPr>
      </w:pPr>
    </w:p>
    <w:p w:rsidR="00A962F7" w:rsidRPr="00D14C53" w:rsidRDefault="00A962F7" w:rsidP="00302B79">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A962F7" w:rsidRDefault="00A962F7" w:rsidP="00302B79">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A962F7" w:rsidRDefault="00A962F7" w:rsidP="00302B79">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A962F7" w:rsidRDefault="00A962F7" w:rsidP="00302B79">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CZ470511043</w:t>
      </w:r>
    </w:p>
    <w:p w:rsidR="00A962F7" w:rsidRDefault="00A962F7" w:rsidP="00302B79">
      <w:pPr>
        <w:rPr>
          <w:rFonts w:ascii="Arial" w:hAnsi="Arial" w:cs="Arial"/>
          <w:sz w:val="22"/>
          <w:szCs w:val="22"/>
        </w:rPr>
      </w:pPr>
      <w:r>
        <w:rPr>
          <w:rFonts w:ascii="Arial" w:hAnsi="Arial" w:cs="Arial"/>
          <w:sz w:val="22"/>
          <w:szCs w:val="22"/>
        </w:rPr>
        <w:t xml:space="preserve">zapsaný v živnostenském rejstříku: </w:t>
      </w:r>
      <w:r>
        <w:rPr>
          <w:rFonts w:ascii="Arial" w:hAnsi="Arial" w:cs="Arial"/>
          <w:sz w:val="22"/>
          <w:szCs w:val="22"/>
        </w:rPr>
        <w:tab/>
      </w:r>
      <w:r>
        <w:rPr>
          <w:rFonts w:ascii="Arial" w:hAnsi="Arial" w:cs="Arial"/>
          <w:sz w:val="22"/>
          <w:szCs w:val="22"/>
        </w:rPr>
        <w:tab/>
      </w:r>
      <w:r>
        <w:rPr>
          <w:rFonts w:ascii="Arial" w:hAnsi="Arial" w:cs="Arial"/>
          <w:sz w:val="22"/>
          <w:szCs w:val="22"/>
        </w:rPr>
        <w:tab/>
        <w:t>ŽIO/T/7508/96/TOP/AUL</w:t>
      </w:r>
    </w:p>
    <w:p w:rsidR="00A962F7" w:rsidRDefault="00A962F7" w:rsidP="00302B79">
      <w:pPr>
        <w:rPr>
          <w:rFonts w:ascii="Arial" w:hAnsi="Arial" w:cs="Arial"/>
          <w:sz w:val="22"/>
          <w:szCs w:val="22"/>
        </w:rPr>
      </w:pPr>
    </w:p>
    <w:p w:rsidR="00A962F7" w:rsidRDefault="00A962F7" w:rsidP="00302B79">
      <w:pPr>
        <w:rPr>
          <w:rFonts w:ascii="Arial" w:hAnsi="Arial" w:cs="Arial"/>
        </w:rPr>
      </w:pPr>
      <w:r>
        <w:rPr>
          <w:rFonts w:ascii="Arial" w:hAnsi="Arial" w:cs="Arial"/>
          <w:sz w:val="22"/>
          <w:szCs w:val="22"/>
        </w:rPr>
        <w:t>dále i jen zhotovitel</w:t>
      </w:r>
    </w:p>
    <w:p w:rsidR="00A962F7" w:rsidRDefault="00A962F7">
      <w:pPr>
        <w:spacing w:before="120" w:line="20" w:lineRule="atLeast"/>
        <w:jc w:val="both"/>
        <w:rPr>
          <w:rFonts w:ascii="Arial" w:hAnsi="Arial" w:cs="Arial"/>
          <w:snapToGrid w:val="0"/>
        </w:rPr>
      </w:pPr>
    </w:p>
    <w:p w:rsidR="00A962F7" w:rsidRDefault="00A962F7" w:rsidP="00BA7E1B">
      <w:pPr>
        <w:pStyle w:val="Nadpis8"/>
        <w:spacing w:before="0" w:after="100" w:afterAutospacing="1"/>
        <w:rPr>
          <w:rFonts w:ascii="Arial" w:hAnsi="Arial" w:cs="Arial"/>
          <w:snapToGrid w:val="0"/>
          <w:sz w:val="24"/>
          <w:szCs w:val="24"/>
        </w:rPr>
      </w:pPr>
      <w:r>
        <w:rPr>
          <w:rFonts w:ascii="Arial" w:hAnsi="Arial" w:cs="Arial"/>
          <w:sz w:val="24"/>
          <w:szCs w:val="24"/>
        </w:rPr>
        <w:t>II. Předmět plnění</w:t>
      </w:r>
    </w:p>
    <w:p w:rsidR="00A962F7" w:rsidRPr="001E1311" w:rsidRDefault="00A962F7" w:rsidP="00BA7E1B">
      <w:pPr>
        <w:spacing w:line="20" w:lineRule="atLeast"/>
        <w:jc w:val="both"/>
        <w:rPr>
          <w:rFonts w:ascii="Arial" w:hAnsi="Arial" w:cs="Arial"/>
          <w:snapToGrid w:val="0"/>
          <w:sz w:val="22"/>
          <w:szCs w:val="22"/>
        </w:rPr>
      </w:pPr>
      <w:r>
        <w:rPr>
          <w:rFonts w:ascii="Arial" w:hAnsi="Arial" w:cs="Arial"/>
          <w:snapToGrid w:val="0"/>
          <w:sz w:val="22"/>
          <w:szCs w:val="22"/>
        </w:rPr>
        <w:t xml:space="preserve">Předmětem plnění je </w:t>
      </w:r>
      <w:r w:rsidRPr="009A2542">
        <w:rPr>
          <w:rFonts w:ascii="Arial" w:hAnsi="Arial" w:cs="Arial"/>
          <w:snapToGrid w:val="0"/>
          <w:sz w:val="22"/>
          <w:szCs w:val="22"/>
        </w:rPr>
        <w:t>na základě poptávky k podání nabídky na zakázku malého rozsahu a předloženého</w:t>
      </w:r>
      <w:r>
        <w:rPr>
          <w:rFonts w:ascii="Arial" w:hAnsi="Arial" w:cs="Arial"/>
          <w:snapToGrid w:val="0"/>
          <w:sz w:val="22"/>
          <w:szCs w:val="22"/>
        </w:rPr>
        <w:t xml:space="preserve"> zadání</w:t>
      </w:r>
    </w:p>
    <w:p w:rsidR="00A962F7" w:rsidRPr="00282777" w:rsidRDefault="00A962F7" w:rsidP="00402131">
      <w:pPr>
        <w:numPr>
          <w:ilvl w:val="0"/>
          <w:numId w:val="6"/>
        </w:numPr>
        <w:tabs>
          <w:tab w:val="clear" w:pos="644"/>
          <w:tab w:val="num" w:pos="709"/>
        </w:tabs>
        <w:spacing w:before="120" w:line="20" w:lineRule="atLeast"/>
        <w:ind w:left="709" w:hanging="425"/>
        <w:jc w:val="both"/>
        <w:rPr>
          <w:rFonts w:ascii="Arial" w:hAnsi="Arial" w:cs="Arial"/>
          <w:snapToGrid w:val="0"/>
          <w:sz w:val="22"/>
          <w:szCs w:val="22"/>
        </w:rPr>
      </w:pPr>
      <w:r>
        <w:rPr>
          <w:rFonts w:ascii="Arial" w:hAnsi="Arial" w:cs="Arial"/>
          <w:snapToGrid w:val="0"/>
          <w:sz w:val="22"/>
          <w:szCs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(dále i DPS) </w:t>
      </w:r>
    </w:p>
    <w:p w:rsidR="00A962F7" w:rsidRDefault="00A962F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A962F7" w:rsidRDefault="00A962F7" w:rsidP="00FD5DEE">
      <w:pPr>
        <w:spacing w:line="20" w:lineRule="atLeast"/>
        <w:jc w:val="both"/>
        <w:rPr>
          <w:rFonts w:ascii="Arial" w:hAnsi="Arial" w:cs="Arial"/>
          <w:snapToGrid w:val="0"/>
          <w:sz w:val="22"/>
          <w:szCs w:val="22"/>
        </w:rPr>
      </w:pPr>
      <w:r>
        <w:rPr>
          <w:rFonts w:ascii="Arial" w:hAnsi="Arial" w:cs="Arial"/>
          <w:snapToGrid w:val="0"/>
          <w:sz w:val="22"/>
          <w:szCs w:val="22"/>
        </w:rPr>
        <w:t xml:space="preserve">pro akci </w:t>
      </w:r>
      <w:r>
        <w:rPr>
          <w:rFonts w:ascii="Arial" w:hAnsi="Arial" w:cs="Arial"/>
          <w:b/>
          <w:bCs/>
          <w:snapToGrid w:val="0"/>
          <w:sz w:val="22"/>
          <w:szCs w:val="22"/>
        </w:rPr>
        <w:t>„</w:t>
      </w:r>
      <w:r w:rsidRPr="008B013A">
        <w:rPr>
          <w:rFonts w:ascii="Arial" w:hAnsi="Arial" w:cs="Arial"/>
          <w:b/>
          <w:bCs/>
          <w:snapToGrid w:val="0"/>
          <w:sz w:val="22"/>
          <w:szCs w:val="22"/>
        </w:rPr>
        <w:t>Obnova vodovodních řadů, ul. Kounická a okolí, P</w:t>
      </w:r>
      <w:r>
        <w:rPr>
          <w:rFonts w:ascii="Arial" w:hAnsi="Arial" w:cs="Arial"/>
          <w:b/>
          <w:bCs/>
          <w:snapToGrid w:val="0"/>
          <w:sz w:val="22"/>
          <w:szCs w:val="22"/>
        </w:rPr>
        <w:t xml:space="preserve">raha </w:t>
      </w:r>
      <w:r w:rsidRPr="008B013A">
        <w:rPr>
          <w:rFonts w:ascii="Arial" w:hAnsi="Arial" w:cs="Arial"/>
          <w:b/>
          <w:bCs/>
          <w:snapToGrid w:val="0"/>
          <w:sz w:val="22"/>
          <w:szCs w:val="22"/>
        </w:rPr>
        <w:t>10</w:t>
      </w:r>
      <w:r>
        <w:rPr>
          <w:rFonts w:ascii="Arial" w:hAnsi="Arial" w:cs="Arial"/>
          <w:b/>
          <w:bCs/>
          <w:snapToGrid w:val="0"/>
          <w:sz w:val="22"/>
          <w:szCs w:val="22"/>
        </w:rPr>
        <w:t>“,</w:t>
      </w:r>
      <w:r>
        <w:rPr>
          <w:rFonts w:ascii="Arial" w:hAnsi="Arial" w:cs="Arial"/>
          <w:snapToGrid w:val="0"/>
          <w:sz w:val="22"/>
          <w:szCs w:val="22"/>
        </w:rPr>
        <w:t xml:space="preserve"> číslo investiční akce 1/4/F79/00</w:t>
      </w:r>
    </w:p>
    <w:p w:rsidR="00A962F7" w:rsidRDefault="00A962F7" w:rsidP="00837283">
      <w:pPr>
        <w:spacing w:line="20" w:lineRule="atLeast"/>
        <w:jc w:val="both"/>
        <w:rPr>
          <w:rFonts w:ascii="Arial" w:hAnsi="Arial" w:cs="Arial"/>
          <w:snapToGrid w:val="0"/>
          <w:sz w:val="22"/>
          <w:szCs w:val="22"/>
        </w:rPr>
      </w:pPr>
      <w:r>
        <w:rPr>
          <w:rFonts w:ascii="Arial" w:hAnsi="Arial" w:cs="Arial"/>
          <w:snapToGrid w:val="0"/>
          <w:sz w:val="22"/>
          <w:szCs w:val="22"/>
        </w:rPr>
        <w:t xml:space="preserve">v následujícím rozsahu: </w:t>
      </w:r>
      <w:r w:rsidRPr="00B46C69">
        <w:rPr>
          <w:rFonts w:ascii="Arial" w:hAnsi="Arial" w:cs="Arial"/>
          <w:b/>
          <w:bCs/>
          <w:snapToGrid w:val="0"/>
          <w:sz w:val="22"/>
          <w:szCs w:val="22"/>
        </w:rPr>
        <w:t>ul. Kounická</w:t>
      </w:r>
      <w:r>
        <w:rPr>
          <w:rFonts w:ascii="Arial" w:hAnsi="Arial" w:cs="Arial"/>
          <w:snapToGrid w:val="0"/>
          <w:sz w:val="22"/>
          <w:szCs w:val="22"/>
        </w:rPr>
        <w:t xml:space="preserve">: obnova DN100 – 576m a DN80 – 110m. Stávající úseky řadu odlišných dimenzí obnovit pokládkou nového řadu v dimenzí potrubí DN100 z TLT. </w:t>
      </w:r>
      <w:r w:rsidRPr="00B46C69">
        <w:rPr>
          <w:rFonts w:ascii="Arial" w:hAnsi="Arial" w:cs="Arial"/>
          <w:b/>
          <w:bCs/>
          <w:snapToGrid w:val="0"/>
          <w:sz w:val="22"/>
          <w:szCs w:val="22"/>
        </w:rPr>
        <w:t>ul. V Úžlabině</w:t>
      </w:r>
      <w:r>
        <w:rPr>
          <w:rFonts w:ascii="Arial" w:hAnsi="Arial" w:cs="Arial"/>
          <w:snapToGrid w:val="0"/>
          <w:sz w:val="22"/>
          <w:szCs w:val="22"/>
        </w:rPr>
        <w:t xml:space="preserve">: obnova DN100 – 221m a DN80 – 470m. Stávající úseky řadu odlišných dimenzí obnovit pokládkou nového řadu v dimenzí potrubí DN100 z TLT. </w:t>
      </w:r>
      <w:r w:rsidRPr="00B46C69">
        <w:rPr>
          <w:rFonts w:ascii="Arial" w:hAnsi="Arial" w:cs="Arial"/>
          <w:b/>
          <w:bCs/>
          <w:snapToGrid w:val="0"/>
          <w:sz w:val="22"/>
          <w:szCs w:val="22"/>
        </w:rPr>
        <w:t>ul. Tuklatská</w:t>
      </w:r>
      <w:r>
        <w:rPr>
          <w:rFonts w:ascii="Arial" w:hAnsi="Arial" w:cs="Arial"/>
          <w:snapToGrid w:val="0"/>
          <w:sz w:val="22"/>
          <w:szCs w:val="22"/>
        </w:rPr>
        <w:t xml:space="preserve">: obnova DN100 – 103m a DN80 – 94m. Stávající úseky řadu odlišných dimenzí obnovit pokládkou nového řadu v dimenzí potrubí DN100 z TLT. </w:t>
      </w:r>
      <w:r w:rsidRPr="00B46C69">
        <w:rPr>
          <w:rFonts w:ascii="Arial" w:hAnsi="Arial" w:cs="Arial"/>
          <w:b/>
          <w:bCs/>
          <w:snapToGrid w:val="0"/>
          <w:sz w:val="22"/>
          <w:szCs w:val="22"/>
        </w:rPr>
        <w:t>ul. Rostoklatská</w:t>
      </w:r>
      <w:r>
        <w:rPr>
          <w:rFonts w:ascii="Arial" w:hAnsi="Arial" w:cs="Arial"/>
          <w:snapToGrid w:val="0"/>
          <w:sz w:val="22"/>
          <w:szCs w:val="22"/>
        </w:rPr>
        <w:t xml:space="preserve">: obnova DN80 – 118m. Stávající řad obnovit pokládkou nového řadu v dimenzí potrubí DN100 z TLT. </w:t>
      </w:r>
      <w:r w:rsidRPr="00B46C69">
        <w:rPr>
          <w:rFonts w:ascii="Arial" w:hAnsi="Arial" w:cs="Arial"/>
          <w:b/>
          <w:bCs/>
          <w:snapToGrid w:val="0"/>
          <w:sz w:val="22"/>
          <w:szCs w:val="22"/>
        </w:rPr>
        <w:t>ul. Tismická</w:t>
      </w:r>
      <w:r>
        <w:rPr>
          <w:rFonts w:ascii="Arial" w:hAnsi="Arial" w:cs="Arial"/>
          <w:snapToGrid w:val="0"/>
          <w:sz w:val="22"/>
          <w:szCs w:val="22"/>
        </w:rPr>
        <w:t xml:space="preserve">: obnova DN80 – 159m. Stávající řad obnovit pokládkou nového řadu v dimenzí potrubí DN100 z TLT. </w:t>
      </w:r>
      <w:r w:rsidRPr="00B46C69">
        <w:rPr>
          <w:rFonts w:ascii="Arial" w:hAnsi="Arial" w:cs="Arial"/>
          <w:b/>
          <w:bCs/>
          <w:snapToGrid w:val="0"/>
          <w:sz w:val="22"/>
          <w:szCs w:val="22"/>
        </w:rPr>
        <w:t>ul. Břežanská</w:t>
      </w:r>
      <w:r>
        <w:rPr>
          <w:rFonts w:ascii="Arial" w:hAnsi="Arial" w:cs="Arial"/>
          <w:snapToGrid w:val="0"/>
          <w:sz w:val="22"/>
          <w:szCs w:val="22"/>
        </w:rPr>
        <w:t>: obnova DN80 – 124m. Stávající řad obnovit pokládkou nového řadu v dimenzí potrubí DN100 z TLT</w:t>
      </w:r>
      <w:r w:rsidRPr="00B46C69">
        <w:rPr>
          <w:rFonts w:ascii="Arial" w:hAnsi="Arial" w:cs="Arial"/>
          <w:b/>
          <w:bCs/>
          <w:snapToGrid w:val="0"/>
          <w:sz w:val="22"/>
          <w:szCs w:val="22"/>
        </w:rPr>
        <w:t>. ul. Malínská</w:t>
      </w:r>
      <w:r>
        <w:rPr>
          <w:rFonts w:ascii="Arial" w:hAnsi="Arial" w:cs="Arial"/>
          <w:snapToGrid w:val="0"/>
          <w:sz w:val="22"/>
          <w:szCs w:val="22"/>
        </w:rPr>
        <w:t xml:space="preserve">: obnova DN150 – 86m a </w:t>
      </w:r>
      <w:r>
        <w:rPr>
          <w:rFonts w:ascii="Arial" w:hAnsi="Arial" w:cs="Arial"/>
          <w:snapToGrid w:val="0"/>
          <w:sz w:val="22"/>
          <w:szCs w:val="22"/>
        </w:rPr>
        <w:br/>
        <w:t xml:space="preserve">DN 80 – 110m. Stávající dva řady obnovit pokládkou jediného nového řadu v dimenzí potrubí DN100 z TLT. </w:t>
      </w:r>
      <w:r w:rsidRPr="00B46C69">
        <w:rPr>
          <w:rFonts w:ascii="Arial" w:hAnsi="Arial" w:cs="Arial"/>
          <w:b/>
          <w:bCs/>
          <w:snapToGrid w:val="0"/>
          <w:sz w:val="22"/>
          <w:szCs w:val="22"/>
        </w:rPr>
        <w:t>ul. Vykáňská</w:t>
      </w:r>
      <w:r>
        <w:rPr>
          <w:rFonts w:ascii="Arial" w:hAnsi="Arial" w:cs="Arial"/>
          <w:snapToGrid w:val="0"/>
          <w:sz w:val="22"/>
          <w:szCs w:val="22"/>
        </w:rPr>
        <w:t xml:space="preserve">: obnova DN80 – 231m. Stávající řad obnovit pokládkou nového řadu v dimenzí potrubí DN100 z TLT. </w:t>
      </w:r>
      <w:r w:rsidRPr="00B46C69">
        <w:rPr>
          <w:rFonts w:ascii="Arial" w:hAnsi="Arial" w:cs="Arial"/>
          <w:b/>
          <w:bCs/>
          <w:snapToGrid w:val="0"/>
          <w:sz w:val="22"/>
          <w:szCs w:val="22"/>
        </w:rPr>
        <w:t>ul. Černická</w:t>
      </w:r>
      <w:r>
        <w:rPr>
          <w:rFonts w:ascii="Arial" w:hAnsi="Arial" w:cs="Arial"/>
          <w:snapToGrid w:val="0"/>
          <w:sz w:val="22"/>
          <w:szCs w:val="22"/>
        </w:rPr>
        <w:t xml:space="preserve">: obnova DN100 – 140m a DN80 – 110m. Stávající úseky řadu odlišných dimenzí obnovit pokládkou nového řadu v dimenzí potrubí DN100 z TLT. </w:t>
      </w:r>
      <w:r w:rsidRPr="00B46C69">
        <w:rPr>
          <w:rFonts w:ascii="Arial" w:hAnsi="Arial" w:cs="Arial"/>
          <w:b/>
          <w:bCs/>
          <w:snapToGrid w:val="0"/>
          <w:sz w:val="22"/>
          <w:szCs w:val="22"/>
        </w:rPr>
        <w:t>ul. Tejnická</w:t>
      </w:r>
      <w:r>
        <w:rPr>
          <w:rFonts w:ascii="Arial" w:hAnsi="Arial" w:cs="Arial"/>
          <w:snapToGrid w:val="0"/>
          <w:sz w:val="22"/>
          <w:szCs w:val="22"/>
        </w:rPr>
        <w:t xml:space="preserve">: obnova DN100 - 232m. Stávající řad obnovit pokládkou nového řadu v dimenzí potrubí </w:t>
      </w:r>
      <w:r>
        <w:rPr>
          <w:rFonts w:ascii="Arial" w:hAnsi="Arial" w:cs="Arial"/>
          <w:snapToGrid w:val="0"/>
          <w:sz w:val="22"/>
          <w:szCs w:val="22"/>
        </w:rPr>
        <w:lastRenderedPageBreak/>
        <w:t xml:space="preserve">DN100 z TLT. </w:t>
      </w:r>
      <w:r w:rsidRPr="00B46C69">
        <w:rPr>
          <w:rFonts w:ascii="Arial" w:hAnsi="Arial" w:cs="Arial"/>
          <w:b/>
          <w:bCs/>
          <w:snapToGrid w:val="0"/>
          <w:sz w:val="22"/>
          <w:szCs w:val="22"/>
        </w:rPr>
        <w:t>ul. Limuzská</w:t>
      </w:r>
      <w:r>
        <w:rPr>
          <w:rFonts w:ascii="Arial" w:hAnsi="Arial" w:cs="Arial"/>
          <w:snapToGrid w:val="0"/>
          <w:sz w:val="22"/>
          <w:szCs w:val="22"/>
        </w:rPr>
        <w:t xml:space="preserve">: obnova DN100 – 179m. Stávající řad obnovit pokládkou nového řadu v dimenzí potrubí DN100 z TLT. </w:t>
      </w:r>
    </w:p>
    <w:p w:rsidR="00A962F7" w:rsidRDefault="00A962F7">
      <w:pPr>
        <w:spacing w:line="20" w:lineRule="atLeast"/>
        <w:jc w:val="both"/>
        <w:rPr>
          <w:rFonts w:ascii="Arial" w:hAnsi="Arial" w:cs="Arial"/>
          <w:snapToGrid w:val="0"/>
        </w:rPr>
      </w:pPr>
      <w:r>
        <w:rPr>
          <w:rFonts w:ascii="Arial" w:hAnsi="Arial" w:cs="Arial"/>
          <w:snapToGrid w:val="0"/>
          <w:sz w:val="22"/>
          <w:szCs w:val="22"/>
        </w:rPr>
        <w:t>Celkově k obnově: 3063m VŘ. V rámci obnovy zřídit vodoměrnou-redukční šachtu na propoji s DN300 při křižovatce v Úžlabině x Limuzská. Šachtu uvažovat ve výbavě pro začlenění technologií do IŘS. Vodovodní přípojky ve veřejné části je žádoucí obnovit s obnovou řadů. Počty přípojek: Kounická-58ks, V Úžlabině-27ks, Tuklatská-6ks, Rostoklatská-7ks, Tismická-14ks, Břežanská-8ks, Malínská-7ks, Vykáňská-24ks, Černická-16ks, Tejnická-18ks, Limuzská-8ks. Celkový počet přípojek 193ks</w:t>
      </w:r>
    </w:p>
    <w:p w:rsidR="00A962F7" w:rsidRDefault="00A962F7">
      <w:pPr>
        <w:spacing w:before="120"/>
        <w:jc w:val="both"/>
        <w:rPr>
          <w:rFonts w:ascii="Arial" w:hAnsi="Arial" w:cs="Arial"/>
          <w:snapToGrid w:val="0"/>
          <w:sz w:val="22"/>
          <w:szCs w:val="22"/>
        </w:rPr>
      </w:pPr>
      <w:r>
        <w:rPr>
          <w:rFonts w:ascii="Arial" w:hAnsi="Arial" w:cs="Arial"/>
          <w:snapToGrid w:val="0"/>
          <w:sz w:val="22"/>
          <w:szCs w:val="22"/>
        </w:rPr>
        <w:t>Zhotovitel prohlašuje</w:t>
      </w:r>
      <w:r w:rsidRPr="009A2542">
        <w:rPr>
          <w:rFonts w:ascii="Arial" w:hAnsi="Arial" w:cs="Arial"/>
          <w:snapToGrid w:val="0"/>
          <w:sz w:val="22"/>
          <w:szCs w:val="22"/>
        </w:rPr>
        <w:t>, že se podrobně seznámil s obsahem zadávací dokumentace k podání nabídky na zakázku malého rozsahu. Zhotovitel prohlašuje, že na základě své odborné způsobilosti posoudil obsah zadávací dokumentace, a že jsou mu ke dni uzavření této smlouvy známy ze strany objednatele všechny skutečnosti potřebné k realizaci předmětu díla</w:t>
      </w:r>
      <w:r>
        <w:rPr>
          <w:rFonts w:ascii="Arial" w:hAnsi="Arial" w:cs="Arial"/>
          <w:snapToGrid w:val="0"/>
          <w:sz w:val="22"/>
          <w:szCs w:val="22"/>
        </w:rPr>
        <w:t xml:space="preserve"> a na základě těchto znalostí uzavírá s plnou odpovědností níže uvedená smluvní ujednání. </w:t>
      </w:r>
      <w:r w:rsidRPr="00AA1625">
        <w:rPr>
          <w:rFonts w:ascii="Arial" w:hAnsi="Arial" w:cs="Arial"/>
          <w:snapToGrid w:val="0"/>
          <w:sz w:val="22"/>
          <w:szCs w:val="22"/>
        </w:rPr>
        <w:t xml:space="preserve">Zhotovitel rovněž prohlašuje, že provedl před uzavřením této smlouvy prohlídku místa plnění v zájmovém území umístění stavby, </w:t>
      </w:r>
      <w:r>
        <w:rPr>
          <w:rFonts w:ascii="Arial" w:hAnsi="Arial" w:cs="Arial"/>
          <w:snapToGrid w:val="0"/>
          <w:sz w:val="22"/>
          <w:szCs w:val="22"/>
        </w:rPr>
        <w:t xml:space="preserve">a </w:t>
      </w:r>
      <w:r w:rsidRPr="00AA1625">
        <w:rPr>
          <w:rFonts w:ascii="Arial" w:hAnsi="Arial" w:cs="Arial"/>
          <w:snapToGrid w:val="0"/>
          <w:sz w:val="22"/>
          <w:szCs w:val="22"/>
        </w:rPr>
        <w:t>jsou mu známy všeobecné poměry a veškeré skutečnosti rozhodující pro provedení díla.</w:t>
      </w:r>
    </w:p>
    <w:p w:rsidR="00A962F7" w:rsidRDefault="00A962F7" w:rsidP="00431696">
      <w:pPr>
        <w:spacing w:before="120"/>
        <w:jc w:val="both"/>
        <w:rPr>
          <w:rFonts w:ascii="Arial" w:hAnsi="Arial" w:cs="Arial"/>
          <w:snapToGrid w:val="0"/>
          <w:sz w:val="22"/>
          <w:szCs w:val="22"/>
        </w:rPr>
      </w:pPr>
      <w:r w:rsidRPr="009A2542">
        <w:rPr>
          <w:rFonts w:ascii="Arial" w:hAnsi="Arial" w:cs="Arial"/>
          <w:snapToGrid w:val="0"/>
          <w:sz w:val="22"/>
          <w:szCs w:val="22"/>
        </w:rPr>
        <w:t>Projektová dokumentace pro provádění stavby bude vypracována v souladu s obecně závaznými právními předpisy, technickými normami, Městskými standardy vodárenských a kanalizačních zařízení na území hl. m. Prahy a požadavky orgánů státní správy, samosprávy a dotčených subjektů. Dokumentace provádění stavby  bude v souladu a v rozsahu s vyhláškou č. 499/2006 Sb. o dokumentaci staveb, s vyhláškou č. 230/2012 Sb. o vymezení předmětu veřejné zakázky na stavební práce a rozsahu soupisu stavebních prací, dodávek a služeb s výkazem výměr a s požadavky Sazebníku UNIKA. V dokumentaci budou zapracovány a dodrženy podmínky vyjadřujících se orgánů a organizací.</w:t>
      </w:r>
    </w:p>
    <w:p w:rsidR="00A962F7" w:rsidRDefault="00A962F7" w:rsidP="00431696">
      <w:pPr>
        <w:spacing w:before="120"/>
        <w:jc w:val="both"/>
        <w:rPr>
          <w:rFonts w:ascii="Arial" w:hAnsi="Arial" w:cs="Arial"/>
          <w:snapToGrid w:val="0"/>
          <w:sz w:val="22"/>
          <w:szCs w:val="22"/>
        </w:rPr>
      </w:pPr>
    </w:p>
    <w:p w:rsidR="00A962F7" w:rsidRPr="00DB67E6" w:rsidRDefault="00A962F7" w:rsidP="00DB67E6">
      <w:pPr>
        <w:tabs>
          <w:tab w:val="left" w:pos="1985"/>
          <w:tab w:val="left" w:pos="3402"/>
          <w:tab w:val="left" w:pos="7088"/>
        </w:tabs>
        <w:jc w:val="both"/>
        <w:rPr>
          <w:rFonts w:ascii="Arial" w:hAnsi="Arial" w:cs="Arial"/>
          <w:noProof/>
          <w:sz w:val="22"/>
          <w:szCs w:val="22"/>
        </w:rPr>
      </w:pPr>
      <w:r>
        <w:rPr>
          <w:rFonts w:ascii="Arial" w:hAnsi="Arial" w:cs="Arial"/>
          <w:noProof/>
          <w:sz w:val="22"/>
          <w:szCs w:val="22"/>
        </w:rPr>
        <w:t>Dokumentace bude odevzdána v</w:t>
      </w:r>
      <w:r w:rsidRPr="00DB67E6">
        <w:rPr>
          <w:rFonts w:ascii="Arial" w:hAnsi="Arial" w:cs="Arial"/>
          <w:noProof/>
          <w:sz w:val="22"/>
          <w:szCs w:val="22"/>
        </w:rPr>
        <w:t xml:space="preserve"> papírové formě v 6 vyhotoveních</w:t>
      </w:r>
      <w:r>
        <w:rPr>
          <w:rFonts w:ascii="Arial" w:hAnsi="Arial" w:cs="Arial"/>
          <w:noProof/>
          <w:sz w:val="22"/>
          <w:szCs w:val="22"/>
        </w:rPr>
        <w:t>,</w:t>
      </w:r>
      <w:r w:rsidRPr="00DB67E6">
        <w:rPr>
          <w:rFonts w:ascii="Arial" w:hAnsi="Arial" w:cs="Arial"/>
          <w:noProof/>
          <w:sz w:val="22"/>
          <w:szCs w:val="22"/>
        </w:rPr>
        <w:t xml:space="preserve"> včetně 2x kontrolního rozpočtu, 2x soupisu prací a navíc 6x situace obnovy povrchů odsouhlasená TSK hl.m.Prahy. </w:t>
      </w:r>
    </w:p>
    <w:p w:rsidR="00A962F7" w:rsidRPr="00DB67E6" w:rsidRDefault="00A962F7"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V digitální formě bude dokumentace odevzdána na  jednom CD ve formátu DWG a PDF s rozpočtem  ve formátu KROS a XLS a soupisem prací. </w:t>
      </w:r>
    </w:p>
    <w:p w:rsidR="00A962F7" w:rsidRPr="00DB67E6" w:rsidRDefault="00A962F7"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 xml:space="preserve">Dále budou předána dvě CD s dokumentací v PDF a se soupisem prací ve formátu XLS včetně určení kódů CPV. </w:t>
      </w:r>
    </w:p>
    <w:p w:rsidR="00A962F7" w:rsidRPr="00DB67E6" w:rsidRDefault="00A962F7" w:rsidP="00DB67E6">
      <w:pPr>
        <w:tabs>
          <w:tab w:val="left" w:pos="1985"/>
          <w:tab w:val="left" w:pos="3402"/>
          <w:tab w:val="left" w:pos="7088"/>
        </w:tabs>
        <w:jc w:val="both"/>
        <w:rPr>
          <w:rFonts w:ascii="Arial" w:hAnsi="Arial" w:cs="Arial"/>
          <w:noProof/>
          <w:sz w:val="22"/>
          <w:szCs w:val="22"/>
        </w:rPr>
      </w:pPr>
      <w:r w:rsidRPr="00DB67E6">
        <w:rPr>
          <w:rFonts w:ascii="Arial" w:hAnsi="Arial" w:cs="Arial"/>
          <w:noProof/>
          <w:sz w:val="22"/>
          <w:szCs w:val="22"/>
        </w:rPr>
        <w:t>Součástí dokumentace bude návrh bezpečnostního a kontrolního měření včetně soupisu prací ve formátu XLS odevzdán papírově i samostatně na CD.</w:t>
      </w:r>
    </w:p>
    <w:p w:rsidR="00A962F7" w:rsidRDefault="00A962F7" w:rsidP="00431696">
      <w:pPr>
        <w:spacing w:before="120"/>
        <w:jc w:val="both"/>
        <w:rPr>
          <w:rFonts w:ascii="Arial" w:hAnsi="Arial" w:cs="Arial"/>
          <w:snapToGrid w:val="0"/>
          <w:sz w:val="22"/>
          <w:szCs w:val="22"/>
        </w:rPr>
      </w:pPr>
    </w:p>
    <w:p w:rsidR="00A962F7" w:rsidRDefault="00A962F7" w:rsidP="00BA7E1B">
      <w:pPr>
        <w:jc w:val="both"/>
        <w:rPr>
          <w:rFonts w:ascii="Arial" w:hAnsi="Arial" w:cs="Arial"/>
          <w:snapToGrid w:val="0"/>
        </w:rPr>
      </w:pPr>
    </w:p>
    <w:p w:rsidR="00A962F7" w:rsidRDefault="00A962F7" w:rsidP="00BA7E1B">
      <w:pPr>
        <w:pStyle w:val="Zkladntext2"/>
        <w:spacing w:before="0" w:after="100" w:afterAutospacing="1"/>
        <w:jc w:val="center"/>
        <w:rPr>
          <w:rFonts w:ascii="Arial" w:hAnsi="Arial" w:cs="Arial"/>
          <w:b/>
          <w:bCs/>
        </w:rPr>
      </w:pPr>
      <w:r>
        <w:rPr>
          <w:rFonts w:ascii="Arial" w:hAnsi="Arial" w:cs="Arial"/>
          <w:b/>
          <w:bCs/>
        </w:rPr>
        <w:t>III. Obsah a rozsah dokumentace</w:t>
      </w:r>
    </w:p>
    <w:p w:rsidR="00A962F7" w:rsidRPr="001B0E19" w:rsidRDefault="00A962F7" w:rsidP="001B0E19">
      <w:pPr>
        <w:pStyle w:val="Zkladntext2"/>
        <w:ind w:right="-52"/>
        <w:rPr>
          <w:rFonts w:ascii="Arial" w:hAnsi="Arial" w:cs="Arial"/>
          <w:sz w:val="22"/>
          <w:szCs w:val="22"/>
        </w:rPr>
      </w:pPr>
      <w:r w:rsidRPr="001B0E19">
        <w:rPr>
          <w:rFonts w:ascii="Arial" w:hAnsi="Arial" w:cs="Arial"/>
          <w:sz w:val="22"/>
          <w:szCs w:val="22"/>
        </w:rPr>
        <w:t>Zhotovitel se zavazuje dodat objednateli níže uvedenou dokumentaci:</w:t>
      </w:r>
    </w:p>
    <w:p w:rsidR="00A962F7" w:rsidRPr="001B0E19" w:rsidRDefault="00A962F7" w:rsidP="00BA7E1B">
      <w:pPr>
        <w:pStyle w:val="Zkladntext2"/>
        <w:spacing w:before="0"/>
        <w:ind w:right="-51"/>
        <w:rPr>
          <w:rFonts w:ascii="Arial" w:hAnsi="Arial" w:cs="Arial"/>
          <w:sz w:val="22"/>
          <w:szCs w:val="22"/>
        </w:rPr>
      </w:pPr>
    </w:p>
    <w:p w:rsidR="00A962F7" w:rsidRDefault="00A962F7" w:rsidP="00BA7E1B">
      <w:pPr>
        <w:pStyle w:val="Zkladntext2"/>
        <w:spacing w:before="0"/>
        <w:ind w:right="-51"/>
        <w:rPr>
          <w:rFonts w:ascii="Arial" w:hAnsi="Arial" w:cs="Arial"/>
          <w:sz w:val="22"/>
          <w:szCs w:val="22"/>
          <w:u w:val="single"/>
        </w:rPr>
      </w:pPr>
      <w:r w:rsidRPr="001F787B">
        <w:rPr>
          <w:rFonts w:ascii="Arial" w:hAnsi="Arial" w:cs="Arial"/>
          <w:sz w:val="22"/>
          <w:szCs w:val="22"/>
          <w:u w:val="single"/>
        </w:rPr>
        <w:t>Dokumentace pro provádění stavby bude obsahovat kr</w:t>
      </w:r>
      <w:r>
        <w:rPr>
          <w:rFonts w:ascii="Arial" w:hAnsi="Arial" w:cs="Arial"/>
          <w:sz w:val="22"/>
          <w:szCs w:val="22"/>
          <w:u w:val="single"/>
        </w:rPr>
        <w:t>omě náležitostí dle přílohy č. 6</w:t>
      </w:r>
      <w:r w:rsidRPr="001F787B">
        <w:rPr>
          <w:rFonts w:ascii="Arial" w:hAnsi="Arial" w:cs="Arial"/>
          <w:sz w:val="22"/>
          <w:szCs w:val="22"/>
          <w:u w:val="single"/>
        </w:rPr>
        <w:t xml:space="preserve"> vyhlášky č. 499/2006 Sb. následující údaje</w:t>
      </w:r>
      <w:r>
        <w:rPr>
          <w:rFonts w:ascii="Arial" w:hAnsi="Arial" w:cs="Arial"/>
          <w:sz w:val="22"/>
          <w:szCs w:val="22"/>
          <w:u w:val="single"/>
        </w:rPr>
        <w:t>:</w:t>
      </w:r>
    </w:p>
    <w:p w:rsidR="00A962F7" w:rsidRDefault="00A962F7" w:rsidP="00BA7E1B">
      <w:pPr>
        <w:pStyle w:val="Zkladntext2"/>
        <w:spacing w:before="0"/>
        <w:ind w:right="-51"/>
        <w:rPr>
          <w:rFonts w:ascii="Arial" w:hAnsi="Arial" w:cs="Arial"/>
          <w:sz w:val="22"/>
          <w:szCs w:val="22"/>
          <w:u w:val="single"/>
        </w:rPr>
      </w:pPr>
    </w:p>
    <w:p w:rsidR="00A962F7" w:rsidRPr="00AA1625" w:rsidRDefault="00A962F7" w:rsidP="00431696">
      <w:pPr>
        <w:numPr>
          <w:ilvl w:val="0"/>
          <w:numId w:val="16"/>
        </w:numPr>
        <w:spacing w:after="100" w:afterAutospacing="1"/>
        <w:jc w:val="both"/>
        <w:rPr>
          <w:rFonts w:ascii="Arial" w:hAnsi="Arial" w:cs="Arial"/>
          <w:snapToGrid w:val="0"/>
          <w:sz w:val="22"/>
          <w:szCs w:val="22"/>
        </w:rPr>
      </w:pPr>
      <w:r w:rsidRPr="00AA1625">
        <w:rPr>
          <w:rFonts w:ascii="Arial" w:hAnsi="Arial" w:cs="Arial"/>
          <w:snapToGrid w:val="0"/>
          <w:sz w:val="22"/>
          <w:szCs w:val="22"/>
        </w:rPr>
        <w:t>vychází z předchozí</w:t>
      </w:r>
      <w:r>
        <w:rPr>
          <w:rFonts w:ascii="Arial" w:hAnsi="Arial" w:cs="Arial"/>
          <w:snapToGrid w:val="0"/>
          <w:sz w:val="22"/>
          <w:szCs w:val="22"/>
        </w:rPr>
        <w:t>ho</w:t>
      </w:r>
      <w:r w:rsidRPr="00AA1625">
        <w:rPr>
          <w:rFonts w:ascii="Arial" w:hAnsi="Arial" w:cs="Arial"/>
          <w:snapToGrid w:val="0"/>
          <w:sz w:val="22"/>
          <w:szCs w:val="22"/>
        </w:rPr>
        <w:t xml:space="preserve"> stup</w:t>
      </w:r>
      <w:r>
        <w:rPr>
          <w:rFonts w:ascii="Arial" w:hAnsi="Arial" w:cs="Arial"/>
          <w:snapToGrid w:val="0"/>
          <w:sz w:val="22"/>
          <w:szCs w:val="22"/>
        </w:rPr>
        <w:t>ně</w:t>
      </w:r>
      <w:r w:rsidRPr="00AA1625">
        <w:rPr>
          <w:rFonts w:ascii="Arial" w:hAnsi="Arial" w:cs="Arial"/>
          <w:snapToGrid w:val="0"/>
          <w:sz w:val="22"/>
          <w:szCs w:val="22"/>
        </w:rPr>
        <w:t xml:space="preserve"> projektu </w:t>
      </w:r>
    </w:p>
    <w:p w:rsidR="00A962F7" w:rsidRPr="00A954C3" w:rsidRDefault="00A962F7"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F653B2" w:rsidRDefault="00A962F7" w:rsidP="00BB4C9C">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členění staveb na stavební objekty</w:t>
      </w:r>
    </w:p>
    <w:p w:rsidR="00A962F7" w:rsidRDefault="00A962F7" w:rsidP="00F653B2">
      <w:pPr>
        <w:spacing w:after="100" w:afterAutospacing="1"/>
        <w:ind w:left="720"/>
        <w:jc w:val="both"/>
        <w:rPr>
          <w:rFonts w:ascii="Arial" w:hAnsi="Arial" w:cs="Arial"/>
          <w:snapToGrid w:val="0"/>
          <w:sz w:val="22"/>
          <w:szCs w:val="22"/>
        </w:rPr>
      </w:pPr>
      <w:r>
        <w:rPr>
          <w:rFonts w:ascii="Arial" w:hAnsi="Arial" w:cs="Arial"/>
          <w:snapToGrid w:val="0"/>
          <w:sz w:val="22"/>
          <w:szCs w:val="22"/>
        </w:rPr>
        <w:t xml:space="preserve"> </w:t>
      </w:r>
    </w:p>
    <w:p w:rsidR="00A962F7" w:rsidRDefault="00A962F7"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lastRenderedPageBreak/>
        <w:t xml:space="preserve">„Popis technické specifikace stavby“ se soupisem technických norem, technických schválení a technických specifikací </w:t>
      </w:r>
    </w:p>
    <w:p w:rsidR="00A962F7" w:rsidRDefault="00A962F7" w:rsidP="0043169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A962F7" w:rsidRPr="009A2542" w:rsidRDefault="00A962F7" w:rsidP="00431696">
      <w:pPr>
        <w:numPr>
          <w:ilvl w:val="0"/>
          <w:numId w:val="16"/>
        </w:numPr>
        <w:spacing w:after="100" w:afterAutospacing="1"/>
        <w:jc w:val="both"/>
        <w:rPr>
          <w:rFonts w:ascii="Arial" w:hAnsi="Arial" w:cs="Arial"/>
          <w:snapToGrid w:val="0"/>
          <w:sz w:val="22"/>
          <w:szCs w:val="22"/>
        </w:rPr>
      </w:pPr>
      <w:r w:rsidRPr="003536D8">
        <w:rPr>
          <w:rFonts w:ascii="Arial" w:hAnsi="Arial" w:cs="Arial"/>
          <w:snapToGrid w:val="0"/>
          <w:sz w:val="22"/>
          <w:szCs w:val="22"/>
        </w:rPr>
        <w:t>pro každý z objektů bude zpracován soupis stavebních prací dle vyhlášky č. 230/</w:t>
      </w:r>
      <w:r w:rsidRPr="009A2542">
        <w:rPr>
          <w:rFonts w:ascii="Arial" w:hAnsi="Arial" w:cs="Arial"/>
          <w:snapToGrid w:val="0"/>
          <w:sz w:val="22"/>
          <w:szCs w:val="22"/>
        </w:rPr>
        <w:t xml:space="preserve">2012 Sb. v členění: pořadové číslo položky, číselné zatřídění položky, popis položky, měrná jednotka, množství v měrné jednotce, výkaz výměr k uvedenému množství, jednotkovou cenu, cenu celkem, jednotkovou hmotnost </w:t>
      </w:r>
    </w:p>
    <w:p w:rsidR="00A962F7" w:rsidRPr="009A2542" w:rsidRDefault="00A962F7" w:rsidP="001C0A60">
      <w:pPr>
        <w:numPr>
          <w:ilvl w:val="0"/>
          <w:numId w:val="16"/>
        </w:numPr>
        <w:spacing w:after="100" w:afterAutospacing="1"/>
        <w:jc w:val="both"/>
        <w:rPr>
          <w:rFonts w:ascii="Arial" w:hAnsi="Arial" w:cs="Arial"/>
          <w:snapToGrid w:val="0"/>
          <w:sz w:val="22"/>
          <w:szCs w:val="22"/>
        </w:rPr>
      </w:pPr>
      <w:r w:rsidRPr="009A2542">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A962F7" w:rsidRPr="009A2542" w:rsidRDefault="00A962F7" w:rsidP="001C0A60">
      <w:pPr>
        <w:numPr>
          <w:ilvl w:val="0"/>
          <w:numId w:val="16"/>
        </w:numPr>
        <w:spacing w:after="100" w:afterAutospacing="1"/>
        <w:jc w:val="both"/>
        <w:rPr>
          <w:rFonts w:ascii="Arial" w:hAnsi="Arial" w:cs="Arial"/>
          <w:snapToGrid w:val="0"/>
          <w:sz w:val="22"/>
          <w:szCs w:val="22"/>
        </w:rPr>
      </w:pPr>
      <w:r w:rsidRPr="009A2542">
        <w:rPr>
          <w:rFonts w:ascii="Arial" w:hAnsi="Arial" w:cs="Arial"/>
          <w:sz w:val="22"/>
          <w:szCs w:val="22"/>
        </w:rPr>
        <w:t>soupis stavebních prací, dodávek a služeb a výkazu výměr bude na výzvu odsouhlasen cenovým referentem PVS</w:t>
      </w:r>
    </w:p>
    <w:p w:rsidR="00A962F7" w:rsidRPr="009A2542" w:rsidRDefault="00A962F7" w:rsidP="00431696">
      <w:pPr>
        <w:numPr>
          <w:ilvl w:val="1"/>
          <w:numId w:val="16"/>
        </w:numPr>
        <w:tabs>
          <w:tab w:val="num" w:pos="709"/>
        </w:tabs>
        <w:spacing w:after="100" w:afterAutospacing="1"/>
        <w:ind w:left="709"/>
        <w:jc w:val="both"/>
        <w:rPr>
          <w:rFonts w:ascii="Arial" w:hAnsi="Arial" w:cs="Arial"/>
          <w:sz w:val="22"/>
          <w:szCs w:val="22"/>
        </w:rPr>
      </w:pPr>
      <w:r w:rsidRPr="009A2542">
        <w:rPr>
          <w:rFonts w:ascii="Arial" w:hAnsi="Arial" w:cs="Arial"/>
          <w:sz w:val="22"/>
          <w:szCs w:val="22"/>
        </w:rPr>
        <w:t>technologický postup rušení starých vodovodních a kanalizačních řadů</w:t>
      </w:r>
    </w:p>
    <w:p w:rsidR="00A962F7" w:rsidRPr="009A2542" w:rsidRDefault="00A962F7" w:rsidP="00431696">
      <w:pPr>
        <w:numPr>
          <w:ilvl w:val="1"/>
          <w:numId w:val="16"/>
        </w:numPr>
        <w:tabs>
          <w:tab w:val="num" w:pos="709"/>
        </w:tabs>
        <w:spacing w:after="100" w:afterAutospacing="1"/>
        <w:ind w:left="709"/>
        <w:jc w:val="both"/>
        <w:rPr>
          <w:rFonts w:ascii="Arial" w:hAnsi="Arial" w:cs="Arial"/>
          <w:sz w:val="22"/>
          <w:szCs w:val="22"/>
        </w:rPr>
      </w:pPr>
      <w:r w:rsidRPr="009A2542">
        <w:rPr>
          <w:rFonts w:ascii="Arial" w:hAnsi="Arial" w:cs="Arial"/>
          <w:sz w:val="22"/>
          <w:szCs w:val="22"/>
        </w:rPr>
        <w:t>vytyčovací výkresy</w:t>
      </w:r>
    </w:p>
    <w:p w:rsidR="00A962F7" w:rsidRPr="009A2542" w:rsidRDefault="00A962F7" w:rsidP="00431696">
      <w:pPr>
        <w:numPr>
          <w:ilvl w:val="1"/>
          <w:numId w:val="16"/>
        </w:numPr>
        <w:tabs>
          <w:tab w:val="num" w:pos="709"/>
        </w:tabs>
        <w:spacing w:after="100" w:afterAutospacing="1"/>
        <w:ind w:left="709"/>
        <w:jc w:val="both"/>
        <w:rPr>
          <w:rFonts w:ascii="Arial" w:hAnsi="Arial" w:cs="Arial"/>
          <w:sz w:val="22"/>
          <w:szCs w:val="22"/>
        </w:rPr>
      </w:pPr>
      <w:r w:rsidRPr="009A2542">
        <w:rPr>
          <w:rFonts w:ascii="Arial" w:hAnsi="Arial" w:cs="Arial"/>
          <w:sz w:val="22"/>
          <w:szCs w:val="22"/>
        </w:rPr>
        <w:t>předepsat způsob manipulace na řadech a přepojování na stokách</w:t>
      </w:r>
    </w:p>
    <w:p w:rsidR="00A962F7" w:rsidRPr="009A2542" w:rsidRDefault="00A962F7" w:rsidP="00431696">
      <w:pPr>
        <w:numPr>
          <w:ilvl w:val="1"/>
          <w:numId w:val="16"/>
        </w:numPr>
        <w:tabs>
          <w:tab w:val="num" w:pos="709"/>
        </w:tabs>
        <w:spacing w:after="100" w:afterAutospacing="1"/>
        <w:ind w:left="709"/>
        <w:jc w:val="both"/>
        <w:rPr>
          <w:rFonts w:ascii="Arial" w:hAnsi="Arial" w:cs="Arial"/>
          <w:sz w:val="22"/>
          <w:szCs w:val="22"/>
        </w:rPr>
      </w:pPr>
      <w:r w:rsidRPr="009A2542">
        <w:rPr>
          <w:rFonts w:ascii="Arial" w:hAnsi="Arial" w:cs="Arial"/>
          <w:noProof/>
          <w:sz w:val="22"/>
          <w:szCs w:val="22"/>
        </w:rPr>
        <w:t>návrh bezpečnostního a kontrolního měření včetně soupisu prací</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sidRPr="009A2542">
        <w:rPr>
          <w:rFonts w:ascii="Arial" w:hAnsi="Arial" w:cs="Arial"/>
          <w:sz w:val="22"/>
          <w:szCs w:val="22"/>
        </w:rPr>
        <w:t>přesná formulace při definování materiálů, technologií atd. bez uvedení výrobce nebo obchodního názvu (pro potřeby zadaní zakázky podle zákona č. 137/2006</w:t>
      </w:r>
      <w:r>
        <w:rPr>
          <w:rFonts w:ascii="Arial" w:hAnsi="Arial" w:cs="Arial"/>
          <w:sz w:val="22"/>
          <w:szCs w:val="22"/>
        </w:rPr>
        <w:t xml:space="preserve"> Sb.)   </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situace zásahů a záborů do komunikací, včetně skladby, příčné řezy, složení vrstev, zásypy a jejich hutnění, včetně požadovaných kontrol hutnění laboratoří TSK hl. m. Prahy a dodržení Technických podmínek TSK hl. m. Prahy</w:t>
      </w:r>
    </w:p>
    <w:p w:rsidR="00A962F7" w:rsidRPr="003536D8" w:rsidRDefault="00A962F7" w:rsidP="00431696">
      <w:pPr>
        <w:numPr>
          <w:ilvl w:val="1"/>
          <w:numId w:val="16"/>
        </w:numPr>
        <w:tabs>
          <w:tab w:val="num" w:pos="709"/>
        </w:tabs>
        <w:spacing w:after="100" w:afterAutospacing="1"/>
        <w:ind w:left="709"/>
        <w:jc w:val="both"/>
        <w:rPr>
          <w:rFonts w:ascii="Arial" w:hAnsi="Arial" w:cs="Arial"/>
          <w:sz w:val="22"/>
          <w:szCs w:val="22"/>
        </w:rPr>
      </w:pPr>
      <w:r w:rsidRPr="003536D8">
        <w:rPr>
          <w:rFonts w:ascii="Arial" w:hAnsi="Arial" w:cs="Arial"/>
          <w:sz w:val="22"/>
          <w:szCs w:val="22"/>
        </w:rPr>
        <w:t>v případě provádění prací hornickým způsobem budou zajištěny veškeré náležitosti požadované OBÚ Kladno ve smyslu platných předpisů a vyhlášek a</w:t>
      </w:r>
      <w:r>
        <w:rPr>
          <w:rFonts w:ascii="Arial" w:hAnsi="Arial" w:cs="Arial"/>
          <w:sz w:val="22"/>
          <w:szCs w:val="22"/>
        </w:rPr>
        <w:t xml:space="preserve"> </w:t>
      </w:r>
      <w:r w:rsidRPr="003536D8">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údaje o geologických a hydrologických poměrech</w:t>
      </w:r>
    </w:p>
    <w:p w:rsidR="00A962F7" w:rsidRPr="00D65291" w:rsidRDefault="00A962F7"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 xml:space="preserve">specifikace nákladů na </w:t>
      </w:r>
      <w:r w:rsidRPr="00D65291">
        <w:rPr>
          <w:rFonts w:ascii="Arial" w:hAnsi="Arial" w:cs="Arial"/>
          <w:sz w:val="22"/>
          <w:szCs w:val="22"/>
        </w:rPr>
        <w:t>provozní a manipulační řády, vyplývající z charakteru díla</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Pr>
          <w:rFonts w:ascii="Arial" w:hAnsi="Arial" w:cs="Arial"/>
          <w:sz w:val="22"/>
          <w:szCs w:val="22"/>
        </w:rPr>
        <w:t>1</w:t>
      </w:r>
      <w:r w:rsidRPr="00D65291">
        <w:rPr>
          <w:rFonts w:ascii="Arial" w:hAnsi="Arial" w:cs="Arial"/>
          <w:sz w:val="22"/>
          <w:szCs w:val="22"/>
        </w:rPr>
        <w:t xml:space="preserve"> x aktuální vyjádření a zákresy inženýrských sítí </w:t>
      </w:r>
      <w:r>
        <w:rPr>
          <w:rFonts w:ascii="Arial" w:hAnsi="Arial" w:cs="Arial"/>
          <w:sz w:val="22"/>
          <w:szCs w:val="22"/>
        </w:rPr>
        <w:t>v originále a 1 x kopie včetně zákresů</w:t>
      </w:r>
    </w:p>
    <w:p w:rsidR="00A962F7" w:rsidRDefault="00A962F7" w:rsidP="00431696">
      <w:pPr>
        <w:numPr>
          <w:ilvl w:val="1"/>
          <w:numId w:val="16"/>
        </w:numPr>
        <w:tabs>
          <w:tab w:val="num" w:pos="709"/>
        </w:tabs>
        <w:spacing w:after="100" w:afterAutospacing="1"/>
        <w:ind w:left="709"/>
        <w:jc w:val="both"/>
        <w:rPr>
          <w:rFonts w:ascii="Arial" w:hAnsi="Arial" w:cs="Arial"/>
          <w:sz w:val="22"/>
          <w:szCs w:val="22"/>
        </w:rPr>
      </w:pPr>
      <w:r w:rsidRPr="00D65291">
        <w:rPr>
          <w:rFonts w:ascii="Arial" w:hAnsi="Arial" w:cs="Arial"/>
          <w:sz w:val="22"/>
          <w:szCs w:val="22"/>
        </w:rPr>
        <w:t>všechny zápisy budou provedeny s podpisy všech zúčastněných a budou součás</w:t>
      </w:r>
      <w:r>
        <w:rPr>
          <w:rFonts w:ascii="Arial" w:hAnsi="Arial" w:cs="Arial"/>
          <w:sz w:val="22"/>
          <w:szCs w:val="22"/>
        </w:rPr>
        <w:t>tí technické zprávy</w:t>
      </w:r>
    </w:p>
    <w:p w:rsidR="00A962F7" w:rsidRDefault="00A962F7" w:rsidP="00431696">
      <w:pPr>
        <w:numPr>
          <w:ilvl w:val="1"/>
          <w:numId w:val="16"/>
        </w:numPr>
        <w:tabs>
          <w:tab w:val="num" w:pos="709"/>
        </w:tabs>
        <w:spacing w:after="100" w:afterAutospacing="1"/>
        <w:ind w:left="709" w:hanging="357"/>
        <w:jc w:val="both"/>
        <w:rPr>
          <w:rFonts w:ascii="Arial" w:hAnsi="Arial" w:cs="Arial"/>
          <w:sz w:val="22"/>
          <w:szCs w:val="22"/>
        </w:rPr>
      </w:pPr>
      <w:r>
        <w:rPr>
          <w:rFonts w:ascii="Arial" w:hAnsi="Arial" w:cs="Arial"/>
          <w:sz w:val="22"/>
          <w:szCs w:val="22"/>
        </w:rPr>
        <w:t>aktualizace</w:t>
      </w:r>
      <w:r w:rsidRPr="00D75ABB">
        <w:rPr>
          <w:rFonts w:ascii="Arial" w:hAnsi="Arial" w:cs="Arial"/>
          <w:sz w:val="22"/>
          <w:szCs w:val="22"/>
        </w:rPr>
        <w:t xml:space="preserve"> DIO </w:t>
      </w:r>
    </w:p>
    <w:p w:rsidR="00A962F7" w:rsidRDefault="00A962F7" w:rsidP="00431696">
      <w:pPr>
        <w:numPr>
          <w:ilvl w:val="1"/>
          <w:numId w:val="16"/>
        </w:numPr>
        <w:tabs>
          <w:tab w:val="num" w:pos="709"/>
        </w:tabs>
        <w:spacing w:after="100" w:afterAutospacing="1"/>
        <w:ind w:left="709" w:hanging="357"/>
        <w:jc w:val="both"/>
        <w:rPr>
          <w:rFonts w:ascii="Arial" w:hAnsi="Arial" w:cs="Arial"/>
          <w:sz w:val="22"/>
          <w:szCs w:val="22"/>
        </w:rPr>
      </w:pPr>
      <w:r w:rsidRPr="00D75ABB">
        <w:rPr>
          <w:rFonts w:ascii="Arial" w:hAnsi="Arial" w:cs="Arial"/>
          <w:sz w:val="22"/>
          <w:szCs w:val="22"/>
        </w:rPr>
        <w:t>souč</w:t>
      </w:r>
      <w:r>
        <w:rPr>
          <w:rFonts w:ascii="Arial" w:hAnsi="Arial" w:cs="Arial"/>
          <w:sz w:val="22"/>
          <w:szCs w:val="22"/>
        </w:rPr>
        <w:t>ástí projektové dokumentace budou zásady</w:t>
      </w:r>
      <w:r w:rsidRPr="00D75ABB">
        <w:rPr>
          <w:rFonts w:ascii="Arial" w:hAnsi="Arial" w:cs="Arial"/>
          <w:sz w:val="22"/>
          <w:szCs w:val="22"/>
        </w:rPr>
        <w:t xml:space="preserve"> organizace výstavby</w:t>
      </w:r>
      <w:r>
        <w:rPr>
          <w:rFonts w:ascii="Arial" w:hAnsi="Arial" w:cs="Arial"/>
          <w:sz w:val="22"/>
          <w:szCs w:val="22"/>
        </w:rPr>
        <w:t xml:space="preserve">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A962F7" w:rsidRPr="00814E21" w:rsidRDefault="00A962F7" w:rsidP="00431696">
      <w:pPr>
        <w:numPr>
          <w:ilvl w:val="1"/>
          <w:numId w:val="16"/>
        </w:numPr>
        <w:tabs>
          <w:tab w:val="num" w:pos="709"/>
        </w:tabs>
        <w:ind w:left="709"/>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A962F7" w:rsidRDefault="00A962F7">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A962F7" w:rsidRDefault="00A962F7">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p>
    <w:p w:rsidR="00F653B2" w:rsidRDefault="00F653B2">
      <w:pPr>
        <w:pStyle w:val="doba"/>
        <w:keepLines w:val="0"/>
        <w:tabs>
          <w:tab w:val="clear" w:pos="284"/>
          <w:tab w:val="clear" w:pos="567"/>
          <w:tab w:val="clear" w:pos="851"/>
          <w:tab w:val="clear" w:pos="1134"/>
          <w:tab w:val="clear" w:pos="9639"/>
        </w:tabs>
        <w:suppressAutoHyphens w:val="0"/>
        <w:spacing w:after="0"/>
        <w:rPr>
          <w:rFonts w:ascii="Arial" w:hAnsi="Arial" w:cs="Arial"/>
          <w:spacing w:val="0"/>
        </w:rPr>
      </w:pPr>
      <w:bookmarkStart w:id="0" w:name="_GoBack"/>
      <w:bookmarkEnd w:id="0"/>
    </w:p>
    <w:p w:rsidR="00A962F7" w:rsidRDefault="00A962F7" w:rsidP="00BA7E1B">
      <w:pPr>
        <w:pStyle w:val="Zkladntext2"/>
        <w:spacing w:before="0" w:after="100" w:afterAutospacing="1"/>
        <w:jc w:val="center"/>
        <w:rPr>
          <w:rFonts w:ascii="Arial" w:hAnsi="Arial" w:cs="Arial"/>
          <w:b/>
          <w:bCs/>
        </w:rPr>
      </w:pPr>
      <w:r>
        <w:rPr>
          <w:rFonts w:ascii="Arial" w:hAnsi="Arial" w:cs="Arial"/>
          <w:b/>
          <w:bCs/>
        </w:rPr>
        <w:lastRenderedPageBreak/>
        <w:t>IV. Součinnost objednatele</w:t>
      </w:r>
    </w:p>
    <w:p w:rsidR="00A962F7" w:rsidRDefault="00A962F7" w:rsidP="00BA7E1B">
      <w:pPr>
        <w:pStyle w:val="Zkladntext3"/>
        <w:spacing w:before="0"/>
        <w:rPr>
          <w:sz w:val="22"/>
          <w:szCs w:val="22"/>
        </w:rPr>
      </w:pPr>
      <w:r>
        <w:rPr>
          <w:sz w:val="22"/>
          <w:szCs w:val="22"/>
        </w:rPr>
        <w:t xml:space="preserve">Objednatel je oprávněn průběžně kontrolovat provádění předmětu díla. Za tímto účelem se zhotovitel zavazuje projednat s objednatelem </w:t>
      </w:r>
      <w:r w:rsidRPr="00493882">
        <w:rPr>
          <w:sz w:val="22"/>
          <w:szCs w:val="22"/>
        </w:rPr>
        <w:t>a provozovatelem</w:t>
      </w:r>
      <w:r>
        <w:rPr>
          <w:sz w:val="22"/>
          <w:szCs w:val="22"/>
        </w:rPr>
        <w:t xml:space="preserve"> projektovou dokumentaci minimálně na 2 výrobních výborech a zavazuje se respektovat a zapracovat eventuální písemné připomínky objednatele vzešlé z těchto jednání.</w:t>
      </w:r>
    </w:p>
    <w:p w:rsidR="00A962F7" w:rsidRDefault="00A962F7">
      <w:pPr>
        <w:pStyle w:val="Zkladntext3"/>
        <w:rPr>
          <w:sz w:val="22"/>
          <w:szCs w:val="22"/>
        </w:rPr>
      </w:pPr>
    </w:p>
    <w:p w:rsidR="00A962F7" w:rsidRDefault="00A962F7">
      <w:pPr>
        <w:jc w:val="center"/>
        <w:rPr>
          <w:rFonts w:ascii="Arial" w:hAnsi="Arial" w:cs="Arial"/>
          <w:b/>
          <w:bCs/>
          <w:snapToGrid w:val="0"/>
        </w:rPr>
      </w:pPr>
    </w:p>
    <w:p w:rsidR="00A962F7" w:rsidRDefault="00A962F7" w:rsidP="00BA7E1B">
      <w:pPr>
        <w:pStyle w:val="Zkladntext2"/>
        <w:spacing w:before="0" w:after="100" w:afterAutospacing="1"/>
        <w:jc w:val="center"/>
        <w:rPr>
          <w:rFonts w:ascii="Arial" w:hAnsi="Arial" w:cs="Arial"/>
        </w:rPr>
      </w:pPr>
      <w:r>
        <w:rPr>
          <w:rFonts w:ascii="Arial" w:hAnsi="Arial" w:cs="Arial"/>
          <w:b/>
          <w:bCs/>
        </w:rPr>
        <w:t>V. Doba plnění</w:t>
      </w:r>
    </w:p>
    <w:p w:rsidR="00A962F7" w:rsidRDefault="00A962F7" w:rsidP="00BA7E1B">
      <w:pPr>
        <w:pStyle w:val="Zkladn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A962F7" w:rsidRDefault="00A962F7">
      <w:pPr>
        <w:pStyle w:val="Zkladntext2"/>
        <w:spacing w:before="0"/>
        <w:rPr>
          <w:rFonts w:ascii="Arial" w:hAnsi="Arial" w:cs="Arial"/>
          <w:sz w:val="22"/>
          <w:szCs w:val="22"/>
        </w:rPr>
      </w:pPr>
    </w:p>
    <w:p w:rsidR="00A962F7" w:rsidRPr="00820E35" w:rsidRDefault="00A962F7" w:rsidP="003C49A4">
      <w:pPr>
        <w:numPr>
          <w:ilvl w:val="0"/>
          <w:numId w:val="14"/>
        </w:numPr>
        <w:tabs>
          <w:tab w:val="clear" w:pos="720"/>
          <w:tab w:val="num" w:pos="426"/>
        </w:tabs>
        <w:ind w:hanging="720"/>
        <w:jc w:val="both"/>
        <w:rPr>
          <w:rFonts w:ascii="Arial" w:hAnsi="Arial" w:cs="Arial"/>
          <w:snapToGrid w:val="0"/>
          <w:sz w:val="22"/>
          <w:szCs w:val="22"/>
        </w:rPr>
      </w:pPr>
      <w:r w:rsidRPr="00820E35">
        <w:rPr>
          <w:rFonts w:ascii="Arial" w:hAnsi="Arial" w:cs="Arial"/>
          <w:snapToGrid w:val="0"/>
          <w:sz w:val="22"/>
          <w:szCs w:val="22"/>
        </w:rPr>
        <w:t xml:space="preserve">DPS……………………………………......................... do </w:t>
      </w:r>
      <w:r>
        <w:rPr>
          <w:rFonts w:ascii="Arial" w:hAnsi="Arial" w:cs="Arial"/>
          <w:snapToGrid w:val="0"/>
          <w:sz w:val="22"/>
          <w:szCs w:val="22"/>
        </w:rPr>
        <w:t>30</w:t>
      </w:r>
      <w:r w:rsidRPr="00820E35">
        <w:rPr>
          <w:rFonts w:ascii="Arial" w:hAnsi="Arial" w:cs="Arial"/>
          <w:snapToGrid w:val="0"/>
          <w:sz w:val="22"/>
          <w:szCs w:val="22"/>
        </w:rPr>
        <w:t xml:space="preserve">. </w:t>
      </w:r>
      <w:r>
        <w:rPr>
          <w:rFonts w:ascii="Arial" w:hAnsi="Arial" w:cs="Arial"/>
          <w:snapToGrid w:val="0"/>
          <w:sz w:val="22"/>
          <w:szCs w:val="22"/>
        </w:rPr>
        <w:t>11</w:t>
      </w:r>
      <w:r w:rsidRPr="00820E35">
        <w:rPr>
          <w:rFonts w:ascii="Arial" w:hAnsi="Arial" w:cs="Arial"/>
          <w:snapToGrid w:val="0"/>
          <w:sz w:val="22"/>
          <w:szCs w:val="22"/>
        </w:rPr>
        <w:t>. 2016</w:t>
      </w:r>
    </w:p>
    <w:p w:rsidR="00A962F7" w:rsidRDefault="00A962F7">
      <w:pPr>
        <w:pStyle w:val="doba"/>
        <w:tabs>
          <w:tab w:val="left" w:leader="dot" w:pos="4253"/>
        </w:tabs>
        <w:rPr>
          <w:rFonts w:ascii="Arial" w:hAnsi="Arial" w:cs="Arial"/>
        </w:rPr>
      </w:pPr>
    </w:p>
    <w:p w:rsidR="00A962F7" w:rsidRDefault="00A962F7"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A962F7" w:rsidRDefault="00A962F7" w:rsidP="00BA7E1B">
      <w:pPr>
        <w:pStyle w:val="doba"/>
        <w:tabs>
          <w:tab w:val="left" w:leader="dot" w:pos="4253"/>
        </w:tabs>
        <w:spacing w:after="0"/>
        <w:rPr>
          <w:rFonts w:ascii="Arial" w:hAnsi="Arial" w:cs="Arial"/>
        </w:rPr>
      </w:pPr>
    </w:p>
    <w:p w:rsidR="00A962F7" w:rsidRDefault="00A962F7" w:rsidP="00BA7E1B">
      <w:pPr>
        <w:pStyle w:val="doba"/>
        <w:tabs>
          <w:tab w:val="left" w:leader="dot" w:pos="4253"/>
        </w:tabs>
        <w:spacing w:after="0"/>
        <w:rPr>
          <w:rFonts w:ascii="Arial" w:hAnsi="Arial" w:cs="Arial"/>
        </w:rPr>
      </w:pPr>
    </w:p>
    <w:p w:rsidR="00A962F7" w:rsidRDefault="00A962F7" w:rsidP="00BA7E1B">
      <w:pPr>
        <w:pStyle w:val="Zkladntextodsazen3"/>
        <w:tabs>
          <w:tab w:val="clear" w:pos="7513"/>
          <w:tab w:val="right" w:pos="7088"/>
          <w:tab w:val="decimal" w:pos="7797"/>
        </w:tabs>
        <w:spacing w:before="0"/>
        <w:ind w:left="0" w:firstLine="0"/>
        <w:rPr>
          <w:rFonts w:ascii="Arial" w:hAnsi="Arial" w:cs="Arial"/>
        </w:rPr>
      </w:pPr>
    </w:p>
    <w:p w:rsidR="00A962F7" w:rsidRDefault="00A962F7" w:rsidP="00BA7E1B">
      <w:pPr>
        <w:pStyle w:val="Zkladntextodsazen3"/>
        <w:tabs>
          <w:tab w:val="clear" w:pos="7513"/>
          <w:tab w:val="right" w:pos="7088"/>
          <w:tab w:val="decimal" w:pos="7797"/>
        </w:tabs>
        <w:spacing w:before="0" w:after="100" w:afterAutospacing="1"/>
        <w:ind w:left="0" w:firstLine="0"/>
        <w:jc w:val="center"/>
        <w:rPr>
          <w:rFonts w:ascii="Arial" w:hAnsi="Arial" w:cs="Arial"/>
          <w:b/>
          <w:bCs/>
          <w:sz w:val="24"/>
          <w:szCs w:val="24"/>
        </w:rPr>
      </w:pPr>
      <w:r>
        <w:rPr>
          <w:rFonts w:ascii="Arial" w:hAnsi="Arial" w:cs="Arial"/>
          <w:b/>
          <w:bCs/>
          <w:sz w:val="24"/>
          <w:szCs w:val="24"/>
        </w:rPr>
        <w:t>VI. Cena</w:t>
      </w:r>
    </w:p>
    <w:p w:rsidR="00A962F7" w:rsidRDefault="00A962F7" w:rsidP="00637CCA">
      <w:pPr>
        <w:pStyle w:val="Zkladntextodsazen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958 000 Kč.</w:t>
      </w:r>
    </w:p>
    <w:p w:rsidR="00A962F7" w:rsidRDefault="00A962F7" w:rsidP="003C49A4">
      <w:pPr>
        <w:pStyle w:val="Zkladntextodsazen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201 180 Kč.</w:t>
      </w:r>
    </w:p>
    <w:p w:rsidR="00A962F7" w:rsidRDefault="00A962F7" w:rsidP="003C49A4">
      <w:pPr>
        <w:pStyle w:val="Zkladntextodsazen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1 159 180 Kč,</w:t>
      </w:r>
    </w:p>
    <w:p w:rsidR="00A962F7" w:rsidRDefault="00A962F7">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jedenmilionstopadesátdevěttisícstoosmdesát korun českých.</w:t>
      </w:r>
    </w:p>
    <w:p w:rsidR="00A962F7" w:rsidRDefault="00A962F7">
      <w:pPr>
        <w:pStyle w:val="Zkladntext"/>
        <w:tabs>
          <w:tab w:val="left" w:pos="1230"/>
        </w:tabs>
        <w:rPr>
          <w:rFonts w:ascii="Arial" w:hAnsi="Arial" w:cs="Arial"/>
          <w:sz w:val="20"/>
          <w:szCs w:val="20"/>
        </w:rPr>
      </w:pPr>
      <w:r>
        <w:rPr>
          <w:rFonts w:ascii="Arial" w:hAnsi="Arial" w:cs="Arial"/>
          <w:sz w:val="20"/>
          <w:szCs w:val="20"/>
        </w:rPr>
        <w:tab/>
      </w:r>
    </w:p>
    <w:p w:rsidR="00A962F7" w:rsidRDefault="00A962F7">
      <w:pPr>
        <w:pStyle w:val="Zkladn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A962F7" w:rsidRDefault="00A962F7">
      <w:pPr>
        <w:pStyle w:val="Zkladntext"/>
        <w:tabs>
          <w:tab w:val="left" w:pos="4820"/>
          <w:tab w:val="left" w:pos="6096"/>
          <w:tab w:val="left" w:pos="7230"/>
        </w:tabs>
        <w:rPr>
          <w:rFonts w:ascii="Arial" w:hAnsi="Arial" w:cs="Arial"/>
          <w:sz w:val="22"/>
          <w:szCs w:val="22"/>
        </w:rPr>
      </w:pPr>
    </w:p>
    <w:p w:rsidR="00A962F7" w:rsidRDefault="00A962F7">
      <w:pPr>
        <w:pStyle w:val="Zkladn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A962F7" w:rsidRDefault="00A962F7">
      <w:pPr>
        <w:pStyle w:val="Zkladntext"/>
        <w:tabs>
          <w:tab w:val="left" w:pos="4820"/>
          <w:tab w:val="left" w:pos="6096"/>
          <w:tab w:val="left" w:pos="7230"/>
        </w:tabs>
        <w:rPr>
          <w:rFonts w:ascii="Arial" w:hAnsi="Arial" w:cs="Arial"/>
          <w:sz w:val="22"/>
          <w:szCs w:val="22"/>
        </w:rPr>
      </w:pPr>
    </w:p>
    <w:p w:rsidR="00A962F7" w:rsidRDefault="00A962F7">
      <w:pPr>
        <w:pStyle w:val="Zkladntext"/>
        <w:tabs>
          <w:tab w:val="left" w:pos="4820"/>
          <w:tab w:val="left" w:pos="6096"/>
          <w:tab w:val="left" w:pos="7230"/>
        </w:tabs>
        <w:rPr>
          <w:rFonts w:ascii="Arial" w:hAnsi="Arial" w:cs="Arial"/>
          <w:sz w:val="20"/>
          <w:szCs w:val="20"/>
        </w:rPr>
      </w:pPr>
    </w:p>
    <w:p w:rsidR="00A962F7" w:rsidRDefault="00A962F7" w:rsidP="00BA7E1B">
      <w:pPr>
        <w:pStyle w:val="Zkladntextodsazen3"/>
        <w:spacing w:before="0" w:after="100" w:afterAutospacing="1"/>
        <w:ind w:left="0" w:firstLine="0"/>
        <w:jc w:val="center"/>
        <w:rPr>
          <w:rFonts w:ascii="Arial" w:hAnsi="Arial" w:cs="Arial"/>
          <w:b/>
          <w:bCs/>
          <w:sz w:val="24"/>
          <w:szCs w:val="24"/>
        </w:rPr>
      </w:pPr>
      <w:r>
        <w:rPr>
          <w:rFonts w:ascii="Arial" w:hAnsi="Arial" w:cs="Arial"/>
          <w:b/>
          <w:bCs/>
          <w:sz w:val="24"/>
          <w:szCs w:val="24"/>
        </w:rPr>
        <w:t>VII. Obchodní a platební podmínky</w:t>
      </w:r>
    </w:p>
    <w:p w:rsidR="00A962F7" w:rsidRDefault="00A962F7" w:rsidP="00BA7E1B">
      <w:pPr>
        <w:pStyle w:val="Zkladntextodsazen3"/>
        <w:spacing w:before="0" w:after="100" w:afterAutospacing="1"/>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A962F7" w:rsidRDefault="00A962F7"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smlouvy objednatele</w:t>
      </w:r>
    </w:p>
    <w:p w:rsidR="00A962F7" w:rsidRDefault="00A962F7"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číslo stavby</w:t>
      </w:r>
    </w:p>
    <w:p w:rsidR="00A962F7" w:rsidRDefault="00A962F7" w:rsidP="00BA7E1B">
      <w:pPr>
        <w:pStyle w:val="Zkladntextodsazen3"/>
        <w:numPr>
          <w:ilvl w:val="0"/>
          <w:numId w:val="8"/>
        </w:numPr>
        <w:spacing w:before="0" w:after="100" w:afterAutospacing="1"/>
        <w:ind w:firstLine="0"/>
        <w:rPr>
          <w:rFonts w:ascii="Arial" w:hAnsi="Arial" w:cs="Arial"/>
          <w:sz w:val="22"/>
          <w:szCs w:val="22"/>
        </w:rPr>
      </w:pPr>
      <w:r>
        <w:rPr>
          <w:rFonts w:ascii="Arial" w:hAnsi="Arial" w:cs="Arial"/>
          <w:sz w:val="22"/>
          <w:szCs w:val="22"/>
        </w:rPr>
        <w:t>název stavby</w:t>
      </w:r>
    </w:p>
    <w:p w:rsidR="00A962F7" w:rsidRPr="00EB078D" w:rsidRDefault="00A962F7" w:rsidP="001B0E19">
      <w:pPr>
        <w:pStyle w:val="slovanseznam"/>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A962F7" w:rsidRPr="009A2542" w:rsidRDefault="00A962F7" w:rsidP="00684036">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lastRenderedPageBreak/>
        <w:t xml:space="preserve">Lhůta splatnosti daňového dokladu je 30 dní od jeho doručení objednateli. Právo </w:t>
      </w:r>
      <w:r w:rsidRPr="009A2542">
        <w:rPr>
          <w:rFonts w:ascii="Arial" w:hAnsi="Arial" w:cs="Arial"/>
          <w:snapToGrid w:val="0"/>
          <w:sz w:val="22"/>
          <w:szCs w:val="22"/>
        </w:rPr>
        <w:t>vystavit daňový doklad vzniká zhotoviteli po předání a převzetí příslušné části předmětu plnění dle článků „II. Předmět plnění“ a „V. Doba plnění“.</w:t>
      </w:r>
    </w:p>
    <w:p w:rsidR="00A962F7" w:rsidRPr="00EB078D" w:rsidRDefault="00A962F7" w:rsidP="00CC3237">
      <w:pPr>
        <w:pStyle w:val="slovanseznam"/>
        <w:ind w:left="0" w:firstLine="0"/>
        <w:rPr>
          <w:rFonts w:ascii="Arial" w:hAnsi="Arial" w:cs="Arial"/>
          <w:snapToGrid w:val="0"/>
          <w:sz w:val="22"/>
          <w:szCs w:val="22"/>
        </w:rPr>
      </w:pPr>
      <w:r w:rsidRPr="009A2542">
        <w:rPr>
          <w:rFonts w:ascii="Arial" w:hAnsi="Arial" w:cs="Arial"/>
          <w:snapToGrid w:val="0"/>
          <w:sz w:val="22"/>
          <w:szCs w:val="22"/>
        </w:rPr>
        <w:t>V případě nedodržení zpracování kontrolního soupisu v souladu s vyhláškou č. 230/2012 Sb. o vymezení předmětu veřejné zakázky na stavební práce a rozsahu soupisu stavebních prací, dodávek a služeb s výkazem výměr</w:t>
      </w:r>
      <w:r w:rsidRPr="009A2542">
        <w:rPr>
          <w:rFonts w:ascii="Arial" w:hAnsi="Arial" w:cs="Arial"/>
          <w:sz w:val="22"/>
          <w:szCs w:val="22"/>
        </w:rPr>
        <w:t>, bude provedena zhotoviteli pozastávka ve výši 40 % z celkové smluvní ceny bez DPH. Tato pozastávka bude uvolněna do 30 kalendářních dnů po odevzdání a odsouhlasení oceněného soupisu stavebních prací objednatelem.</w:t>
      </w:r>
    </w:p>
    <w:p w:rsidR="00A962F7" w:rsidRDefault="00A962F7" w:rsidP="00CC3237">
      <w:pPr>
        <w:pStyle w:val="slovanseznam"/>
        <w:ind w:left="0" w:firstLine="0"/>
        <w:rPr>
          <w:rFonts w:ascii="Arial" w:hAnsi="Arial" w:cs="Arial"/>
          <w:snapToGrid w:val="0"/>
          <w:sz w:val="22"/>
          <w:szCs w:val="22"/>
        </w:rPr>
      </w:pPr>
    </w:p>
    <w:p w:rsidR="00A962F7" w:rsidRDefault="00A962F7" w:rsidP="00BA7E1B">
      <w:pPr>
        <w:jc w:val="both"/>
        <w:rPr>
          <w:rFonts w:ascii="Arial" w:hAnsi="Arial" w:cs="Arial"/>
          <w:snapToGrid w:val="0"/>
        </w:rPr>
      </w:pPr>
    </w:p>
    <w:p w:rsidR="00A962F7" w:rsidRDefault="00A962F7" w:rsidP="00BA7E1B">
      <w:pPr>
        <w:pStyle w:val="Zkladntext2"/>
        <w:spacing w:before="0" w:after="100" w:afterAutospacing="1"/>
        <w:jc w:val="center"/>
        <w:rPr>
          <w:rFonts w:ascii="Arial" w:hAnsi="Arial" w:cs="Arial"/>
          <w:b/>
          <w:bCs/>
        </w:rPr>
      </w:pPr>
      <w:r>
        <w:rPr>
          <w:rFonts w:ascii="Arial" w:hAnsi="Arial" w:cs="Arial"/>
          <w:b/>
          <w:bCs/>
        </w:rPr>
        <w:t>VIII. Smluvní pokuty</w:t>
      </w:r>
    </w:p>
    <w:p w:rsidR="00A962F7" w:rsidRPr="008C0B1A" w:rsidRDefault="00A962F7" w:rsidP="00BA7E1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A962F7" w:rsidRPr="008C0B1A" w:rsidRDefault="00A962F7">
      <w:pPr>
        <w:pStyle w:val="Zkladn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A962F7" w:rsidRPr="008C0B1A" w:rsidRDefault="00A962F7" w:rsidP="00E01A06">
      <w:pPr>
        <w:pStyle w:val="Zkladn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A962F7" w:rsidRDefault="00A962F7" w:rsidP="00E01A06">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A962F7" w:rsidRPr="008C0B1A" w:rsidRDefault="00A962F7" w:rsidP="00E01A06">
      <w:pPr>
        <w:pStyle w:val="Zkladntext2"/>
        <w:spacing w:before="0"/>
        <w:rPr>
          <w:rFonts w:ascii="Arial" w:hAnsi="Arial" w:cs="Arial"/>
          <w:sz w:val="22"/>
          <w:szCs w:val="22"/>
        </w:rPr>
      </w:pPr>
    </w:p>
    <w:p w:rsidR="00A962F7" w:rsidRDefault="00A962F7" w:rsidP="006C38B0">
      <w:pPr>
        <w:pStyle w:val="Zkladntext"/>
        <w:spacing w:before="120" w:after="120"/>
        <w:jc w:val="center"/>
        <w:rPr>
          <w:rFonts w:ascii="Arial" w:hAnsi="Arial" w:cs="Arial"/>
          <w:b/>
          <w:bCs/>
          <w:color w:val="000000"/>
        </w:rPr>
      </w:pPr>
      <w:r w:rsidRPr="00041109">
        <w:rPr>
          <w:rFonts w:ascii="Arial" w:hAnsi="Arial" w:cs="Arial"/>
          <w:b/>
          <w:bCs/>
          <w:color w:val="000000"/>
        </w:rPr>
        <w:t>IX. Autorská práva</w:t>
      </w:r>
    </w:p>
    <w:p w:rsidR="00A962F7" w:rsidRPr="00041109" w:rsidRDefault="00A962F7" w:rsidP="006C38B0">
      <w:pPr>
        <w:pStyle w:val="Bezmezer"/>
      </w:pPr>
    </w:p>
    <w:p w:rsidR="00A962F7" w:rsidRDefault="00A962F7" w:rsidP="006C38B0">
      <w:pPr>
        <w:pStyle w:val="Zkladn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A962F7" w:rsidRPr="00041109" w:rsidRDefault="00A962F7" w:rsidP="006C38B0">
      <w:pPr>
        <w:pStyle w:val="Zkladntext"/>
        <w:jc w:val="both"/>
        <w:rPr>
          <w:rFonts w:ascii="Arial" w:hAnsi="Arial" w:cs="Arial"/>
          <w:color w:val="000000"/>
          <w:sz w:val="22"/>
          <w:szCs w:val="22"/>
        </w:rPr>
      </w:pPr>
    </w:p>
    <w:p w:rsidR="00A962F7" w:rsidRPr="00DC3CB3" w:rsidRDefault="00A962F7" w:rsidP="006C38B0">
      <w:pPr>
        <w:pStyle w:val="Zkladn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A962F7" w:rsidRPr="00041109" w:rsidRDefault="00A962F7" w:rsidP="006C38B0">
      <w:pPr>
        <w:pStyle w:val="Zkladntext"/>
        <w:jc w:val="both"/>
        <w:rPr>
          <w:color w:val="000000"/>
        </w:rPr>
      </w:pPr>
    </w:p>
    <w:p w:rsidR="00A962F7" w:rsidRDefault="00A962F7" w:rsidP="006C38B0">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A962F7" w:rsidRDefault="00A962F7" w:rsidP="006C38B0"/>
    <w:p w:rsidR="00A962F7" w:rsidRDefault="00A962F7" w:rsidP="006C38B0">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A962F7" w:rsidRDefault="00A962F7" w:rsidP="006C38B0"/>
    <w:p w:rsidR="00A962F7" w:rsidRDefault="00A962F7" w:rsidP="006C38B0">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A962F7" w:rsidRDefault="00A962F7" w:rsidP="006C38B0"/>
    <w:p w:rsidR="00A962F7" w:rsidRDefault="00A962F7" w:rsidP="006C38B0">
      <w:pPr>
        <w:pStyle w:val="Odstavecseseznamem"/>
        <w:ind w:left="0"/>
        <w:jc w:val="both"/>
        <w:rPr>
          <w:rFonts w:ascii="Arial" w:hAnsi="Arial" w:cs="Arial"/>
          <w:sz w:val="22"/>
          <w:szCs w:val="22"/>
        </w:rPr>
      </w:pPr>
      <w:r w:rsidRPr="00041109">
        <w:rPr>
          <w:rFonts w:ascii="Arial" w:hAnsi="Arial" w:cs="Arial"/>
          <w:sz w:val="22"/>
          <w:szCs w:val="22"/>
        </w:rPr>
        <w:lastRenderedPageBreak/>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A962F7" w:rsidRDefault="00A962F7" w:rsidP="006C38B0"/>
    <w:p w:rsidR="00A962F7" w:rsidRDefault="00A962F7" w:rsidP="006C38B0">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A962F7" w:rsidRPr="00041109" w:rsidRDefault="00A962F7" w:rsidP="006C38B0">
      <w:pPr>
        <w:pStyle w:val="Odstavecseseznamem"/>
        <w:ind w:left="0"/>
        <w:rPr>
          <w:rFonts w:ascii="Arial" w:hAnsi="Arial" w:cs="Arial"/>
          <w:sz w:val="22"/>
          <w:szCs w:val="22"/>
        </w:rPr>
      </w:pPr>
    </w:p>
    <w:p w:rsidR="00A962F7" w:rsidRDefault="00A962F7" w:rsidP="006C38B0">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A962F7" w:rsidRDefault="00A962F7" w:rsidP="006C38B0">
      <w:pPr>
        <w:pStyle w:val="Zkladntext2"/>
        <w:rPr>
          <w:rFonts w:ascii="Arial" w:hAnsi="Arial" w:cs="Arial"/>
          <w:sz w:val="20"/>
          <w:szCs w:val="20"/>
        </w:rPr>
      </w:pPr>
    </w:p>
    <w:p w:rsidR="00A962F7" w:rsidRDefault="00A962F7" w:rsidP="006C38B0">
      <w:pPr>
        <w:pStyle w:val="Zkladntext2"/>
        <w:jc w:val="center"/>
        <w:rPr>
          <w:rFonts w:ascii="Arial" w:hAnsi="Arial" w:cs="Arial"/>
          <w:b/>
          <w:bCs/>
        </w:rPr>
      </w:pPr>
      <w:r>
        <w:rPr>
          <w:rFonts w:ascii="Arial" w:hAnsi="Arial" w:cs="Arial"/>
          <w:b/>
          <w:bCs/>
        </w:rPr>
        <w:t>X. Záruka</w:t>
      </w:r>
    </w:p>
    <w:p w:rsidR="00A962F7" w:rsidRDefault="00A962F7" w:rsidP="006C38B0">
      <w:pPr>
        <w:pStyle w:val="Zkladn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A962F7" w:rsidRPr="001C10BF" w:rsidRDefault="00A962F7" w:rsidP="006C38B0">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A962F7" w:rsidRDefault="00A962F7" w:rsidP="006C38B0">
      <w:pPr>
        <w:pStyle w:val="Zkladntext2"/>
        <w:rPr>
          <w:rFonts w:ascii="Arial" w:hAnsi="Arial" w:cs="Arial"/>
          <w:sz w:val="22"/>
          <w:szCs w:val="22"/>
        </w:rPr>
      </w:pPr>
    </w:p>
    <w:p w:rsidR="00A962F7" w:rsidRDefault="00A962F7" w:rsidP="006C38B0">
      <w:pPr>
        <w:tabs>
          <w:tab w:val="left" w:pos="1980"/>
        </w:tabs>
        <w:jc w:val="both"/>
        <w:rPr>
          <w:rFonts w:ascii="Arial" w:hAnsi="Arial" w:cs="Arial"/>
          <w:snapToGrid w:val="0"/>
          <w:sz w:val="22"/>
          <w:szCs w:val="22"/>
        </w:rPr>
      </w:pPr>
      <w:r>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137/2006 Sb., o veřejných zakázkách, zejména ustanovení § 44 zejména odst. 9 zákona č. 137/2006 Sb. a vyhlášky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 xml:space="preserve"> a je plně zodpovědný za škody, které porušením tohoto závazku popřípadě objednateli vzniknou.</w:t>
      </w:r>
    </w:p>
    <w:p w:rsidR="00A962F7" w:rsidRDefault="00A962F7" w:rsidP="006C38B0">
      <w:pPr>
        <w:pStyle w:val="Zkladn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A962F7" w:rsidRDefault="00A962F7" w:rsidP="006C38B0">
      <w:pPr>
        <w:pStyle w:val="Zkladntext2"/>
        <w:jc w:val="center"/>
        <w:rPr>
          <w:rFonts w:ascii="Arial" w:hAnsi="Arial" w:cs="Arial"/>
          <w:b/>
          <w:bCs/>
        </w:rPr>
      </w:pPr>
    </w:p>
    <w:p w:rsidR="00A962F7" w:rsidRDefault="00A962F7" w:rsidP="006C38B0">
      <w:pPr>
        <w:pStyle w:val="Zkladntext2"/>
        <w:jc w:val="center"/>
        <w:rPr>
          <w:rFonts w:ascii="Arial" w:hAnsi="Arial" w:cs="Arial"/>
          <w:b/>
          <w:bCs/>
        </w:rPr>
      </w:pPr>
      <w:r>
        <w:rPr>
          <w:rFonts w:ascii="Arial" w:hAnsi="Arial" w:cs="Arial"/>
          <w:b/>
          <w:bCs/>
        </w:rPr>
        <w:t>XI. Odstoupení od smlouvy</w:t>
      </w:r>
    </w:p>
    <w:p w:rsidR="00A962F7" w:rsidRDefault="00A962F7" w:rsidP="006C38B0">
      <w:pPr>
        <w:pStyle w:val="Zkladntext2"/>
        <w:rPr>
          <w:rFonts w:ascii="Arial" w:hAnsi="Arial" w:cs="Arial"/>
          <w:sz w:val="22"/>
          <w:szCs w:val="22"/>
        </w:rPr>
      </w:pPr>
      <w:r>
        <w:rPr>
          <w:rFonts w:ascii="Arial" w:hAnsi="Arial" w:cs="Arial"/>
          <w:sz w:val="22"/>
          <w:szCs w:val="22"/>
        </w:rPr>
        <w:t>Objednatel je oprávněn odstoupit od smlouvy, pokud:</w:t>
      </w:r>
    </w:p>
    <w:p w:rsidR="00A962F7" w:rsidRDefault="00A962F7"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lastRenderedPageBreak/>
        <w:t>práce nezačaly podle termínu nebo v plnění dochází k prodlení na straně zhotovitele o více než 30 dnů</w:t>
      </w:r>
    </w:p>
    <w:p w:rsidR="00A962F7" w:rsidRDefault="00A962F7"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A962F7" w:rsidRDefault="00A962F7" w:rsidP="006C38B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A962F7" w:rsidRDefault="00A962F7" w:rsidP="006C38B0">
      <w:pPr>
        <w:pStyle w:val="Zkladntext2"/>
        <w:numPr>
          <w:ilvl w:val="0"/>
          <w:numId w:val="11"/>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rsidR="00A962F7" w:rsidRDefault="00A962F7" w:rsidP="006C38B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rsidR="00A962F7" w:rsidRPr="002E7279" w:rsidRDefault="00A962F7"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A962F7" w:rsidRDefault="00A962F7" w:rsidP="006C38B0">
      <w:pPr>
        <w:pStyle w:val="Zkladntext2"/>
        <w:rPr>
          <w:rFonts w:ascii="Arial" w:hAnsi="Arial" w:cs="Arial"/>
          <w:sz w:val="22"/>
          <w:szCs w:val="22"/>
        </w:rPr>
      </w:pPr>
      <w:r>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A962F7" w:rsidRDefault="00A962F7" w:rsidP="006C38B0">
      <w:pPr>
        <w:pStyle w:val="Zkladntext2"/>
        <w:ind w:left="284"/>
        <w:rPr>
          <w:rFonts w:ascii="Arial" w:hAnsi="Arial" w:cs="Arial"/>
          <w:sz w:val="20"/>
          <w:szCs w:val="20"/>
        </w:rPr>
      </w:pPr>
    </w:p>
    <w:p w:rsidR="00A962F7" w:rsidRPr="00BB4C9C" w:rsidRDefault="00A962F7" w:rsidP="00BB4C9C">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A962F7" w:rsidRPr="00BB4C9C" w:rsidRDefault="00A962F7" w:rsidP="00BB4C9C">
      <w:pPr>
        <w:pStyle w:val="odstzkl"/>
        <w:spacing w:before="0"/>
        <w:jc w:val="center"/>
        <w:rPr>
          <w:rFonts w:ascii="Arial" w:hAnsi="Arial" w:cs="Arial"/>
          <w:b/>
          <w:bCs/>
          <w:sz w:val="22"/>
          <w:szCs w:val="22"/>
        </w:rPr>
      </w:pPr>
    </w:p>
    <w:p w:rsidR="00A962F7" w:rsidRPr="00BB4C9C" w:rsidRDefault="00A962F7" w:rsidP="00BB4C9C">
      <w:pPr>
        <w:jc w:val="both"/>
        <w:rPr>
          <w:rFonts w:ascii="Arial" w:hAnsi="Arial" w:cs="Arial"/>
          <w:caps/>
          <w:sz w:val="22"/>
          <w:szCs w:val="22"/>
        </w:rPr>
      </w:pPr>
      <w:r w:rsidRPr="00BB4C9C">
        <w:rPr>
          <w:rFonts w:ascii="Arial" w:hAnsi="Arial" w:cs="Arial"/>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A962F7" w:rsidRPr="00BB4C9C" w:rsidRDefault="00A962F7" w:rsidP="00BB4C9C">
      <w:pPr>
        <w:jc w:val="both"/>
        <w:rPr>
          <w:rFonts w:ascii="Arial" w:hAnsi="Arial" w:cs="Arial"/>
          <w:caps/>
          <w:sz w:val="22"/>
          <w:szCs w:val="22"/>
        </w:rPr>
      </w:pPr>
    </w:p>
    <w:p w:rsidR="00A962F7" w:rsidRPr="00BB4C9C" w:rsidRDefault="00A962F7" w:rsidP="00BB4C9C">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A962F7" w:rsidRPr="00BB4C9C" w:rsidRDefault="00A962F7" w:rsidP="00BB4C9C">
      <w:pPr>
        <w:ind w:left="284"/>
        <w:jc w:val="both"/>
        <w:rPr>
          <w:rFonts w:ascii="Arial" w:hAnsi="Arial" w:cs="Arial"/>
          <w:caps/>
          <w:sz w:val="22"/>
          <w:szCs w:val="22"/>
        </w:rPr>
      </w:pPr>
    </w:p>
    <w:p w:rsidR="00A962F7" w:rsidRPr="00BB4C9C" w:rsidRDefault="00A962F7" w:rsidP="00BB4C9C">
      <w:pPr>
        <w:pStyle w:val="Nadpis8"/>
        <w:spacing w:line="240" w:lineRule="auto"/>
        <w:jc w:val="both"/>
        <w:rPr>
          <w:rFonts w:ascii="Arial" w:hAnsi="Arial" w:cs="Arial"/>
          <w:b w:val="0"/>
          <w:bCs w:val="0"/>
          <w:sz w:val="22"/>
          <w:szCs w:val="22"/>
        </w:rPr>
      </w:pPr>
      <w:r w:rsidRPr="00BB4C9C">
        <w:rPr>
          <w:rFonts w:ascii="Arial" w:hAnsi="Arial" w:cs="Arial"/>
          <w:b w:val="0"/>
          <w:bCs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A962F7" w:rsidRDefault="00A962F7" w:rsidP="00BB4C9C">
      <w:pPr>
        <w:pStyle w:val="Nadpis8"/>
        <w:spacing w:line="240" w:lineRule="auto"/>
        <w:rPr>
          <w:rFonts w:ascii="Arial" w:hAnsi="Arial" w:cs="Arial"/>
          <w:snapToGrid w:val="0"/>
          <w:sz w:val="24"/>
          <w:szCs w:val="24"/>
        </w:rPr>
      </w:pPr>
    </w:p>
    <w:p w:rsidR="00A962F7" w:rsidRDefault="00A962F7" w:rsidP="00BB4C9C">
      <w:pPr>
        <w:pStyle w:val="Nadpis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A962F7" w:rsidRDefault="00A962F7" w:rsidP="006C38B0">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A962F7" w:rsidRDefault="00A962F7" w:rsidP="006C38B0">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A962F7" w:rsidRPr="008952C9" w:rsidRDefault="00A962F7"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w:t>
      </w:r>
      <w:r>
        <w:rPr>
          <w:rFonts w:ascii="Arial" w:hAnsi="Arial" w:cs="Arial"/>
          <w:snapToGrid w:val="0"/>
          <w:sz w:val="22"/>
          <w:szCs w:val="22"/>
        </w:rPr>
        <w:t>rávo mohlo být uplatněno poprvé.</w:t>
      </w:r>
    </w:p>
    <w:p w:rsidR="00A962F7" w:rsidRPr="008952C9" w:rsidRDefault="00A962F7" w:rsidP="006C38B0">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A962F7" w:rsidRPr="008952C9" w:rsidRDefault="00A962F7" w:rsidP="006C38B0">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A962F7" w:rsidRPr="008952C9" w:rsidRDefault="00A962F7" w:rsidP="006C38B0">
      <w:pPr>
        <w:spacing w:before="120"/>
        <w:jc w:val="both"/>
        <w:rPr>
          <w:rFonts w:ascii="Arial" w:hAnsi="Arial" w:cs="Arial"/>
          <w:snapToGrid w:val="0"/>
          <w:sz w:val="22"/>
          <w:szCs w:val="22"/>
        </w:rPr>
      </w:pPr>
      <w:r w:rsidRPr="008952C9">
        <w:rPr>
          <w:rFonts w:ascii="Arial" w:hAnsi="Arial" w:cs="Arial"/>
          <w:snapToGrid w:val="0"/>
          <w:sz w:val="22"/>
          <w:szCs w:val="22"/>
        </w:rPr>
        <w:lastRenderedPageBreak/>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A962F7" w:rsidRDefault="00A962F7" w:rsidP="006C38B0">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A962F7" w:rsidRDefault="00A962F7" w:rsidP="006C38B0">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A962F7" w:rsidRDefault="00A962F7" w:rsidP="006C38B0">
      <w:pPr>
        <w:pStyle w:val="slovanseznam"/>
        <w:ind w:left="0" w:firstLine="0"/>
        <w:rPr>
          <w:rFonts w:ascii="Arial" w:hAnsi="Arial" w:cs="Arial"/>
          <w:sz w:val="22"/>
          <w:szCs w:val="22"/>
        </w:rPr>
      </w:pPr>
    </w:p>
    <w:p w:rsidR="00A962F7" w:rsidRDefault="00A962F7" w:rsidP="006C38B0">
      <w:pPr>
        <w:pStyle w:val="slovanseznam"/>
        <w:ind w:left="0" w:firstLine="0"/>
        <w:rPr>
          <w:rFonts w:ascii="Arial" w:hAnsi="Arial" w:cs="Arial"/>
          <w:sz w:val="22"/>
          <w:szCs w:val="22"/>
        </w:rPr>
      </w:pPr>
      <w:r>
        <w:rPr>
          <w:rFonts w:ascii="Arial" w:hAnsi="Arial" w:cs="Arial"/>
          <w:sz w:val="22"/>
          <w:szCs w:val="22"/>
        </w:rPr>
        <w:t>Smlouva je vyhotovena ve třech stejnopisech s platností originálu, z nichž objednatel obdrží jeden výtisk a zhotovitel obdrží dva výtisky.</w:t>
      </w:r>
    </w:p>
    <w:p w:rsidR="00A962F7" w:rsidRDefault="00A962F7" w:rsidP="006C38B0">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A962F7" w:rsidRDefault="00A962F7" w:rsidP="006C38B0">
      <w:pPr>
        <w:pStyle w:val="slovanseznam2"/>
        <w:tabs>
          <w:tab w:val="clear" w:pos="1004"/>
          <w:tab w:val="left" w:pos="-3261"/>
        </w:tabs>
        <w:ind w:left="0" w:firstLine="0"/>
        <w:rPr>
          <w:rFonts w:ascii="Arial" w:hAnsi="Arial" w:cs="Arial"/>
          <w:sz w:val="22"/>
          <w:szCs w:val="22"/>
        </w:rPr>
      </w:pPr>
    </w:p>
    <w:p w:rsidR="00A962F7" w:rsidRDefault="00A962F7"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Smlouva, jakož i případné dodatky, nabývají platnosti a účinnosti dnem jejich uzavření.</w:t>
      </w:r>
    </w:p>
    <w:p w:rsidR="00A962F7" w:rsidRDefault="00A962F7" w:rsidP="006C38B0">
      <w:pPr>
        <w:pStyle w:val="slovanseznam2"/>
        <w:tabs>
          <w:tab w:val="clear" w:pos="1004"/>
          <w:tab w:val="left" w:pos="-3261"/>
        </w:tabs>
        <w:ind w:left="0" w:firstLine="0"/>
        <w:rPr>
          <w:rFonts w:ascii="Arial" w:hAnsi="Arial" w:cs="Arial"/>
        </w:rPr>
      </w:pPr>
    </w:p>
    <w:p w:rsidR="00A962F7" w:rsidRDefault="00A962F7"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A962F7" w:rsidRDefault="00A962F7" w:rsidP="006C38B0">
      <w:pPr>
        <w:pStyle w:val="slovanseznam2"/>
        <w:tabs>
          <w:tab w:val="clear" w:pos="1004"/>
          <w:tab w:val="left" w:pos="-3261"/>
        </w:tabs>
        <w:ind w:left="0" w:firstLine="0"/>
        <w:rPr>
          <w:rFonts w:ascii="Arial" w:hAnsi="Arial" w:cs="Arial"/>
          <w:sz w:val="22"/>
          <w:szCs w:val="22"/>
        </w:rPr>
      </w:pPr>
    </w:p>
    <w:p w:rsidR="00A962F7" w:rsidRDefault="00A962F7" w:rsidP="006C38B0">
      <w:pPr>
        <w:pStyle w:val="slovanseznam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A962F7" w:rsidRPr="009A2542" w:rsidRDefault="00A962F7" w:rsidP="006C38B0">
      <w:pPr>
        <w:jc w:val="both"/>
        <w:rPr>
          <w:rFonts w:ascii="Arial" w:hAnsi="Arial" w:cs="Arial"/>
          <w:snapToGrid w:val="0"/>
          <w:sz w:val="22"/>
          <w:szCs w:val="22"/>
        </w:rPr>
      </w:pPr>
      <w:r w:rsidRPr="00BB4C9C">
        <w:rPr>
          <w:rFonts w:ascii="Arial" w:hAnsi="Arial" w:cs="Arial"/>
          <w:snapToGrid w:val="0"/>
          <w:sz w:val="22"/>
          <w:szCs w:val="22"/>
        </w:rPr>
        <w:t xml:space="preserve">Příloha č. 1 – </w:t>
      </w:r>
      <w:r w:rsidRPr="009A2542">
        <w:rPr>
          <w:rFonts w:ascii="Arial" w:hAnsi="Arial" w:cs="Arial"/>
          <w:snapToGrid w:val="0"/>
          <w:sz w:val="22"/>
          <w:szCs w:val="22"/>
        </w:rPr>
        <w:t>Kalkulace ceny</w:t>
      </w:r>
    </w:p>
    <w:p w:rsidR="00A962F7" w:rsidRPr="009A2542" w:rsidRDefault="00A962F7" w:rsidP="0001398B">
      <w:pPr>
        <w:pStyle w:val="Nadpis1"/>
        <w:numPr>
          <w:ilvl w:val="0"/>
          <w:numId w:val="0"/>
        </w:numPr>
        <w:tabs>
          <w:tab w:val="center" w:pos="4860"/>
        </w:tabs>
        <w:spacing w:before="0" w:after="0"/>
        <w:jc w:val="left"/>
        <w:rPr>
          <w:rFonts w:ascii="Arial" w:hAnsi="Arial" w:cs="Arial"/>
          <w:b w:val="0"/>
          <w:bCs w:val="0"/>
          <w:caps w:val="0"/>
          <w:sz w:val="22"/>
          <w:szCs w:val="22"/>
          <w:u w:val="none"/>
        </w:rPr>
      </w:pPr>
      <w:r w:rsidRPr="009A2542">
        <w:rPr>
          <w:rFonts w:ascii="Arial" w:hAnsi="Arial" w:cs="Arial"/>
          <w:b w:val="0"/>
          <w:bCs w:val="0"/>
          <w:caps w:val="0"/>
          <w:sz w:val="22"/>
          <w:szCs w:val="22"/>
          <w:u w:val="none"/>
        </w:rPr>
        <w:t>Příloha č. 2 -  Pravidla PVS pro vyhotovení soupisů stavebních prací, včetně výkazu výměr (liniové stavby)</w:t>
      </w:r>
    </w:p>
    <w:p w:rsidR="00A962F7" w:rsidRPr="006834C7" w:rsidRDefault="00A962F7" w:rsidP="00BB4C9C">
      <w:pPr>
        <w:rPr>
          <w:rFonts w:ascii="Arial" w:hAnsi="Arial" w:cs="Arial"/>
          <w:sz w:val="22"/>
          <w:szCs w:val="22"/>
        </w:rPr>
      </w:pPr>
      <w:r w:rsidRPr="009A2542">
        <w:rPr>
          <w:rFonts w:ascii="Arial" w:hAnsi="Arial" w:cs="Arial"/>
          <w:sz w:val="22"/>
          <w:szCs w:val="22"/>
        </w:rPr>
        <w:t>Příloha č. 3 - Seznam</w:t>
      </w:r>
      <w:r w:rsidRPr="006834C7">
        <w:rPr>
          <w:rFonts w:ascii="Arial" w:hAnsi="Arial" w:cs="Arial"/>
          <w:sz w:val="22"/>
          <w:szCs w:val="22"/>
        </w:rPr>
        <w:t xml:space="preserve"> Odpovědných osob a čísla účtů zveřejněných v registru plátců DPH</w:t>
      </w:r>
    </w:p>
    <w:p w:rsidR="00A962F7" w:rsidRPr="006834C7" w:rsidRDefault="00A962F7"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A962F7" w:rsidRPr="006834C7" w:rsidRDefault="00A962F7" w:rsidP="00E7290E">
      <w:pPr>
        <w:ind w:firstLine="720"/>
        <w:jc w:val="both"/>
        <w:rPr>
          <w:rFonts w:ascii="Arial" w:hAnsi="Arial" w:cs="Arial"/>
          <w:snapToGrid w:val="0"/>
          <w:sz w:val="22"/>
          <w:szCs w:val="22"/>
        </w:rPr>
      </w:pPr>
    </w:p>
    <w:p w:rsidR="00A962F7" w:rsidRDefault="00A962F7" w:rsidP="006C38B0">
      <w:pPr>
        <w:jc w:val="both"/>
        <w:rPr>
          <w:rFonts w:ascii="Arial" w:hAnsi="Arial" w:cs="Arial"/>
          <w:snapToGrid w:val="0"/>
          <w:sz w:val="22"/>
          <w:szCs w:val="22"/>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3846"/>
      </w:tblGrid>
      <w:tr w:rsidR="00A962F7">
        <w:tc>
          <w:tcPr>
            <w:tcW w:w="4606" w:type="dxa"/>
          </w:tcPr>
          <w:p w:rsidR="00A962F7" w:rsidRDefault="00A962F7" w:rsidP="00302B79">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A962F7" w:rsidRDefault="00A962F7" w:rsidP="00302B79">
            <w:pPr>
              <w:spacing w:before="120"/>
              <w:jc w:val="both"/>
              <w:rPr>
                <w:rFonts w:ascii="Arial" w:hAnsi="Arial" w:cs="Arial"/>
                <w:snapToGrid w:val="0"/>
                <w:sz w:val="22"/>
                <w:szCs w:val="22"/>
              </w:rPr>
            </w:pPr>
            <w:r w:rsidRPr="00A46A8D">
              <w:rPr>
                <w:rFonts w:ascii="Arial" w:hAnsi="Arial" w:cs="Arial"/>
                <w:snapToGrid w:val="0"/>
                <w:sz w:val="22"/>
                <w:szCs w:val="22"/>
              </w:rPr>
              <w:t>V Praze dne</w:t>
            </w:r>
            <w:r>
              <w:rPr>
                <w:rFonts w:ascii="Arial" w:hAnsi="Arial" w:cs="Arial"/>
                <w:snapToGrid w:val="0"/>
                <w:sz w:val="22"/>
                <w:szCs w:val="22"/>
              </w:rPr>
              <w:t>:</w:t>
            </w:r>
          </w:p>
        </w:tc>
      </w:tr>
      <w:tr w:rsidR="00A962F7">
        <w:tc>
          <w:tcPr>
            <w:tcW w:w="4606" w:type="dxa"/>
          </w:tcPr>
          <w:p w:rsidR="00A962F7" w:rsidRDefault="00A962F7" w:rsidP="00302B79">
            <w:pPr>
              <w:spacing w:before="120"/>
              <w:jc w:val="both"/>
              <w:rPr>
                <w:rFonts w:ascii="Arial" w:hAnsi="Arial" w:cs="Arial"/>
                <w:snapToGrid w:val="0"/>
                <w:sz w:val="22"/>
                <w:szCs w:val="22"/>
              </w:rPr>
            </w:pPr>
            <w:r>
              <w:rPr>
                <w:rFonts w:ascii="Arial" w:hAnsi="Arial" w:cs="Arial"/>
                <w:sz w:val="22"/>
                <w:szCs w:val="22"/>
              </w:rPr>
              <w:t>za Pražskou vodohospodářskou společnost a. s.</w:t>
            </w:r>
          </w:p>
        </w:tc>
        <w:tc>
          <w:tcPr>
            <w:tcW w:w="3846" w:type="dxa"/>
          </w:tcPr>
          <w:p w:rsidR="00A962F7" w:rsidRDefault="00A962F7" w:rsidP="00837283">
            <w:pPr>
              <w:spacing w:before="120"/>
              <w:jc w:val="both"/>
              <w:rPr>
                <w:rFonts w:ascii="Arial" w:hAnsi="Arial" w:cs="Arial"/>
                <w:snapToGrid w:val="0"/>
                <w:sz w:val="22"/>
                <w:szCs w:val="22"/>
              </w:rPr>
            </w:pPr>
            <w:r>
              <w:rPr>
                <w:rFonts w:ascii="Arial" w:hAnsi="Arial" w:cs="Arial"/>
                <w:snapToGrid w:val="0"/>
                <w:sz w:val="22"/>
                <w:szCs w:val="22"/>
              </w:rPr>
              <w:t>za zhotovitele</w:t>
            </w:r>
          </w:p>
        </w:tc>
      </w:tr>
      <w:tr w:rsidR="00A962F7">
        <w:tc>
          <w:tcPr>
            <w:tcW w:w="4606" w:type="dxa"/>
          </w:tcPr>
          <w:p w:rsidR="00A962F7" w:rsidRDefault="00A962F7" w:rsidP="00E03485">
            <w:pPr>
              <w:spacing w:before="120"/>
              <w:jc w:val="both"/>
              <w:rPr>
                <w:rFonts w:ascii="Arial" w:hAnsi="Arial" w:cs="Arial"/>
                <w:snapToGrid w:val="0"/>
                <w:sz w:val="22"/>
                <w:szCs w:val="22"/>
              </w:rPr>
            </w:pPr>
          </w:p>
        </w:tc>
        <w:tc>
          <w:tcPr>
            <w:tcW w:w="3846" w:type="dxa"/>
          </w:tcPr>
          <w:p w:rsidR="00A962F7" w:rsidRDefault="00A962F7" w:rsidP="00E03485">
            <w:pPr>
              <w:spacing w:before="120"/>
              <w:jc w:val="both"/>
              <w:rPr>
                <w:rFonts w:ascii="Arial" w:hAnsi="Arial" w:cs="Arial"/>
                <w:snapToGrid w:val="0"/>
                <w:sz w:val="22"/>
                <w:szCs w:val="22"/>
              </w:rPr>
            </w:pPr>
          </w:p>
        </w:tc>
      </w:tr>
      <w:tr w:rsidR="00A962F7">
        <w:tc>
          <w:tcPr>
            <w:tcW w:w="4606" w:type="dxa"/>
          </w:tcPr>
          <w:p w:rsidR="00A962F7" w:rsidRDefault="00A962F7" w:rsidP="00E03485">
            <w:pPr>
              <w:spacing w:before="120"/>
              <w:jc w:val="both"/>
              <w:rPr>
                <w:rFonts w:ascii="Arial" w:hAnsi="Arial" w:cs="Arial"/>
                <w:snapToGrid w:val="0"/>
                <w:sz w:val="22"/>
                <w:szCs w:val="22"/>
              </w:rPr>
            </w:pPr>
          </w:p>
        </w:tc>
        <w:tc>
          <w:tcPr>
            <w:tcW w:w="3846" w:type="dxa"/>
          </w:tcPr>
          <w:p w:rsidR="00A962F7" w:rsidRDefault="00A962F7" w:rsidP="00E03485">
            <w:pPr>
              <w:spacing w:before="120"/>
              <w:jc w:val="both"/>
              <w:rPr>
                <w:rFonts w:ascii="Arial" w:hAnsi="Arial" w:cs="Arial"/>
                <w:snapToGrid w:val="0"/>
                <w:sz w:val="22"/>
                <w:szCs w:val="22"/>
              </w:rPr>
            </w:pPr>
          </w:p>
        </w:tc>
      </w:tr>
      <w:tr w:rsidR="00A962F7">
        <w:tc>
          <w:tcPr>
            <w:tcW w:w="4606" w:type="dxa"/>
          </w:tcPr>
          <w:p w:rsidR="00A962F7" w:rsidRDefault="00A962F7" w:rsidP="00E03485">
            <w:pPr>
              <w:spacing w:before="120"/>
              <w:jc w:val="both"/>
              <w:rPr>
                <w:rFonts w:ascii="Arial" w:hAnsi="Arial" w:cs="Arial"/>
                <w:snapToGrid w:val="0"/>
                <w:sz w:val="22"/>
                <w:szCs w:val="22"/>
              </w:rPr>
            </w:pPr>
          </w:p>
        </w:tc>
        <w:tc>
          <w:tcPr>
            <w:tcW w:w="3846" w:type="dxa"/>
          </w:tcPr>
          <w:p w:rsidR="00A962F7" w:rsidRDefault="00A962F7" w:rsidP="00E03485">
            <w:pPr>
              <w:spacing w:before="120"/>
              <w:jc w:val="both"/>
              <w:rPr>
                <w:rFonts w:ascii="Arial" w:hAnsi="Arial" w:cs="Arial"/>
                <w:snapToGrid w:val="0"/>
                <w:sz w:val="22"/>
                <w:szCs w:val="22"/>
              </w:rPr>
            </w:pPr>
          </w:p>
        </w:tc>
      </w:tr>
      <w:tr w:rsidR="00A962F7">
        <w:tc>
          <w:tcPr>
            <w:tcW w:w="4606" w:type="dxa"/>
          </w:tcPr>
          <w:p w:rsidR="00A962F7" w:rsidRDefault="00A962F7" w:rsidP="00E03485">
            <w:pPr>
              <w:spacing w:before="120"/>
              <w:jc w:val="both"/>
              <w:rPr>
                <w:rFonts w:ascii="Arial" w:hAnsi="Arial" w:cs="Arial"/>
                <w:snapToGrid w:val="0"/>
                <w:sz w:val="22"/>
                <w:szCs w:val="22"/>
              </w:rPr>
            </w:pPr>
          </w:p>
        </w:tc>
        <w:tc>
          <w:tcPr>
            <w:tcW w:w="3846" w:type="dxa"/>
          </w:tcPr>
          <w:p w:rsidR="00A962F7" w:rsidRDefault="00A962F7" w:rsidP="00E03485">
            <w:pPr>
              <w:spacing w:before="120"/>
              <w:jc w:val="both"/>
              <w:rPr>
                <w:rFonts w:ascii="Arial" w:hAnsi="Arial" w:cs="Arial"/>
                <w:snapToGrid w:val="0"/>
                <w:sz w:val="22"/>
                <w:szCs w:val="22"/>
              </w:rPr>
            </w:pPr>
          </w:p>
        </w:tc>
      </w:tr>
      <w:tr w:rsidR="00A962F7">
        <w:tc>
          <w:tcPr>
            <w:tcW w:w="4606" w:type="dxa"/>
          </w:tcPr>
          <w:p w:rsidR="00A962F7" w:rsidRPr="004E675D" w:rsidRDefault="00A962F7" w:rsidP="00E0348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Arial" w:hAnsi="Arial" w:cs="Arial"/>
                <w:sz w:val="22"/>
                <w:szCs w:val="22"/>
              </w:rPr>
            </w:pPr>
            <w:r w:rsidRPr="004E675D">
              <w:rPr>
                <w:rFonts w:ascii="Arial" w:hAnsi="Arial" w:cs="Arial"/>
                <w:sz w:val="22"/>
                <w:szCs w:val="22"/>
              </w:rPr>
              <w:t>Ing. Petr Bureš</w:t>
            </w:r>
          </w:p>
          <w:p w:rsidR="00A962F7" w:rsidRDefault="00A962F7" w:rsidP="00E03485">
            <w:pPr>
              <w:jc w:val="both"/>
              <w:rPr>
                <w:rFonts w:ascii="Arial" w:hAnsi="Arial" w:cs="Arial"/>
                <w:snapToGrid w:val="0"/>
                <w:sz w:val="22"/>
                <w:szCs w:val="22"/>
              </w:rPr>
            </w:pPr>
            <w:r w:rsidRPr="004E675D">
              <w:rPr>
                <w:rFonts w:ascii="Arial" w:hAnsi="Arial" w:cs="Arial"/>
                <w:sz w:val="22"/>
                <w:szCs w:val="22"/>
              </w:rPr>
              <w:t>ředitel obchodní divize</w:t>
            </w:r>
          </w:p>
        </w:tc>
        <w:tc>
          <w:tcPr>
            <w:tcW w:w="3846" w:type="dxa"/>
          </w:tcPr>
          <w:p w:rsidR="00A962F7" w:rsidRDefault="00A962F7" w:rsidP="00E03485">
            <w:pPr>
              <w:spacing w:before="120"/>
              <w:jc w:val="both"/>
              <w:rPr>
                <w:rFonts w:ascii="Arial" w:hAnsi="Arial" w:cs="Arial"/>
                <w:snapToGrid w:val="0"/>
                <w:sz w:val="22"/>
                <w:szCs w:val="22"/>
              </w:rPr>
            </w:pPr>
          </w:p>
        </w:tc>
      </w:tr>
    </w:tbl>
    <w:p w:rsidR="00A962F7" w:rsidRDefault="00A962F7">
      <w:pPr>
        <w:spacing w:before="120"/>
        <w:jc w:val="both"/>
        <w:rPr>
          <w:rFonts w:ascii="Arial" w:hAnsi="Arial" w:cs="Arial"/>
          <w:snapToGrid w:val="0"/>
          <w:sz w:val="22"/>
          <w:szCs w:val="22"/>
        </w:rPr>
      </w:pPr>
    </w:p>
    <w:sectPr w:rsidR="00A962F7" w:rsidSect="00540401">
      <w:headerReference w:type="default" r:id="rId8"/>
      <w:footerReference w:type="default" r:id="rId9"/>
      <w:pgSz w:w="11906" w:h="16838"/>
      <w:pgMar w:top="1417" w:right="1797" w:bottom="1417"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9F" w:rsidRDefault="00E50D9F">
      <w:r>
        <w:separator/>
      </w:r>
    </w:p>
  </w:endnote>
  <w:endnote w:type="continuationSeparator" w:id="0">
    <w:p w:rsidR="00E50D9F" w:rsidRDefault="00E5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F7" w:rsidRPr="003E64FD" w:rsidRDefault="00A962F7" w:rsidP="003E64FD">
    <w:pPr>
      <w:pStyle w:val="Zpat"/>
      <w:framePr w:wrap="auto" w:vAnchor="text" w:hAnchor="page" w:x="6181" w:y="-44"/>
      <w:rPr>
        <w:rStyle w:val="slostrnky"/>
        <w:rFonts w:ascii="Arial" w:hAnsi="Arial" w:cs="Arial"/>
      </w:rPr>
    </w:pPr>
    <w:r w:rsidRPr="003E64FD">
      <w:rPr>
        <w:rStyle w:val="slostrnky"/>
        <w:rFonts w:ascii="Arial" w:hAnsi="Arial" w:cs="Arial"/>
      </w:rPr>
      <w:fldChar w:fldCharType="begin"/>
    </w:r>
    <w:r w:rsidRPr="003E64FD">
      <w:rPr>
        <w:rStyle w:val="slostrnky"/>
        <w:rFonts w:ascii="Arial" w:hAnsi="Arial" w:cs="Arial"/>
      </w:rPr>
      <w:instrText xml:space="preserve">PAGE  </w:instrText>
    </w:r>
    <w:r w:rsidRPr="003E64FD">
      <w:rPr>
        <w:rStyle w:val="slostrnky"/>
        <w:rFonts w:ascii="Arial" w:hAnsi="Arial" w:cs="Arial"/>
      </w:rPr>
      <w:fldChar w:fldCharType="separate"/>
    </w:r>
    <w:r w:rsidR="00F653B2">
      <w:rPr>
        <w:rStyle w:val="slostrnky"/>
        <w:rFonts w:ascii="Arial" w:hAnsi="Arial" w:cs="Arial"/>
        <w:noProof/>
      </w:rPr>
      <w:t>7</w:t>
    </w:r>
    <w:r w:rsidRPr="003E64FD">
      <w:rPr>
        <w:rStyle w:val="slostrnky"/>
        <w:rFonts w:ascii="Arial" w:hAnsi="Arial" w:cs="Arial"/>
      </w:rPr>
      <w:fldChar w:fldCharType="end"/>
    </w:r>
  </w:p>
  <w:p w:rsidR="00A962F7" w:rsidRDefault="00A962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9F" w:rsidRDefault="00E50D9F">
      <w:r>
        <w:separator/>
      </w:r>
    </w:p>
  </w:footnote>
  <w:footnote w:type="continuationSeparator" w:id="0">
    <w:p w:rsidR="00E50D9F" w:rsidRDefault="00E5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F7" w:rsidRDefault="00A962F7" w:rsidP="001F7D7E">
    <w:pPr>
      <w:pStyle w:val="Zhlav"/>
      <w:tabs>
        <w:tab w:val="clear" w:pos="4536"/>
      </w:tabs>
      <w:rPr>
        <w:rFonts w:ascii="Arial" w:hAnsi="Arial" w:cs="Arial"/>
        <w:u w:val="single"/>
      </w:rPr>
    </w:pPr>
    <w:r w:rsidRPr="008B013A">
      <w:rPr>
        <w:rFonts w:ascii="Arial" w:hAnsi="Arial" w:cs="Arial"/>
        <w:u w:val="single"/>
      </w:rPr>
      <w:t>Obnova vodovodních řadů, ul. Kounická a okolí, P10</w:t>
    </w:r>
    <w:r w:rsidRPr="00020CE8">
      <w:rPr>
        <w:rFonts w:ascii="Arial" w:hAnsi="Arial" w:cs="Arial"/>
        <w:u w:val="single"/>
      </w:rPr>
      <w:tab/>
      <w:t xml:space="preserve">číslo akce </w:t>
    </w:r>
    <w:r>
      <w:rPr>
        <w:rFonts w:ascii="Arial" w:hAnsi="Arial" w:cs="Arial"/>
        <w:u w:val="single"/>
      </w:rPr>
      <w:t>1/4/F79/00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9E7916"/>
    <w:lvl w:ilvl="0">
      <w:start w:val="1"/>
      <w:numFmt w:val="decimal"/>
      <w:lvlText w:val="%1."/>
      <w:lvlJc w:val="left"/>
      <w:pPr>
        <w:tabs>
          <w:tab w:val="num" w:pos="643"/>
        </w:tabs>
        <w:ind w:left="643" w:hanging="360"/>
      </w:pPr>
    </w:lvl>
  </w:abstractNum>
  <w:abstractNum w:abstractNumId="1">
    <w:nsid w:val="FFFFFF88"/>
    <w:multiLevelType w:val="singleLevel"/>
    <w:tmpl w:val="69182B18"/>
    <w:lvl w:ilvl="0">
      <w:start w:val="1"/>
      <w:numFmt w:val="decimal"/>
      <w:lvlText w:val="%1."/>
      <w:lvlJc w:val="left"/>
      <w:pPr>
        <w:tabs>
          <w:tab w:val="num" w:pos="360"/>
        </w:tabs>
        <w:ind w:left="360" w:hanging="360"/>
      </w:p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cs="Symbol"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cs="Wingdings" w:hint="default"/>
      </w:rPr>
    </w:lvl>
    <w:lvl w:ilvl="3" w:tplc="04050001">
      <w:start w:val="1"/>
      <w:numFmt w:val="bullet"/>
      <w:lvlText w:val=""/>
      <w:lvlJc w:val="left"/>
      <w:pPr>
        <w:tabs>
          <w:tab w:val="num" w:pos="3300"/>
        </w:tabs>
        <w:ind w:left="3300" w:hanging="360"/>
      </w:pPr>
      <w:rPr>
        <w:rFonts w:ascii="Symbol" w:hAnsi="Symbol" w:cs="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cs="Wingdings" w:hint="default"/>
      </w:rPr>
    </w:lvl>
    <w:lvl w:ilvl="6" w:tplc="04050001">
      <w:start w:val="1"/>
      <w:numFmt w:val="bullet"/>
      <w:lvlText w:val=""/>
      <w:lvlJc w:val="left"/>
      <w:pPr>
        <w:tabs>
          <w:tab w:val="num" w:pos="5460"/>
        </w:tabs>
        <w:ind w:left="5460" w:hanging="360"/>
      </w:pPr>
      <w:rPr>
        <w:rFonts w:ascii="Symbol" w:hAnsi="Symbol" w:cs="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cs="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070"/>
        </w:tabs>
        <w:ind w:left="107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bCs/>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cs="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777"/>
    <w:rsid w:val="0001398B"/>
    <w:rsid w:val="00014044"/>
    <w:rsid w:val="00020CE8"/>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32D81"/>
    <w:rsid w:val="00132F97"/>
    <w:rsid w:val="00156E74"/>
    <w:rsid w:val="001774C6"/>
    <w:rsid w:val="00180F93"/>
    <w:rsid w:val="00191825"/>
    <w:rsid w:val="001A149E"/>
    <w:rsid w:val="001A2FC0"/>
    <w:rsid w:val="001A7B66"/>
    <w:rsid w:val="001B0E19"/>
    <w:rsid w:val="001B7822"/>
    <w:rsid w:val="001C0A60"/>
    <w:rsid w:val="001C0D53"/>
    <w:rsid w:val="001C10BF"/>
    <w:rsid w:val="001C276E"/>
    <w:rsid w:val="001C69C3"/>
    <w:rsid w:val="001D4C8B"/>
    <w:rsid w:val="001D54B7"/>
    <w:rsid w:val="001E1311"/>
    <w:rsid w:val="001E4E68"/>
    <w:rsid w:val="001F787B"/>
    <w:rsid w:val="001F7D7E"/>
    <w:rsid w:val="00200C04"/>
    <w:rsid w:val="00210035"/>
    <w:rsid w:val="00212C81"/>
    <w:rsid w:val="00215295"/>
    <w:rsid w:val="00237EE8"/>
    <w:rsid w:val="002416F3"/>
    <w:rsid w:val="00250CBC"/>
    <w:rsid w:val="00251C58"/>
    <w:rsid w:val="00263167"/>
    <w:rsid w:val="00282777"/>
    <w:rsid w:val="002B03C2"/>
    <w:rsid w:val="002B1337"/>
    <w:rsid w:val="002B5002"/>
    <w:rsid w:val="002B7E6F"/>
    <w:rsid w:val="002D671D"/>
    <w:rsid w:val="002E7279"/>
    <w:rsid w:val="00302B79"/>
    <w:rsid w:val="0033420B"/>
    <w:rsid w:val="003536D8"/>
    <w:rsid w:val="003622EA"/>
    <w:rsid w:val="00365007"/>
    <w:rsid w:val="00365F95"/>
    <w:rsid w:val="0037213A"/>
    <w:rsid w:val="003729D0"/>
    <w:rsid w:val="003868D5"/>
    <w:rsid w:val="00387C35"/>
    <w:rsid w:val="003B45FF"/>
    <w:rsid w:val="003B7856"/>
    <w:rsid w:val="003B7F8E"/>
    <w:rsid w:val="003C49A4"/>
    <w:rsid w:val="003D0685"/>
    <w:rsid w:val="003D2D5B"/>
    <w:rsid w:val="003E64FD"/>
    <w:rsid w:val="00400377"/>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4E675D"/>
    <w:rsid w:val="004F2A1D"/>
    <w:rsid w:val="00506A1D"/>
    <w:rsid w:val="0052268C"/>
    <w:rsid w:val="00525718"/>
    <w:rsid w:val="0053106D"/>
    <w:rsid w:val="00540401"/>
    <w:rsid w:val="005551F5"/>
    <w:rsid w:val="005B1EAB"/>
    <w:rsid w:val="005B2DE7"/>
    <w:rsid w:val="005E0C3B"/>
    <w:rsid w:val="005F5E4A"/>
    <w:rsid w:val="006024B0"/>
    <w:rsid w:val="00617CB3"/>
    <w:rsid w:val="006219AF"/>
    <w:rsid w:val="00625609"/>
    <w:rsid w:val="00636A5E"/>
    <w:rsid w:val="00637CCA"/>
    <w:rsid w:val="006566D5"/>
    <w:rsid w:val="0066030D"/>
    <w:rsid w:val="006606A1"/>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60D0E"/>
    <w:rsid w:val="00777E0D"/>
    <w:rsid w:val="00780D1B"/>
    <w:rsid w:val="00795991"/>
    <w:rsid w:val="007959AF"/>
    <w:rsid w:val="007B1F54"/>
    <w:rsid w:val="007C21EB"/>
    <w:rsid w:val="007C3AD1"/>
    <w:rsid w:val="007D0411"/>
    <w:rsid w:val="007D7C21"/>
    <w:rsid w:val="007E11ED"/>
    <w:rsid w:val="007E461D"/>
    <w:rsid w:val="007E4A19"/>
    <w:rsid w:val="007E6A14"/>
    <w:rsid w:val="007F1987"/>
    <w:rsid w:val="007F2186"/>
    <w:rsid w:val="00813E42"/>
    <w:rsid w:val="00814E21"/>
    <w:rsid w:val="00820E35"/>
    <w:rsid w:val="0082753B"/>
    <w:rsid w:val="00837283"/>
    <w:rsid w:val="00852008"/>
    <w:rsid w:val="00860594"/>
    <w:rsid w:val="0086136A"/>
    <w:rsid w:val="00873EBF"/>
    <w:rsid w:val="008759CE"/>
    <w:rsid w:val="0088192D"/>
    <w:rsid w:val="0088772B"/>
    <w:rsid w:val="008952C9"/>
    <w:rsid w:val="00897DA7"/>
    <w:rsid w:val="008A5F02"/>
    <w:rsid w:val="008B0049"/>
    <w:rsid w:val="008B013A"/>
    <w:rsid w:val="008C0B1A"/>
    <w:rsid w:val="008C3349"/>
    <w:rsid w:val="008C4AEA"/>
    <w:rsid w:val="008D05F5"/>
    <w:rsid w:val="008F4C30"/>
    <w:rsid w:val="008F6F80"/>
    <w:rsid w:val="00901427"/>
    <w:rsid w:val="00922B78"/>
    <w:rsid w:val="009368A6"/>
    <w:rsid w:val="00940B30"/>
    <w:rsid w:val="00941A6A"/>
    <w:rsid w:val="0095793F"/>
    <w:rsid w:val="009808FF"/>
    <w:rsid w:val="009815AC"/>
    <w:rsid w:val="00984525"/>
    <w:rsid w:val="009A2542"/>
    <w:rsid w:val="009C5970"/>
    <w:rsid w:val="009D6119"/>
    <w:rsid w:val="009D7E03"/>
    <w:rsid w:val="009E2856"/>
    <w:rsid w:val="009E44BE"/>
    <w:rsid w:val="009F0D8E"/>
    <w:rsid w:val="00A0350B"/>
    <w:rsid w:val="00A10381"/>
    <w:rsid w:val="00A1083B"/>
    <w:rsid w:val="00A14A77"/>
    <w:rsid w:val="00A37D2F"/>
    <w:rsid w:val="00A419E2"/>
    <w:rsid w:val="00A46A8D"/>
    <w:rsid w:val="00A71D00"/>
    <w:rsid w:val="00A72F68"/>
    <w:rsid w:val="00A800B6"/>
    <w:rsid w:val="00A83254"/>
    <w:rsid w:val="00A954C3"/>
    <w:rsid w:val="00A962F7"/>
    <w:rsid w:val="00AA1625"/>
    <w:rsid w:val="00AA22B5"/>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46C69"/>
    <w:rsid w:val="00B54DF5"/>
    <w:rsid w:val="00B5547C"/>
    <w:rsid w:val="00B76FA7"/>
    <w:rsid w:val="00B84C73"/>
    <w:rsid w:val="00B928DB"/>
    <w:rsid w:val="00B948F0"/>
    <w:rsid w:val="00BA0FDC"/>
    <w:rsid w:val="00BA7E1B"/>
    <w:rsid w:val="00BB2308"/>
    <w:rsid w:val="00BB4C9C"/>
    <w:rsid w:val="00BB5972"/>
    <w:rsid w:val="00BB6DEF"/>
    <w:rsid w:val="00BD5451"/>
    <w:rsid w:val="00C03BF3"/>
    <w:rsid w:val="00C110EB"/>
    <w:rsid w:val="00C23880"/>
    <w:rsid w:val="00C238A3"/>
    <w:rsid w:val="00C41A91"/>
    <w:rsid w:val="00C662F6"/>
    <w:rsid w:val="00C9363D"/>
    <w:rsid w:val="00CA146E"/>
    <w:rsid w:val="00CA73B4"/>
    <w:rsid w:val="00CB75B4"/>
    <w:rsid w:val="00CC3237"/>
    <w:rsid w:val="00CD2DBA"/>
    <w:rsid w:val="00CD73A4"/>
    <w:rsid w:val="00CE1E49"/>
    <w:rsid w:val="00CF7652"/>
    <w:rsid w:val="00D02509"/>
    <w:rsid w:val="00D050C4"/>
    <w:rsid w:val="00D14C53"/>
    <w:rsid w:val="00D2571B"/>
    <w:rsid w:val="00D30897"/>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C3CB3"/>
    <w:rsid w:val="00DD4A9E"/>
    <w:rsid w:val="00DD5321"/>
    <w:rsid w:val="00DF0963"/>
    <w:rsid w:val="00DF54CC"/>
    <w:rsid w:val="00E01A06"/>
    <w:rsid w:val="00E03485"/>
    <w:rsid w:val="00E124DC"/>
    <w:rsid w:val="00E15B9D"/>
    <w:rsid w:val="00E3660A"/>
    <w:rsid w:val="00E40ECE"/>
    <w:rsid w:val="00E41256"/>
    <w:rsid w:val="00E50D9F"/>
    <w:rsid w:val="00E6523A"/>
    <w:rsid w:val="00E7290E"/>
    <w:rsid w:val="00E866AD"/>
    <w:rsid w:val="00E96089"/>
    <w:rsid w:val="00EA15D6"/>
    <w:rsid w:val="00EB078D"/>
    <w:rsid w:val="00EB7C3C"/>
    <w:rsid w:val="00EB7E2F"/>
    <w:rsid w:val="00ED0F86"/>
    <w:rsid w:val="00EE0F0C"/>
    <w:rsid w:val="00EE1A83"/>
    <w:rsid w:val="00EE6F81"/>
    <w:rsid w:val="00F00529"/>
    <w:rsid w:val="00F135D5"/>
    <w:rsid w:val="00F25B1D"/>
    <w:rsid w:val="00F518FA"/>
    <w:rsid w:val="00F554BC"/>
    <w:rsid w:val="00F653B2"/>
    <w:rsid w:val="00F77B7B"/>
    <w:rsid w:val="00F84A9D"/>
    <w:rsid w:val="00F94041"/>
    <w:rsid w:val="00FC2246"/>
    <w:rsid w:val="00FD267E"/>
    <w:rsid w:val="00FD5DEE"/>
    <w:rsid w:val="00FE26B0"/>
    <w:rsid w:val="00FF2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295"/>
  </w:style>
  <w:style w:type="paragraph" w:styleId="Nadpis1">
    <w:name w:val="heading 1"/>
    <w:basedOn w:val="Normln"/>
    <w:next w:val="Normln"/>
    <w:link w:val="Nadpis1Char"/>
    <w:uiPriority w:val="99"/>
    <w:qFormat/>
    <w:rsid w:val="00C110EB"/>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C110EB"/>
    <w:pPr>
      <w:keepNext/>
      <w:spacing w:before="120"/>
      <w:outlineLvl w:val="1"/>
    </w:pPr>
    <w:rPr>
      <w:b/>
      <w:bCs/>
      <w:u w:val="single"/>
    </w:rPr>
  </w:style>
  <w:style w:type="paragraph" w:styleId="Nadpis3">
    <w:name w:val="heading 3"/>
    <w:basedOn w:val="Normln"/>
    <w:next w:val="Normln"/>
    <w:link w:val="Nadpis3Char"/>
    <w:uiPriority w:val="99"/>
    <w:qFormat/>
    <w:rsid w:val="00C110EB"/>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C110EB"/>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C110EB"/>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C110EB"/>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C110EB"/>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C110EB"/>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C110EB"/>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57EE4"/>
    <w:rPr>
      <w:b/>
      <w:bCs/>
      <w:caps/>
      <w:sz w:val="24"/>
      <w:szCs w:val="24"/>
      <w:u w:val="single"/>
    </w:rPr>
  </w:style>
  <w:style w:type="character" w:customStyle="1" w:styleId="Nadpis2Char">
    <w:name w:val="Nadpis 2 Char"/>
    <w:link w:val="Nadpis2"/>
    <w:uiPriority w:val="9"/>
    <w:semiHidden/>
    <w:rsid w:val="00D57EE4"/>
    <w:rPr>
      <w:rFonts w:ascii="Cambria" w:eastAsia="Times New Roman" w:hAnsi="Cambria" w:cs="Times New Roman"/>
      <w:b/>
      <w:bCs/>
      <w:i/>
      <w:iCs/>
      <w:sz w:val="28"/>
      <w:szCs w:val="28"/>
    </w:rPr>
  </w:style>
  <w:style w:type="character" w:customStyle="1" w:styleId="Nadpis3Char">
    <w:name w:val="Nadpis 3 Char"/>
    <w:link w:val="Nadpis3"/>
    <w:uiPriority w:val="9"/>
    <w:semiHidden/>
    <w:rsid w:val="00D57EE4"/>
    <w:rPr>
      <w:rFonts w:ascii="Cambria" w:eastAsia="Times New Roman" w:hAnsi="Cambria" w:cs="Times New Roman"/>
      <w:b/>
      <w:bCs/>
      <w:sz w:val="26"/>
      <w:szCs w:val="26"/>
    </w:rPr>
  </w:style>
  <w:style w:type="character" w:customStyle="1" w:styleId="Nadpis4Char">
    <w:name w:val="Nadpis 4 Char"/>
    <w:link w:val="Nadpis4"/>
    <w:uiPriority w:val="9"/>
    <w:semiHidden/>
    <w:rsid w:val="00D57EE4"/>
    <w:rPr>
      <w:rFonts w:ascii="Calibri" w:eastAsia="Times New Roman" w:hAnsi="Calibri" w:cs="Times New Roman"/>
      <w:b/>
      <w:bCs/>
      <w:sz w:val="28"/>
      <w:szCs w:val="28"/>
    </w:rPr>
  </w:style>
  <w:style w:type="character" w:customStyle="1" w:styleId="Nadpis5Char">
    <w:name w:val="Nadpis 5 Char"/>
    <w:link w:val="Nadpis5"/>
    <w:uiPriority w:val="9"/>
    <w:semiHidden/>
    <w:rsid w:val="00D57EE4"/>
    <w:rPr>
      <w:rFonts w:ascii="Calibri" w:eastAsia="Times New Roman" w:hAnsi="Calibri" w:cs="Times New Roman"/>
      <w:b/>
      <w:bCs/>
      <w:i/>
      <w:iCs/>
      <w:sz w:val="26"/>
      <w:szCs w:val="26"/>
    </w:rPr>
  </w:style>
  <w:style w:type="character" w:customStyle="1" w:styleId="Nadpis6Char">
    <w:name w:val="Nadpis 6 Char"/>
    <w:link w:val="Nadpis6"/>
    <w:uiPriority w:val="9"/>
    <w:semiHidden/>
    <w:rsid w:val="00D57EE4"/>
    <w:rPr>
      <w:rFonts w:ascii="Calibri" w:eastAsia="Times New Roman" w:hAnsi="Calibri" w:cs="Times New Roman"/>
      <w:b/>
      <w:bCs/>
    </w:rPr>
  </w:style>
  <w:style w:type="character" w:customStyle="1" w:styleId="Nadpis7Char">
    <w:name w:val="Nadpis 7 Char"/>
    <w:link w:val="Nadpis7"/>
    <w:uiPriority w:val="99"/>
    <w:rsid w:val="00D57EE4"/>
    <w:rPr>
      <w:b/>
      <w:bCs/>
      <w:sz w:val="24"/>
      <w:szCs w:val="24"/>
      <w:u w:val="single"/>
    </w:rPr>
  </w:style>
  <w:style w:type="character" w:customStyle="1" w:styleId="Nadpis8Char">
    <w:name w:val="Nadpis 8 Char"/>
    <w:link w:val="Nadpis8"/>
    <w:uiPriority w:val="9"/>
    <w:semiHidden/>
    <w:rsid w:val="00D57EE4"/>
    <w:rPr>
      <w:rFonts w:ascii="Calibri" w:eastAsia="Times New Roman" w:hAnsi="Calibri" w:cs="Times New Roman"/>
      <w:i/>
      <w:iCs/>
      <w:sz w:val="24"/>
      <w:szCs w:val="24"/>
    </w:rPr>
  </w:style>
  <w:style w:type="character" w:customStyle="1" w:styleId="Nadpis9Char">
    <w:name w:val="Nadpis 9 Char"/>
    <w:link w:val="Nadpis9"/>
    <w:uiPriority w:val="9"/>
    <w:semiHidden/>
    <w:rsid w:val="00D57EE4"/>
    <w:rPr>
      <w:rFonts w:ascii="Cambria" w:eastAsia="Times New Roman" w:hAnsi="Cambria" w:cs="Times New Roman"/>
    </w:rPr>
  </w:style>
  <w:style w:type="paragraph" w:styleId="Zkladntextodsazen">
    <w:name w:val="Body Text Indent"/>
    <w:basedOn w:val="Normln"/>
    <w:link w:val="ZkladntextodsazenChar"/>
    <w:uiPriority w:val="99"/>
    <w:rsid w:val="00C110EB"/>
    <w:pPr>
      <w:spacing w:before="120"/>
      <w:ind w:left="405"/>
    </w:pPr>
  </w:style>
  <w:style w:type="character" w:customStyle="1" w:styleId="ZkladntextodsazenChar">
    <w:name w:val="Základní text odsazený Char"/>
    <w:link w:val="Zkladntextodsazen"/>
    <w:uiPriority w:val="99"/>
    <w:semiHidden/>
    <w:rsid w:val="00D57EE4"/>
    <w:rPr>
      <w:sz w:val="20"/>
      <w:szCs w:val="20"/>
    </w:rPr>
  </w:style>
  <w:style w:type="paragraph" w:styleId="Zkladntextodsazen2">
    <w:name w:val="Body Text Indent 2"/>
    <w:basedOn w:val="Normln"/>
    <w:link w:val="Zkladntextodsazen2Char"/>
    <w:uiPriority w:val="99"/>
    <w:rsid w:val="00C110EB"/>
    <w:pPr>
      <w:spacing w:before="120"/>
      <w:ind w:left="45"/>
    </w:pPr>
  </w:style>
  <w:style w:type="character" w:customStyle="1" w:styleId="Zkladntextodsazen2Char">
    <w:name w:val="Základní text odsazený 2 Char"/>
    <w:link w:val="Zkladntextodsazen2"/>
    <w:uiPriority w:val="99"/>
    <w:semiHidden/>
    <w:rsid w:val="00D57EE4"/>
    <w:rPr>
      <w:sz w:val="20"/>
      <w:szCs w:val="20"/>
    </w:rPr>
  </w:style>
  <w:style w:type="paragraph" w:styleId="Zpat">
    <w:name w:val="footer"/>
    <w:basedOn w:val="Normln"/>
    <w:link w:val="ZpatChar"/>
    <w:uiPriority w:val="99"/>
    <w:rsid w:val="00C110EB"/>
    <w:pPr>
      <w:tabs>
        <w:tab w:val="center" w:pos="4536"/>
        <w:tab w:val="right" w:pos="9072"/>
      </w:tabs>
    </w:pPr>
  </w:style>
  <w:style w:type="character" w:customStyle="1" w:styleId="ZpatChar">
    <w:name w:val="Zápatí Char"/>
    <w:basedOn w:val="Standardnpsmoodstavce"/>
    <w:link w:val="Zpat"/>
    <w:uiPriority w:val="99"/>
    <w:locked/>
    <w:rsid w:val="003D0685"/>
  </w:style>
  <w:style w:type="character" w:styleId="slostrnky">
    <w:name w:val="page number"/>
    <w:basedOn w:val="Standardnpsmoodstavce"/>
    <w:uiPriority w:val="99"/>
    <w:rsid w:val="00C110EB"/>
  </w:style>
  <w:style w:type="paragraph" w:styleId="Zkladntextodsazen3">
    <w:name w:val="Body Text Indent 3"/>
    <w:basedOn w:val="Normln"/>
    <w:link w:val="Zkladntextodsazen3Char"/>
    <w:uiPriority w:val="99"/>
    <w:rsid w:val="00C110EB"/>
    <w:pPr>
      <w:tabs>
        <w:tab w:val="decimal" w:pos="7513"/>
      </w:tabs>
      <w:spacing w:before="120"/>
      <w:ind w:left="426" w:hanging="426"/>
      <w:jc w:val="both"/>
    </w:pPr>
  </w:style>
  <w:style w:type="character" w:customStyle="1" w:styleId="Zkladntextodsazen3Char">
    <w:name w:val="Základní text odsazený 3 Char"/>
    <w:link w:val="Zkladntextodsazen3"/>
    <w:uiPriority w:val="99"/>
    <w:semiHidden/>
    <w:rsid w:val="00D57EE4"/>
    <w:rPr>
      <w:sz w:val="16"/>
      <w:szCs w:val="16"/>
    </w:rPr>
  </w:style>
  <w:style w:type="paragraph" w:styleId="Zhlav">
    <w:name w:val="header"/>
    <w:basedOn w:val="Normln"/>
    <w:link w:val="ZhlavChar"/>
    <w:uiPriority w:val="99"/>
    <w:rsid w:val="00C110EB"/>
    <w:pPr>
      <w:tabs>
        <w:tab w:val="center" w:pos="4536"/>
        <w:tab w:val="right" w:pos="9072"/>
      </w:tabs>
    </w:pPr>
  </w:style>
  <w:style w:type="character" w:customStyle="1" w:styleId="ZhlavChar">
    <w:name w:val="Záhlaví Char"/>
    <w:link w:val="Zhlav"/>
    <w:uiPriority w:val="99"/>
    <w:semiHidden/>
    <w:rsid w:val="00D57EE4"/>
    <w:rPr>
      <w:sz w:val="20"/>
      <w:szCs w:val="20"/>
    </w:rPr>
  </w:style>
  <w:style w:type="paragraph" w:styleId="Zkladntext2">
    <w:name w:val="Body Text 2"/>
    <w:basedOn w:val="Normln"/>
    <w:link w:val="Zkladntext2Char"/>
    <w:uiPriority w:val="99"/>
    <w:rsid w:val="00C110EB"/>
    <w:pPr>
      <w:spacing w:before="120"/>
      <w:jc w:val="both"/>
    </w:pPr>
    <w:rPr>
      <w:sz w:val="24"/>
      <w:szCs w:val="24"/>
    </w:rPr>
  </w:style>
  <w:style w:type="character" w:customStyle="1" w:styleId="Zkladntext2Char">
    <w:name w:val="Základní text 2 Char"/>
    <w:link w:val="Zkladntext2"/>
    <w:uiPriority w:val="99"/>
    <w:semiHidden/>
    <w:rsid w:val="00D57EE4"/>
    <w:rPr>
      <w:sz w:val="20"/>
      <w:szCs w:val="20"/>
    </w:rPr>
  </w:style>
  <w:style w:type="paragraph" w:styleId="Nzev">
    <w:name w:val="Title"/>
    <w:basedOn w:val="Normln"/>
    <w:link w:val="NzevChar"/>
    <w:uiPriority w:val="99"/>
    <w:qFormat/>
    <w:rsid w:val="00C110EB"/>
    <w:pPr>
      <w:spacing w:before="120"/>
      <w:jc w:val="center"/>
    </w:pPr>
    <w:rPr>
      <w:b/>
      <w:bCs/>
      <w:sz w:val="28"/>
      <w:szCs w:val="28"/>
    </w:rPr>
  </w:style>
  <w:style w:type="character" w:customStyle="1" w:styleId="NzevChar">
    <w:name w:val="Název Char"/>
    <w:link w:val="Nzev"/>
    <w:uiPriority w:val="10"/>
    <w:rsid w:val="00D57EE4"/>
    <w:rPr>
      <w:rFonts w:ascii="Cambria" w:eastAsia="Times New Roman" w:hAnsi="Cambria" w:cs="Times New Roman"/>
      <w:b/>
      <w:bCs/>
      <w:kern w:val="28"/>
      <w:sz w:val="32"/>
      <w:szCs w:val="32"/>
    </w:rPr>
  </w:style>
  <w:style w:type="paragraph" w:styleId="Zkladntext">
    <w:name w:val="Body Text"/>
    <w:basedOn w:val="Normln"/>
    <w:link w:val="ZkladntextChar"/>
    <w:uiPriority w:val="99"/>
    <w:rsid w:val="00C110EB"/>
    <w:rPr>
      <w:sz w:val="24"/>
      <w:szCs w:val="24"/>
    </w:rPr>
  </w:style>
  <w:style w:type="character" w:customStyle="1" w:styleId="ZkladntextChar">
    <w:name w:val="Základní text Char"/>
    <w:link w:val="Zkladntext"/>
    <w:uiPriority w:val="99"/>
    <w:locked/>
    <w:rsid w:val="006C38B0"/>
    <w:rPr>
      <w:sz w:val="24"/>
      <w:szCs w:val="24"/>
    </w:rPr>
  </w:style>
  <w:style w:type="paragraph" w:styleId="Rozloendokumentu">
    <w:name w:val="Document Map"/>
    <w:basedOn w:val="Normln"/>
    <w:link w:val="RozloendokumentuChar"/>
    <w:uiPriority w:val="99"/>
    <w:semiHidden/>
    <w:rsid w:val="00C110EB"/>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D57EE4"/>
    <w:rPr>
      <w:sz w:val="0"/>
      <w:szCs w:val="0"/>
    </w:rPr>
  </w:style>
  <w:style w:type="paragraph" w:styleId="Zkladntext3">
    <w:name w:val="Body Text 3"/>
    <w:basedOn w:val="Normln"/>
    <w:link w:val="Zkladntext3Char"/>
    <w:uiPriority w:val="99"/>
    <w:rsid w:val="00C110EB"/>
    <w:pPr>
      <w:spacing w:before="120"/>
      <w:jc w:val="both"/>
    </w:pPr>
    <w:rPr>
      <w:rFonts w:ascii="Arial" w:hAnsi="Arial" w:cs="Arial"/>
    </w:rPr>
  </w:style>
  <w:style w:type="character" w:customStyle="1" w:styleId="Zkladntext3Char">
    <w:name w:val="Základní text 3 Char"/>
    <w:link w:val="Zkladntext3"/>
    <w:uiPriority w:val="99"/>
    <w:semiHidden/>
    <w:rsid w:val="00D57EE4"/>
    <w:rPr>
      <w:sz w:val="16"/>
      <w:szCs w:val="16"/>
    </w:rPr>
  </w:style>
  <w:style w:type="paragraph" w:styleId="slovanseznam">
    <w:name w:val="List Number"/>
    <w:basedOn w:val="Normln"/>
    <w:uiPriority w:val="99"/>
    <w:rsid w:val="00C110EB"/>
    <w:pPr>
      <w:ind w:left="432" w:hanging="432"/>
      <w:jc w:val="both"/>
    </w:pPr>
    <w:rPr>
      <w:rFonts w:ascii="Tahoma" w:hAnsi="Tahoma" w:cs="Tahoma"/>
    </w:rPr>
  </w:style>
  <w:style w:type="paragraph" w:customStyle="1" w:styleId="Text">
    <w:name w:val="Text"/>
    <w:basedOn w:val="Normln"/>
    <w:uiPriority w:val="99"/>
    <w:rsid w:val="00C110EB"/>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C110EB"/>
    <w:pPr>
      <w:tabs>
        <w:tab w:val="left" w:pos="1004"/>
      </w:tabs>
      <w:ind w:left="576" w:hanging="292"/>
      <w:jc w:val="both"/>
    </w:pPr>
    <w:rPr>
      <w:rFonts w:ascii="Tahoma" w:hAnsi="Tahoma" w:cs="Tahoma"/>
    </w:rPr>
  </w:style>
  <w:style w:type="paragraph" w:customStyle="1" w:styleId="odrka">
    <w:name w:val="odrážka"/>
    <w:basedOn w:val="Normln"/>
    <w:uiPriority w:val="99"/>
    <w:rsid w:val="00C110EB"/>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C110EB"/>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C110EB"/>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C110EB"/>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C110EB"/>
    <w:pPr>
      <w:ind w:left="283" w:hanging="283"/>
    </w:pPr>
  </w:style>
  <w:style w:type="paragraph" w:styleId="Textbubliny">
    <w:name w:val="Balloon Text"/>
    <w:basedOn w:val="Normln"/>
    <w:link w:val="TextbublinyChar"/>
    <w:uiPriority w:val="99"/>
    <w:semiHidden/>
    <w:rsid w:val="006024B0"/>
    <w:rPr>
      <w:rFonts w:ascii="Tahoma" w:hAnsi="Tahoma" w:cs="Tahoma"/>
      <w:sz w:val="16"/>
      <w:szCs w:val="16"/>
    </w:rPr>
  </w:style>
  <w:style w:type="character" w:customStyle="1" w:styleId="TextbublinyChar">
    <w:name w:val="Text bubliny Char"/>
    <w:link w:val="Textbubliny"/>
    <w:uiPriority w:val="99"/>
    <w:locked/>
    <w:rsid w:val="006024B0"/>
    <w:rPr>
      <w:rFonts w:ascii="Tahoma" w:hAnsi="Tahoma" w:cs="Tahoma"/>
      <w:sz w:val="16"/>
      <w:szCs w:val="16"/>
    </w:rPr>
  </w:style>
  <w:style w:type="paragraph" w:customStyle="1" w:styleId="slovn">
    <w:name w:val="Číslování"/>
    <w:basedOn w:val="Zkladntext"/>
    <w:uiPriority w:val="99"/>
    <w:rsid w:val="007B1F54"/>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6C38B0"/>
    <w:pPr>
      <w:ind w:left="720"/>
    </w:pPr>
  </w:style>
  <w:style w:type="paragraph" w:styleId="Bezmezer">
    <w:name w:val="No Spacing"/>
    <w:uiPriority w:val="99"/>
    <w:qFormat/>
    <w:rsid w:val="006C38B0"/>
  </w:style>
  <w:style w:type="character" w:styleId="Odkaznakoment">
    <w:name w:val="annotation reference"/>
    <w:uiPriority w:val="99"/>
    <w:semiHidden/>
    <w:rsid w:val="006C38B0"/>
    <w:rPr>
      <w:sz w:val="16"/>
      <w:szCs w:val="16"/>
    </w:rPr>
  </w:style>
  <w:style w:type="paragraph" w:styleId="Textkomente">
    <w:name w:val="annotation text"/>
    <w:basedOn w:val="Normln"/>
    <w:link w:val="TextkomenteChar"/>
    <w:uiPriority w:val="99"/>
    <w:semiHidden/>
    <w:rsid w:val="006C38B0"/>
  </w:style>
  <w:style w:type="character" w:customStyle="1" w:styleId="TextkomenteChar">
    <w:name w:val="Text komentáře Char"/>
    <w:basedOn w:val="Standardnpsmoodstavce"/>
    <w:link w:val="Textkomente"/>
    <w:uiPriority w:val="99"/>
    <w:locked/>
    <w:rsid w:val="006C38B0"/>
  </w:style>
  <w:style w:type="paragraph" w:customStyle="1" w:styleId="odstzkl">
    <w:name w:val="odst.zákl."/>
    <w:basedOn w:val="Normln"/>
    <w:uiPriority w:val="99"/>
    <w:rsid w:val="00BB4C9C"/>
    <w:pPr>
      <w:spacing w:before="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2973</Words>
  <Characters>17544</Characters>
  <Application>Microsoft Office Word</Application>
  <DocSecurity>0</DocSecurity>
  <Lines>146</Lines>
  <Paragraphs>40</Paragraphs>
  <ScaleCrop>false</ScaleCrop>
  <Company>Čermák a Hrachovec</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Toušková Dana</cp:lastModifiedBy>
  <cp:revision>4</cp:revision>
  <cp:lastPrinted>2016-08-28T16:35:00Z</cp:lastPrinted>
  <dcterms:created xsi:type="dcterms:W3CDTF">2016-08-24T07:20:00Z</dcterms:created>
  <dcterms:modified xsi:type="dcterms:W3CDTF">2016-08-31T05:05:00Z</dcterms:modified>
</cp:coreProperties>
</file>