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715" w:rsidRDefault="00634AED">
      <w:pPr>
        <w:framePr w:wrap="none" w:vAnchor="page" w:hAnchor="page" w:x="2313" w:y="273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42900" cy="304800"/>
            <wp:effectExtent l="0" t="0" r="0" b="0"/>
            <wp:docPr id="1" name="obrázek 1" descr="C:\Users\slamova\AppData\Local\Microsoft\Windows\INetCache\Content.Outlook\5UWD9NSH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amova\AppData\Local\Microsoft\Windows\INetCache\Content.Outlook\5UWD9NSH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715" w:rsidRDefault="002F5B28">
      <w:pPr>
        <w:pStyle w:val="Heading210"/>
        <w:framePr w:w="8818" w:h="682" w:hRule="exact" w:wrap="none" w:vAnchor="page" w:hAnchor="page" w:x="1410" w:y="3141"/>
        <w:shd w:val="clear" w:color="auto" w:fill="auto"/>
        <w:ind w:left="260"/>
      </w:pPr>
      <w:bookmarkStart w:id="0" w:name="bookmark0"/>
      <w:r>
        <w:rPr>
          <w:rStyle w:val="Heading211"/>
          <w:b/>
          <w:bCs/>
        </w:rPr>
        <w:t>Kooperativa</w:t>
      </w:r>
      <w:bookmarkEnd w:id="0"/>
    </w:p>
    <w:p w:rsidR="002C0715" w:rsidRDefault="002F5B28">
      <w:pPr>
        <w:pStyle w:val="Bodytext30"/>
        <w:framePr w:w="8818" w:h="682" w:hRule="exact" w:wrap="none" w:vAnchor="page" w:hAnchor="page" w:x="1410" w:y="3141"/>
        <w:shd w:val="clear" w:color="auto" w:fill="auto"/>
        <w:spacing w:after="0"/>
        <w:ind w:left="260"/>
      </w:pPr>
      <w:r>
        <w:rPr>
          <w:lang w:val="en-US" w:eastAsia="en-US" w:bidi="en-US"/>
        </w:rPr>
        <w:t xml:space="preserve">VIENNA </w:t>
      </w:r>
      <w:r>
        <w:t>INSURANCE GROUP</w:t>
      </w:r>
    </w:p>
    <w:p w:rsidR="002C0715" w:rsidRDefault="002F5B28">
      <w:pPr>
        <w:pStyle w:val="Heading310"/>
        <w:framePr w:w="8818" w:h="1175" w:hRule="exact" w:wrap="none" w:vAnchor="page" w:hAnchor="page" w:x="1410" w:y="4028"/>
        <w:shd w:val="clear" w:color="auto" w:fill="auto"/>
        <w:spacing w:before="0" w:after="0"/>
      </w:pPr>
      <w:bookmarkStart w:id="1" w:name="bookmark1"/>
      <w:r>
        <w:t xml:space="preserve">Dodatek </w:t>
      </w:r>
      <w:r>
        <w:rPr>
          <w:rStyle w:val="Heading31TimesNewRoman12pt"/>
          <w:rFonts w:eastAsia="Arial"/>
          <w:b/>
          <w:bCs/>
        </w:rPr>
        <w:t xml:space="preserve">č. </w:t>
      </w:r>
      <w:r>
        <w:t xml:space="preserve">3 k pojistné smlouvě </w:t>
      </w:r>
      <w:r>
        <w:rPr>
          <w:rStyle w:val="Heading31TimesNewRoman12pt"/>
          <w:rFonts w:eastAsia="Arial"/>
          <w:b/>
          <w:bCs/>
        </w:rPr>
        <w:t xml:space="preserve">č. </w:t>
      </w:r>
      <w:r>
        <w:t>6667600269</w:t>
      </w:r>
      <w:r>
        <w:br/>
        <w:t>(dále jen Dodatek)</w:t>
      </w:r>
      <w:bookmarkEnd w:id="1"/>
    </w:p>
    <w:p w:rsidR="002C0715" w:rsidRDefault="002F5B28">
      <w:pPr>
        <w:pStyle w:val="Heading310"/>
        <w:framePr w:w="8818" w:h="2492" w:hRule="exact" w:wrap="none" w:vAnchor="page" w:hAnchor="page" w:x="1410" w:y="5604"/>
        <w:shd w:val="clear" w:color="auto" w:fill="auto"/>
        <w:spacing w:before="0" w:after="0" w:line="290" w:lineRule="exact"/>
        <w:jc w:val="left"/>
      </w:pPr>
      <w:bookmarkStart w:id="2" w:name="bookmark2"/>
      <w:r>
        <w:t xml:space="preserve">Kooperativa pojišťovna, a.s., </w:t>
      </w:r>
      <w:r>
        <w:rPr>
          <w:lang w:val="en-US" w:eastAsia="en-US" w:bidi="en-US"/>
        </w:rPr>
        <w:t xml:space="preserve">Vienna </w:t>
      </w:r>
      <w:r>
        <w:t>Insurance Group</w:t>
      </w:r>
      <w:bookmarkEnd w:id="2"/>
    </w:p>
    <w:p w:rsidR="002C0715" w:rsidRDefault="002F5B28">
      <w:pPr>
        <w:pStyle w:val="Bodytext40"/>
        <w:framePr w:w="8818" w:h="2492" w:hRule="exact" w:wrap="none" w:vAnchor="page" w:hAnchor="page" w:x="1410" w:y="5604"/>
        <w:shd w:val="clear" w:color="auto" w:fill="auto"/>
        <w:ind w:right="540" w:firstLine="0"/>
      </w:pPr>
      <w:r>
        <w:t>sídlo: Pobřežní 665/21,186 00 Praha 8, Česká republika IČO: 47116617</w:t>
      </w:r>
    </w:p>
    <w:p w:rsidR="002C0715" w:rsidRDefault="002F5B28">
      <w:pPr>
        <w:pStyle w:val="Bodytext20"/>
        <w:framePr w:w="8818" w:h="2492" w:hRule="exact" w:wrap="none" w:vAnchor="page" w:hAnchor="page" w:x="1410" w:y="5604"/>
        <w:shd w:val="clear" w:color="auto" w:fill="auto"/>
        <w:ind w:right="540" w:firstLine="0"/>
      </w:pPr>
      <w:r>
        <w:t xml:space="preserve">zapsaná v obchodním rejstříku vedeném Městským soudem v Praze, sp. zn. B 1897 (dále jen </w:t>
      </w:r>
      <w:r>
        <w:rPr>
          <w:rStyle w:val="Bodytext2Bold"/>
        </w:rPr>
        <w:t>pojistitel),</w:t>
      </w:r>
    </w:p>
    <w:p w:rsidR="002C0715" w:rsidRDefault="002F5B28">
      <w:pPr>
        <w:pStyle w:val="Bodytext20"/>
        <w:framePr w:w="8818" w:h="2492" w:hRule="exact" w:wrap="none" w:vAnchor="page" w:hAnchor="page" w:x="1410" w:y="5604"/>
        <w:shd w:val="clear" w:color="auto" w:fill="auto"/>
        <w:tabs>
          <w:tab w:val="left" w:pos="1282"/>
        </w:tabs>
        <w:ind w:right="540" w:firstLine="0"/>
      </w:pPr>
      <w:r>
        <w:t>zastoupený: Ing. Michalem Hesem,</w:t>
      </w:r>
      <w:r>
        <w:t xml:space="preserve"> vedoucím referátem PMV Hanou Frundlovou, underwríterem pracoviště:</w:t>
      </w:r>
      <w:r>
        <w:tab/>
        <w:t xml:space="preserve">Kooperativa pojišťovna, </w:t>
      </w:r>
      <w:r w:rsidRPr="00634AED">
        <w:rPr>
          <w:lang w:eastAsia="en-US" w:bidi="en-US"/>
        </w:rPr>
        <w:t xml:space="preserve">a. </w:t>
      </w:r>
      <w:r>
        <w:t xml:space="preserve">s., </w:t>
      </w:r>
      <w:r w:rsidRPr="00634AED">
        <w:rPr>
          <w:lang w:eastAsia="en-US" w:bidi="en-US"/>
        </w:rPr>
        <w:t xml:space="preserve">Vienna </w:t>
      </w:r>
      <w:r>
        <w:t>Insurance Group</w:t>
      </w:r>
    </w:p>
    <w:p w:rsidR="002C0715" w:rsidRDefault="002F5B28">
      <w:pPr>
        <w:pStyle w:val="Heading410"/>
        <w:framePr w:w="8818" w:h="2492" w:hRule="exact" w:wrap="none" w:vAnchor="page" w:hAnchor="page" w:x="1410" w:y="5604"/>
        <w:shd w:val="clear" w:color="auto" w:fill="auto"/>
        <w:ind w:left="1320"/>
      </w:pPr>
      <w:bookmarkStart w:id="3" w:name="bookmark3"/>
      <w:r>
        <w:t>AGENTURA ZÁPADNÍ ČECHY</w:t>
      </w:r>
      <w:bookmarkEnd w:id="3"/>
    </w:p>
    <w:p w:rsidR="002C0715" w:rsidRDefault="002F5B28">
      <w:pPr>
        <w:pStyle w:val="Bodytext20"/>
        <w:framePr w:w="8818" w:h="2492" w:hRule="exact" w:wrap="none" w:vAnchor="page" w:hAnchor="page" w:x="1410" w:y="5604"/>
        <w:shd w:val="clear" w:color="auto" w:fill="auto"/>
        <w:ind w:left="1320" w:firstLine="0"/>
      </w:pPr>
      <w:r>
        <w:t>Zahradní 3, 326 00 Plzeň, tel. 957 728 107</w:t>
      </w:r>
    </w:p>
    <w:p w:rsidR="002C0715" w:rsidRDefault="002F5B28">
      <w:pPr>
        <w:pStyle w:val="Heading310"/>
        <w:framePr w:w="8818" w:h="1546" w:hRule="exact" w:wrap="none" w:vAnchor="page" w:hAnchor="page" w:x="1410" w:y="8788"/>
        <w:shd w:val="clear" w:color="auto" w:fill="auto"/>
        <w:spacing w:before="0" w:after="0" w:line="290" w:lineRule="exact"/>
        <w:jc w:val="left"/>
      </w:pPr>
      <w:bookmarkStart w:id="4" w:name="bookmark4"/>
      <w:r>
        <w:t>Střední průmyslová škola dopravní Plzeň, Karlovarská 99</w:t>
      </w:r>
      <w:bookmarkEnd w:id="4"/>
    </w:p>
    <w:p w:rsidR="002C0715" w:rsidRDefault="002F5B28">
      <w:pPr>
        <w:pStyle w:val="Bodytext40"/>
        <w:framePr w:w="8818" w:h="1546" w:hRule="exact" w:wrap="none" w:vAnchor="page" w:hAnchor="page" w:x="1410" w:y="8788"/>
        <w:shd w:val="clear" w:color="auto" w:fill="auto"/>
        <w:spacing w:line="245" w:lineRule="exact"/>
        <w:ind w:right="540" w:firstLine="0"/>
      </w:pPr>
      <w:r>
        <w:t>se sídlem (b</w:t>
      </w:r>
      <w:r>
        <w:t>ydliště): Plzeň, Karlovarská 1210/99,323 00, Česká republika IČO: 694 57 930</w:t>
      </w:r>
    </w:p>
    <w:p w:rsidR="002C0715" w:rsidRDefault="002F5B28">
      <w:pPr>
        <w:pStyle w:val="Bodytext40"/>
        <w:framePr w:w="8818" w:h="1546" w:hRule="exact" w:wrap="none" w:vAnchor="page" w:hAnchor="page" w:x="1410" w:y="8788"/>
        <w:shd w:val="clear" w:color="auto" w:fill="auto"/>
        <w:spacing w:after="296" w:line="245" w:lineRule="exact"/>
        <w:ind w:firstLine="0"/>
      </w:pPr>
      <w:r>
        <w:rPr>
          <w:rStyle w:val="Bodytext4NotBold"/>
        </w:rPr>
        <w:t xml:space="preserve">(dále jen </w:t>
      </w:r>
      <w:r>
        <w:t>pojistnik)</w:t>
      </w:r>
    </w:p>
    <w:p w:rsidR="002C0715" w:rsidRDefault="002F5B28">
      <w:pPr>
        <w:pStyle w:val="Bodytext20"/>
        <w:framePr w:w="8818" w:h="1546" w:hRule="exact" w:wrap="none" w:vAnchor="page" w:hAnchor="page" w:x="1410" w:y="8788"/>
        <w:shd w:val="clear" w:color="auto" w:fill="auto"/>
        <w:spacing w:line="200" w:lineRule="exact"/>
        <w:ind w:firstLine="0"/>
      </w:pPr>
      <w:r>
        <w:t>Zastoupený: Ing. Irenou Novákovou, ředitelkou</w:t>
      </w:r>
    </w:p>
    <w:p w:rsidR="002C0715" w:rsidRDefault="002F5B28">
      <w:pPr>
        <w:pStyle w:val="Bodytext20"/>
        <w:framePr w:w="8818" w:h="1017" w:hRule="exact" w:wrap="none" w:vAnchor="page" w:hAnchor="page" w:x="1410" w:y="10761"/>
        <w:shd w:val="clear" w:color="auto" w:fill="auto"/>
        <w:ind w:firstLine="0"/>
        <w:jc w:val="both"/>
      </w:pPr>
      <w:r>
        <w:t>uzavírají ve smyslu zákona č. 89/2012 Sb., občanský zákoník, ve znění pozdějších předpisů, a zákona č. 168/1999 Sb., o pojištění odpovědnosti za újmu způsobenou provozem vozidla, ve znění pozdějších předpisů, tento Dodatek, který spolu s pojistnou smlouvou</w:t>
      </w:r>
      <w:r>
        <w:t xml:space="preserve"> č. 6667600269 (dále jen </w:t>
      </w:r>
      <w:r>
        <w:rPr>
          <w:rStyle w:val="Bodytext2Bold"/>
        </w:rPr>
        <w:t xml:space="preserve">Pojistná smlouva) </w:t>
      </w:r>
      <w:r>
        <w:t>tvoří nedílný celek.</w:t>
      </w:r>
    </w:p>
    <w:p w:rsidR="002C0715" w:rsidRDefault="002F5B28">
      <w:pPr>
        <w:pStyle w:val="Bodytext20"/>
        <w:framePr w:wrap="none" w:vAnchor="page" w:hAnchor="page" w:x="1410" w:y="12177"/>
        <w:shd w:val="clear" w:color="auto" w:fill="auto"/>
        <w:spacing w:line="200" w:lineRule="exact"/>
        <w:ind w:firstLine="0"/>
      </w:pPr>
      <w:r>
        <w:t>Tento dodatek pojistné smlouvy byl uzavřena prostřednictvím pojišťovacího makléře:</w:t>
      </w:r>
    </w:p>
    <w:p w:rsidR="002C0715" w:rsidRDefault="002F5B28">
      <w:pPr>
        <w:pStyle w:val="Bodytext50"/>
        <w:framePr w:w="8818" w:h="1528" w:hRule="exact" w:wrap="none" w:vAnchor="page" w:hAnchor="page" w:x="1410" w:y="12651"/>
        <w:shd w:val="clear" w:color="auto" w:fill="auto"/>
        <w:spacing w:before="0"/>
      </w:pPr>
      <w:r>
        <w:t>Mgr. Michal Vacík</w:t>
      </w:r>
    </w:p>
    <w:p w:rsidR="002C0715" w:rsidRDefault="002F5B28">
      <w:pPr>
        <w:pStyle w:val="Bodytext40"/>
        <w:framePr w:w="8818" w:h="1528" w:hRule="exact" w:wrap="none" w:vAnchor="page" w:hAnchor="page" w:x="1410" w:y="12651"/>
        <w:shd w:val="clear" w:color="auto" w:fill="auto"/>
        <w:ind w:firstLine="0"/>
      </w:pPr>
      <w:r>
        <w:t>se sídlem Plzeň, Hálkova 1019/4,30100, Česká republika</w:t>
      </w:r>
    </w:p>
    <w:p w:rsidR="002C0715" w:rsidRDefault="002F5B28">
      <w:pPr>
        <w:pStyle w:val="Bodytext40"/>
        <w:framePr w:w="8818" w:h="1528" w:hRule="exact" w:wrap="none" w:vAnchor="page" w:hAnchor="page" w:x="1410" w:y="12651"/>
        <w:shd w:val="clear" w:color="auto" w:fill="auto"/>
        <w:ind w:firstLine="0"/>
      </w:pPr>
      <w:r>
        <w:t>IČ: 68813 261</w:t>
      </w:r>
    </w:p>
    <w:p w:rsidR="002C0715" w:rsidRDefault="002F5B28">
      <w:pPr>
        <w:pStyle w:val="Bodytext40"/>
        <w:framePr w:w="8818" w:h="1528" w:hRule="exact" w:wrap="none" w:vAnchor="page" w:hAnchor="page" w:x="1410" w:y="12651"/>
        <w:shd w:val="clear" w:color="auto" w:fill="auto"/>
        <w:spacing w:after="292"/>
        <w:ind w:firstLine="0"/>
      </w:pPr>
      <w:r>
        <w:rPr>
          <w:rStyle w:val="Bodytext4NotBold"/>
        </w:rPr>
        <w:t xml:space="preserve">(dále jen </w:t>
      </w:r>
      <w:r>
        <w:t xml:space="preserve">pojišťovací </w:t>
      </w:r>
      <w:r>
        <w:t>makléř)</w:t>
      </w:r>
    </w:p>
    <w:p w:rsidR="002C0715" w:rsidRDefault="002F5B28">
      <w:pPr>
        <w:pStyle w:val="Bodytext40"/>
        <w:framePr w:w="8818" w:h="1528" w:hRule="exact" w:wrap="none" w:vAnchor="page" w:hAnchor="page" w:x="1410" w:y="12651"/>
        <w:shd w:val="clear" w:color="auto" w:fill="auto"/>
        <w:spacing w:line="200" w:lineRule="exact"/>
        <w:ind w:firstLine="0"/>
      </w:pPr>
      <w:r>
        <w:rPr>
          <w:rStyle w:val="Bodytext4NotBold"/>
        </w:rPr>
        <w:t xml:space="preserve">Korespondenční adresa je </w:t>
      </w:r>
      <w:r>
        <w:t>Mgr. Michal Vacík Plzeň, Modřínová 2436/2,326 00, Česká republika</w:t>
      </w:r>
    </w:p>
    <w:p w:rsidR="002C0715" w:rsidRDefault="002F5B28">
      <w:pPr>
        <w:pStyle w:val="Headerorfooter20"/>
        <w:framePr w:wrap="none" w:vAnchor="page" w:hAnchor="page" w:x="5399" w:y="15422"/>
        <w:shd w:val="clear" w:color="auto" w:fill="auto"/>
      </w:pPr>
      <w:r>
        <w:t>strana 1 / 6</w:t>
      </w:r>
    </w:p>
    <w:p w:rsidR="002C0715" w:rsidRDefault="002C0715">
      <w:pPr>
        <w:rPr>
          <w:sz w:val="2"/>
          <w:szCs w:val="2"/>
        </w:rPr>
        <w:sectPr w:rsidR="002C071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C0715" w:rsidRDefault="002F5B28">
      <w:pPr>
        <w:pStyle w:val="Heading410"/>
        <w:framePr w:w="8818" w:h="13181" w:hRule="exact" w:wrap="none" w:vAnchor="page" w:hAnchor="page" w:x="1410" w:y="2500"/>
        <w:shd w:val="clear" w:color="auto" w:fill="auto"/>
        <w:spacing w:after="120" w:line="200" w:lineRule="exact"/>
        <w:ind w:right="280"/>
        <w:jc w:val="center"/>
      </w:pPr>
      <w:bookmarkStart w:id="5" w:name="bookmark5"/>
      <w:r>
        <w:lastRenderedPageBreak/>
        <w:t xml:space="preserve">Článek </w:t>
      </w:r>
      <w:r w:rsidRPr="00634AED">
        <w:rPr>
          <w:lang w:eastAsia="en-US" w:bidi="en-US"/>
        </w:rPr>
        <w:t>I.</w:t>
      </w:r>
      <w:bookmarkEnd w:id="5"/>
    </w:p>
    <w:p w:rsidR="002C0715" w:rsidRDefault="002F5B28">
      <w:pPr>
        <w:pStyle w:val="Heading410"/>
        <w:framePr w:w="8818" w:h="13181" w:hRule="exact" w:wrap="none" w:vAnchor="page" w:hAnchor="page" w:x="1410" w:y="2500"/>
        <w:shd w:val="clear" w:color="auto" w:fill="auto"/>
        <w:spacing w:after="92" w:line="200" w:lineRule="exact"/>
        <w:ind w:right="280"/>
        <w:jc w:val="center"/>
      </w:pPr>
      <w:bookmarkStart w:id="6" w:name="bookmark6"/>
      <w:r>
        <w:t>Obchodní podmínky</w:t>
      </w:r>
      <w:bookmarkEnd w:id="6"/>
    </w:p>
    <w:p w:rsidR="002C0715" w:rsidRDefault="002F5B28">
      <w:pPr>
        <w:pStyle w:val="Bodytext20"/>
        <w:framePr w:w="8818" w:h="13181" w:hRule="exact" w:wrap="none" w:vAnchor="page" w:hAnchor="page" w:x="1410" w:y="2500"/>
        <w:numPr>
          <w:ilvl w:val="0"/>
          <w:numId w:val="1"/>
        </w:numPr>
        <w:shd w:val="clear" w:color="auto" w:fill="auto"/>
        <w:tabs>
          <w:tab w:val="left" w:pos="699"/>
        </w:tabs>
        <w:spacing w:after="120" w:line="235" w:lineRule="exact"/>
        <w:ind w:left="680" w:hanging="320"/>
        <w:jc w:val="both"/>
      </w:pPr>
      <w:r>
        <w:t xml:space="preserve">Pro období </w:t>
      </w:r>
      <w:r>
        <w:rPr>
          <w:rStyle w:val="Bodytext2Bold"/>
        </w:rPr>
        <w:t xml:space="preserve">01.01.2021 - 31.12.2021 </w:t>
      </w:r>
      <w:r>
        <w:t xml:space="preserve">jsou pro pojištění dle Pojistné smlouvy </w:t>
      </w:r>
      <w:r>
        <w:t>sjednány obchodní podmínky uvedené v následujících odstavcích tohoto článku.</w:t>
      </w:r>
    </w:p>
    <w:p w:rsidR="002C0715" w:rsidRDefault="002F5B28">
      <w:pPr>
        <w:pStyle w:val="Bodytext40"/>
        <w:framePr w:w="8818" w:h="13181" w:hRule="exact" w:wrap="none" w:vAnchor="page" w:hAnchor="page" w:x="1410" w:y="2500"/>
        <w:numPr>
          <w:ilvl w:val="0"/>
          <w:numId w:val="1"/>
        </w:numPr>
        <w:shd w:val="clear" w:color="auto" w:fill="auto"/>
        <w:tabs>
          <w:tab w:val="left" w:pos="699"/>
        </w:tabs>
        <w:spacing w:after="348" w:line="235" w:lineRule="exact"/>
        <w:ind w:left="680"/>
        <w:jc w:val="both"/>
      </w:pPr>
      <w:r>
        <w:rPr>
          <w:rStyle w:val="Bodytext4NotBold"/>
        </w:rPr>
        <w:t xml:space="preserve">Pro všechny druhy vozidel kromě dále v tomto odstavci uvedených je pro </w:t>
      </w:r>
      <w:r>
        <w:t xml:space="preserve">pojištění odpovědnosti za újmu způsobenou provozem vozidla </w:t>
      </w:r>
      <w:r>
        <w:rPr>
          <w:rStyle w:val="Bodytext4NotBold"/>
        </w:rPr>
        <w:t xml:space="preserve">(dále jen </w:t>
      </w:r>
      <w:r>
        <w:t xml:space="preserve">pojištění odpovědnosti) </w:t>
      </w:r>
      <w:r>
        <w:rPr>
          <w:rStyle w:val="Bodytext4NotBold"/>
        </w:rPr>
        <w:t xml:space="preserve">sjednána </w:t>
      </w:r>
      <w:r>
        <w:t>obchodní sleva 22 %.</w:t>
      </w:r>
    </w:p>
    <w:p w:rsidR="002C0715" w:rsidRDefault="002F5B28">
      <w:pPr>
        <w:pStyle w:val="Bodytext40"/>
        <w:framePr w:w="8818" w:h="13181" w:hRule="exact" w:wrap="none" w:vAnchor="page" w:hAnchor="page" w:x="1410" w:y="2500"/>
        <w:shd w:val="clear" w:color="auto" w:fill="auto"/>
        <w:spacing w:after="4" w:line="200" w:lineRule="exact"/>
        <w:ind w:left="680" w:firstLine="0"/>
        <w:jc w:val="both"/>
      </w:pPr>
      <w:r>
        <w:rPr>
          <w:rStyle w:val="Bodytext4NotBold"/>
        </w:rPr>
        <w:t xml:space="preserve">Pojistné </w:t>
      </w:r>
      <w:r>
        <w:rPr>
          <w:rStyle w:val="Bodytext41"/>
          <w:b/>
          <w:bCs/>
        </w:rPr>
        <w:t>za pojištění odpovědnosti</w:t>
      </w:r>
      <w:r>
        <w:t xml:space="preserve"> </w:t>
      </w:r>
      <w:r>
        <w:rPr>
          <w:rStyle w:val="Bodytext4NotBold"/>
        </w:rPr>
        <w:t>činí:</w:t>
      </w:r>
    </w:p>
    <w:p w:rsidR="002C0715" w:rsidRDefault="002F5B28">
      <w:pPr>
        <w:pStyle w:val="Bodytext20"/>
        <w:framePr w:w="8818" w:h="13181" w:hRule="exact" w:wrap="none" w:vAnchor="page" w:hAnchor="page" w:x="1410" w:y="2500"/>
        <w:numPr>
          <w:ilvl w:val="0"/>
          <w:numId w:val="2"/>
        </w:numPr>
        <w:shd w:val="clear" w:color="auto" w:fill="auto"/>
        <w:tabs>
          <w:tab w:val="left" w:pos="1327"/>
        </w:tabs>
        <w:spacing w:line="346" w:lineRule="exact"/>
        <w:ind w:left="1340" w:hanging="340"/>
      </w:pPr>
      <w:r>
        <w:t xml:space="preserve">pro druh vozidla tahač návěsů </w:t>
      </w:r>
      <w:r>
        <w:rPr>
          <w:rStyle w:val="Bodytext2Bold"/>
        </w:rPr>
        <w:t>62 500 Kč,</w:t>
      </w:r>
    </w:p>
    <w:p w:rsidR="002C0715" w:rsidRDefault="002F5B28">
      <w:pPr>
        <w:pStyle w:val="Bodytext20"/>
        <w:framePr w:w="8818" w:h="13181" w:hRule="exact" w:wrap="none" w:vAnchor="page" w:hAnchor="page" w:x="1410" w:y="2500"/>
        <w:numPr>
          <w:ilvl w:val="0"/>
          <w:numId w:val="2"/>
        </w:numPr>
        <w:shd w:val="clear" w:color="auto" w:fill="auto"/>
        <w:tabs>
          <w:tab w:val="left" w:pos="1330"/>
        </w:tabs>
        <w:spacing w:line="346" w:lineRule="exact"/>
        <w:ind w:left="1340" w:hanging="340"/>
      </w:pPr>
      <w:r>
        <w:t xml:space="preserve">pro druh vozidla nákladní automobil nad 12 t s výkonem vyšším než 250 kW </w:t>
      </w:r>
      <w:r>
        <w:rPr>
          <w:rStyle w:val="Bodytext2Bold"/>
        </w:rPr>
        <w:t>35 000 Kč,</w:t>
      </w:r>
    </w:p>
    <w:p w:rsidR="002C0715" w:rsidRDefault="002F5B28">
      <w:pPr>
        <w:pStyle w:val="Bodytext20"/>
        <w:framePr w:w="8818" w:h="13181" w:hRule="exact" w:wrap="none" w:vAnchor="page" w:hAnchor="page" w:x="1410" w:y="2500"/>
        <w:numPr>
          <w:ilvl w:val="0"/>
          <w:numId w:val="2"/>
        </w:numPr>
        <w:shd w:val="clear" w:color="auto" w:fill="auto"/>
        <w:tabs>
          <w:tab w:val="left" w:pos="1330"/>
        </w:tabs>
        <w:spacing w:line="346" w:lineRule="exact"/>
        <w:ind w:left="1340" w:hanging="340"/>
      </w:pPr>
      <w:r>
        <w:t xml:space="preserve">pro druh vozidla autobus nad 5t </w:t>
      </w:r>
      <w:r>
        <w:rPr>
          <w:rStyle w:val="Bodytext2Bold"/>
        </w:rPr>
        <w:t>65 000 Kč.</w:t>
      </w:r>
    </w:p>
    <w:p w:rsidR="002C0715" w:rsidRDefault="002F5B28">
      <w:pPr>
        <w:pStyle w:val="Bodytext20"/>
        <w:framePr w:w="8818" w:h="13181" w:hRule="exact" w:wrap="none" w:vAnchor="page" w:hAnchor="page" w:x="1410" w:y="2500"/>
        <w:shd w:val="clear" w:color="auto" w:fill="auto"/>
        <w:spacing w:after="148" w:line="235" w:lineRule="exact"/>
        <w:ind w:left="680" w:firstLine="0"/>
        <w:jc w:val="both"/>
      </w:pPr>
      <w:r>
        <w:t>Pojistné uvedené v tomto o</w:t>
      </w:r>
      <w:r>
        <w:t xml:space="preserve">dstavci zahrnuje pouze pojištění odpovědnosti po uplatnění všech případných slev a přirážek. V případě sjednání Komplexního balíčku pojištění odpovědnosti dle Pojistné smlouvy (dále jen </w:t>
      </w:r>
      <w:r>
        <w:rPr>
          <w:rStyle w:val="Bodytext2Bold"/>
        </w:rPr>
        <w:t xml:space="preserve">balíček) </w:t>
      </w:r>
      <w:r>
        <w:t xml:space="preserve">je pojistné upraveno současně v článku </w:t>
      </w:r>
      <w:r>
        <w:rPr>
          <w:rStyle w:val="Bodytext2Italic"/>
        </w:rPr>
        <w:t>Rozpad Komplexního bal</w:t>
      </w:r>
      <w:r>
        <w:rPr>
          <w:rStyle w:val="Bodytext2Italic"/>
        </w:rPr>
        <w:t>íčku pojištění odpovědnosti.</w:t>
      </w:r>
    </w:p>
    <w:p w:rsidR="002C0715" w:rsidRDefault="002F5B28">
      <w:pPr>
        <w:pStyle w:val="Bodytext20"/>
        <w:framePr w:w="8818" w:h="13181" w:hRule="exact" w:wrap="none" w:vAnchor="page" w:hAnchor="page" w:x="1410" w:y="2500"/>
        <w:numPr>
          <w:ilvl w:val="0"/>
          <w:numId w:val="1"/>
        </w:numPr>
        <w:shd w:val="clear" w:color="auto" w:fill="auto"/>
        <w:tabs>
          <w:tab w:val="left" w:pos="699"/>
        </w:tabs>
        <w:spacing w:after="720" w:line="200" w:lineRule="exact"/>
        <w:ind w:left="680" w:hanging="320"/>
        <w:jc w:val="both"/>
      </w:pPr>
      <w:r>
        <w:t xml:space="preserve">Pro havarijní pojištění všech vozidel je sjednána </w:t>
      </w:r>
      <w:r>
        <w:rPr>
          <w:rStyle w:val="Bodytext2Bold"/>
        </w:rPr>
        <w:t xml:space="preserve">obchodní sleva 50 </w:t>
      </w:r>
      <w:r>
        <w:t>%.</w:t>
      </w:r>
    </w:p>
    <w:p w:rsidR="002C0715" w:rsidRDefault="002F5B28">
      <w:pPr>
        <w:pStyle w:val="Heading410"/>
        <w:framePr w:w="8818" w:h="13181" w:hRule="exact" w:wrap="none" w:vAnchor="page" w:hAnchor="page" w:x="1410" w:y="2500"/>
        <w:shd w:val="clear" w:color="auto" w:fill="auto"/>
        <w:spacing w:line="200" w:lineRule="exact"/>
        <w:ind w:right="280"/>
        <w:jc w:val="center"/>
      </w:pPr>
      <w:bookmarkStart w:id="7" w:name="bookmark7"/>
      <w:r>
        <w:t>Článek II.</w:t>
      </w:r>
      <w:bookmarkEnd w:id="7"/>
    </w:p>
    <w:p w:rsidR="002C0715" w:rsidRDefault="002F5B28">
      <w:pPr>
        <w:pStyle w:val="Bodytext40"/>
        <w:framePr w:w="8818" w:h="13181" w:hRule="exact" w:wrap="none" w:vAnchor="page" w:hAnchor="page" w:x="1410" w:y="2500"/>
        <w:shd w:val="clear" w:color="auto" w:fill="auto"/>
        <w:spacing w:after="120" w:line="200" w:lineRule="exact"/>
        <w:ind w:left="40" w:firstLine="0"/>
        <w:jc w:val="center"/>
      </w:pPr>
      <w:r>
        <w:t>Rozpad Komplexního balíčku pojištění odpovědnosti</w:t>
      </w:r>
    </w:p>
    <w:p w:rsidR="002C0715" w:rsidRDefault="002F5B28">
      <w:pPr>
        <w:pStyle w:val="Bodytext20"/>
        <w:framePr w:w="8818" w:h="13181" w:hRule="exact" w:wrap="none" w:vAnchor="page" w:hAnchor="page" w:x="1410" w:y="2500"/>
        <w:numPr>
          <w:ilvl w:val="0"/>
          <w:numId w:val="3"/>
        </w:numPr>
        <w:shd w:val="clear" w:color="auto" w:fill="auto"/>
        <w:tabs>
          <w:tab w:val="left" w:pos="697"/>
        </w:tabs>
        <w:spacing w:after="296" w:line="200" w:lineRule="exact"/>
        <w:ind w:left="680" w:hanging="320"/>
        <w:jc w:val="both"/>
      </w:pPr>
      <w:r>
        <w:t>Pojistnou smlouvou byl sjednán balíček, jehož součástí je:</w:t>
      </w:r>
    </w:p>
    <w:p w:rsidR="002C0715" w:rsidRDefault="002F5B28">
      <w:pPr>
        <w:pStyle w:val="Bodytext20"/>
        <w:framePr w:w="8818" w:h="13181" w:hRule="exact" w:wrap="none" w:vAnchor="page" w:hAnchor="page" w:x="1410" w:y="2500"/>
        <w:numPr>
          <w:ilvl w:val="0"/>
          <w:numId w:val="4"/>
        </w:numPr>
        <w:shd w:val="clear" w:color="auto" w:fill="auto"/>
        <w:tabs>
          <w:tab w:val="left" w:pos="1327"/>
        </w:tabs>
        <w:spacing w:after="144" w:line="230" w:lineRule="exact"/>
        <w:ind w:left="1340" w:hanging="340"/>
      </w:pPr>
      <w:r>
        <w:t>v případě druhu vozidel tahač návěsů</w:t>
      </w:r>
      <w:r>
        <w:t xml:space="preserve"> a nákladní automobil nad 12 t s výkonem vyšším než 250 kW:</w:t>
      </w:r>
    </w:p>
    <w:p w:rsidR="002C0715" w:rsidRDefault="002F5B28">
      <w:pPr>
        <w:pStyle w:val="Bodytext20"/>
        <w:framePr w:w="8818" w:h="13181" w:hRule="exact" w:wrap="none" w:vAnchor="page" w:hAnchor="page" w:x="1410" w:y="2500"/>
        <w:numPr>
          <w:ilvl w:val="0"/>
          <w:numId w:val="5"/>
        </w:numPr>
        <w:shd w:val="clear" w:color="auto" w:fill="auto"/>
        <w:tabs>
          <w:tab w:val="left" w:pos="1989"/>
        </w:tabs>
        <w:spacing w:after="7" w:line="200" w:lineRule="exact"/>
        <w:ind w:left="1960" w:hanging="280"/>
      </w:pPr>
      <w:r>
        <w:t>pojištění odpovědnosti a</w:t>
      </w:r>
    </w:p>
    <w:p w:rsidR="002C0715" w:rsidRDefault="002F5B28">
      <w:pPr>
        <w:pStyle w:val="Bodytext20"/>
        <w:framePr w:w="8818" w:h="13181" w:hRule="exact" w:wrap="none" w:vAnchor="page" w:hAnchor="page" w:x="1410" w:y="2500"/>
        <w:shd w:val="clear" w:color="auto" w:fill="auto"/>
        <w:spacing w:line="341" w:lineRule="exact"/>
        <w:ind w:left="1960" w:hanging="280"/>
      </w:pPr>
      <w:r>
        <w:t xml:space="preserve">ii. pojištění asistenčních služeb k vozidlu (dále jen </w:t>
      </w:r>
      <w:r>
        <w:rPr>
          <w:rStyle w:val="Bodytext2Bold"/>
        </w:rPr>
        <w:t>pojištění asistence)</w:t>
      </w:r>
    </w:p>
    <w:p w:rsidR="002C0715" w:rsidRDefault="002F5B28">
      <w:pPr>
        <w:pStyle w:val="Bodytext20"/>
        <w:framePr w:w="8818" w:h="13181" w:hRule="exact" w:wrap="none" w:vAnchor="page" w:hAnchor="page" w:x="1410" w:y="2500"/>
        <w:numPr>
          <w:ilvl w:val="0"/>
          <w:numId w:val="4"/>
        </w:numPr>
        <w:shd w:val="clear" w:color="auto" w:fill="auto"/>
        <w:tabs>
          <w:tab w:val="left" w:pos="1330"/>
        </w:tabs>
        <w:spacing w:line="341" w:lineRule="exact"/>
        <w:ind w:left="1340" w:hanging="340"/>
      </w:pPr>
      <w:r>
        <w:t>v případě druhu vozidel autobus nad 5t:</w:t>
      </w:r>
    </w:p>
    <w:p w:rsidR="002C0715" w:rsidRDefault="002F5B28">
      <w:pPr>
        <w:pStyle w:val="Bodytext20"/>
        <w:framePr w:w="8818" w:h="13181" w:hRule="exact" w:wrap="none" w:vAnchor="page" w:hAnchor="page" w:x="1410" w:y="2500"/>
        <w:numPr>
          <w:ilvl w:val="0"/>
          <w:numId w:val="6"/>
        </w:numPr>
        <w:shd w:val="clear" w:color="auto" w:fill="auto"/>
        <w:tabs>
          <w:tab w:val="left" w:pos="1989"/>
        </w:tabs>
        <w:spacing w:line="341" w:lineRule="exact"/>
        <w:ind w:left="1960" w:hanging="280"/>
      </w:pPr>
      <w:r>
        <w:t>pojištění odpovědnosti,</w:t>
      </w:r>
    </w:p>
    <w:p w:rsidR="002C0715" w:rsidRDefault="002F5B28">
      <w:pPr>
        <w:pStyle w:val="Bodytext20"/>
        <w:framePr w:w="8818" w:h="13181" w:hRule="exact" w:wrap="none" w:vAnchor="page" w:hAnchor="page" w:x="1410" w:y="2500"/>
        <w:shd w:val="clear" w:color="auto" w:fill="auto"/>
        <w:spacing w:line="341" w:lineRule="exact"/>
        <w:ind w:left="1960" w:hanging="280"/>
      </w:pPr>
      <w:r>
        <w:t xml:space="preserve">ii. pojištění asistence a </w:t>
      </w:r>
      <w:r>
        <w:t>úrazové pojištění osob dopravovaných vozidlem (dále jen</w:t>
      </w:r>
    </w:p>
    <w:p w:rsidR="002C0715" w:rsidRDefault="002F5B28">
      <w:pPr>
        <w:pStyle w:val="Bodytext40"/>
        <w:framePr w:w="8818" w:h="13181" w:hRule="exact" w:wrap="none" w:vAnchor="page" w:hAnchor="page" w:x="1410" w:y="2500"/>
        <w:shd w:val="clear" w:color="auto" w:fill="auto"/>
        <w:spacing w:after="120" w:line="200" w:lineRule="exact"/>
        <w:ind w:left="1960" w:firstLine="0"/>
      </w:pPr>
      <w:r>
        <w:t>úrazové pojištění).</w:t>
      </w:r>
    </w:p>
    <w:p w:rsidR="002C0715" w:rsidRDefault="002F5B28">
      <w:pPr>
        <w:pStyle w:val="Bodytext20"/>
        <w:framePr w:w="8818" w:h="13181" w:hRule="exact" w:wrap="none" w:vAnchor="page" w:hAnchor="page" w:x="1410" w:y="2500"/>
        <w:numPr>
          <w:ilvl w:val="0"/>
          <w:numId w:val="3"/>
        </w:numPr>
        <w:shd w:val="clear" w:color="auto" w:fill="auto"/>
        <w:tabs>
          <w:tab w:val="left" w:pos="697"/>
        </w:tabs>
        <w:spacing w:after="100" w:line="200" w:lineRule="exact"/>
        <w:ind w:left="680" w:hanging="320"/>
        <w:jc w:val="both"/>
      </w:pPr>
      <w:r>
        <w:t>Tímto Dodatkem se balíček rozděluje na samostatná rizika, a to</w:t>
      </w:r>
    </w:p>
    <w:p w:rsidR="002C0715" w:rsidRDefault="002F5B28">
      <w:pPr>
        <w:pStyle w:val="Bodytext20"/>
        <w:framePr w:w="8818" w:h="13181" w:hRule="exact" w:wrap="none" w:vAnchor="page" w:hAnchor="page" w:x="1410" w:y="2500"/>
        <w:numPr>
          <w:ilvl w:val="0"/>
          <w:numId w:val="7"/>
        </w:numPr>
        <w:shd w:val="clear" w:color="auto" w:fill="auto"/>
        <w:tabs>
          <w:tab w:val="left" w:pos="1327"/>
        </w:tabs>
        <w:spacing w:after="141" w:line="226" w:lineRule="exact"/>
        <w:ind w:left="1340" w:hanging="340"/>
      </w:pPr>
      <w:r>
        <w:t>v případě druhů vozidel tahač návěsů a nákladní automobil nad 12 t s výkonem vyšším než 250 kW na:</w:t>
      </w:r>
    </w:p>
    <w:p w:rsidR="002C0715" w:rsidRDefault="002F5B28">
      <w:pPr>
        <w:pStyle w:val="Bodytext20"/>
        <w:framePr w:w="8818" w:h="13181" w:hRule="exact" w:wrap="none" w:vAnchor="page" w:hAnchor="page" w:x="1410" w:y="2500"/>
        <w:numPr>
          <w:ilvl w:val="0"/>
          <w:numId w:val="8"/>
        </w:numPr>
        <w:shd w:val="clear" w:color="auto" w:fill="auto"/>
        <w:tabs>
          <w:tab w:val="left" w:pos="1989"/>
        </w:tabs>
        <w:spacing w:after="92" w:line="200" w:lineRule="exact"/>
        <w:ind w:left="1960" w:hanging="280"/>
      </w:pPr>
      <w:r>
        <w:t xml:space="preserve">pojištění </w:t>
      </w:r>
      <w:r>
        <w:t>odpovědnosti a</w:t>
      </w:r>
    </w:p>
    <w:p w:rsidR="002C0715" w:rsidRDefault="002F5B28">
      <w:pPr>
        <w:pStyle w:val="Bodytext20"/>
        <w:framePr w:w="8818" w:h="13181" w:hRule="exact" w:wrap="none" w:vAnchor="page" w:hAnchor="page" w:x="1410" w:y="2500"/>
        <w:numPr>
          <w:ilvl w:val="0"/>
          <w:numId w:val="8"/>
        </w:numPr>
        <w:shd w:val="clear" w:color="auto" w:fill="auto"/>
        <w:tabs>
          <w:tab w:val="left" w:pos="2043"/>
        </w:tabs>
        <w:spacing w:after="148" w:line="235" w:lineRule="exact"/>
        <w:ind w:left="1960" w:hanging="280"/>
      </w:pPr>
      <w:r>
        <w:t>pojištění asistence (asistenční služba typ 496 pro události v ČR í v zahraničí podle ZPP H - 390/14)</w:t>
      </w:r>
    </w:p>
    <w:p w:rsidR="002C0715" w:rsidRDefault="002F5B28">
      <w:pPr>
        <w:pStyle w:val="Bodytext20"/>
        <w:framePr w:w="8818" w:h="13181" w:hRule="exact" w:wrap="none" w:vAnchor="page" w:hAnchor="page" w:x="1410" w:y="2500"/>
        <w:numPr>
          <w:ilvl w:val="0"/>
          <w:numId w:val="9"/>
        </w:numPr>
        <w:shd w:val="clear" w:color="auto" w:fill="auto"/>
        <w:tabs>
          <w:tab w:val="left" w:pos="1330"/>
        </w:tabs>
        <w:spacing w:after="120" w:line="200" w:lineRule="exact"/>
        <w:ind w:left="1340" w:hanging="340"/>
      </w:pPr>
      <w:r>
        <w:t>v případě druhu vozidel autobus nad 5 t na:</w:t>
      </w:r>
    </w:p>
    <w:p w:rsidR="002C0715" w:rsidRDefault="002F5B28">
      <w:pPr>
        <w:pStyle w:val="Bodytext20"/>
        <w:framePr w:w="8818" w:h="13181" w:hRule="exact" w:wrap="none" w:vAnchor="page" w:hAnchor="page" w:x="1410" w:y="2500"/>
        <w:numPr>
          <w:ilvl w:val="0"/>
          <w:numId w:val="10"/>
        </w:numPr>
        <w:shd w:val="clear" w:color="auto" w:fill="auto"/>
        <w:tabs>
          <w:tab w:val="left" w:pos="1989"/>
        </w:tabs>
        <w:spacing w:after="1060" w:line="200" w:lineRule="exact"/>
        <w:ind w:left="1960" w:hanging="280"/>
      </w:pPr>
      <w:r>
        <w:t>pojištění odpovědnosti a</w:t>
      </w:r>
    </w:p>
    <w:p w:rsidR="002C0715" w:rsidRDefault="002F5B28">
      <w:pPr>
        <w:pStyle w:val="Bodytext70"/>
        <w:framePr w:w="8818" w:h="13181" w:hRule="exact" w:wrap="none" w:vAnchor="page" w:hAnchor="page" w:x="1410" w:y="2500"/>
        <w:shd w:val="clear" w:color="auto" w:fill="auto"/>
        <w:spacing w:before="0"/>
        <w:ind w:left="40"/>
      </w:pPr>
      <w:r>
        <w:t>strana 2/6</w:t>
      </w:r>
    </w:p>
    <w:p w:rsidR="002C0715" w:rsidRDefault="002C0715">
      <w:pPr>
        <w:rPr>
          <w:sz w:val="2"/>
          <w:szCs w:val="2"/>
        </w:rPr>
        <w:sectPr w:rsidR="002C071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C0715" w:rsidRDefault="002F5B28">
      <w:pPr>
        <w:pStyle w:val="Bodytext20"/>
        <w:framePr w:w="8813" w:h="1943" w:hRule="exact" w:wrap="none" w:vAnchor="page" w:hAnchor="page" w:x="1473" w:y="2492"/>
        <w:shd w:val="clear" w:color="auto" w:fill="auto"/>
        <w:spacing w:after="100" w:line="235" w:lineRule="exact"/>
        <w:ind w:left="1980" w:hanging="340"/>
        <w:jc w:val="both"/>
      </w:pPr>
      <w:r>
        <w:t xml:space="preserve">ti pojištění asistence </w:t>
      </w:r>
      <w:r>
        <w:t>a úrazové pojištěni (asistenční služba typ 496 pro udáLosti v ČR i v zahraničí podle ZPP H - 390/14, úrazové pojištění podle ZPP H - 362/14 a příslušných oceňovacích tabulek.)</w:t>
      </w:r>
    </w:p>
    <w:p w:rsidR="002C0715" w:rsidRDefault="002F5B28">
      <w:pPr>
        <w:pStyle w:val="Bodytext20"/>
        <w:framePr w:w="8813" w:h="1943" w:hRule="exact" w:wrap="none" w:vAnchor="page" w:hAnchor="page" w:x="1473" w:y="2492"/>
        <w:numPr>
          <w:ilvl w:val="0"/>
          <w:numId w:val="3"/>
        </w:numPr>
        <w:shd w:val="clear" w:color="auto" w:fill="auto"/>
        <w:tabs>
          <w:tab w:val="left" w:pos="688"/>
        </w:tabs>
        <w:spacing w:after="104" w:line="235" w:lineRule="exact"/>
        <w:ind w:left="680" w:hanging="320"/>
        <w:jc w:val="both"/>
      </w:pPr>
      <w:r>
        <w:t xml:space="preserve">Pojistné za </w:t>
      </w:r>
      <w:r>
        <w:rPr>
          <w:rStyle w:val="Bodytext2Bold0"/>
        </w:rPr>
        <w:t>pojištění asistence</w:t>
      </w:r>
      <w:r>
        <w:rPr>
          <w:rStyle w:val="Bodytext2Bold"/>
        </w:rPr>
        <w:t xml:space="preserve"> </w:t>
      </w:r>
      <w:r>
        <w:t xml:space="preserve">nově činí pro druh vozidel tahač návěsů a nákladní automobil nad </w:t>
      </w:r>
      <w:r>
        <w:rPr>
          <w:rStyle w:val="Bodytext2Bold"/>
        </w:rPr>
        <w:t>12</w:t>
      </w:r>
      <w:r>
        <w:t xml:space="preserve">1 s výkonem vyšším než 250 kW </w:t>
      </w:r>
      <w:r>
        <w:rPr>
          <w:rStyle w:val="Bodytext2Bold"/>
        </w:rPr>
        <w:t>5 900 Kč.</w:t>
      </w:r>
    </w:p>
    <w:p w:rsidR="002C0715" w:rsidRDefault="002F5B28">
      <w:pPr>
        <w:pStyle w:val="Bodytext20"/>
        <w:framePr w:w="8813" w:h="1943" w:hRule="exact" w:wrap="none" w:vAnchor="page" w:hAnchor="page" w:x="1473" w:y="2492"/>
        <w:numPr>
          <w:ilvl w:val="0"/>
          <w:numId w:val="3"/>
        </w:numPr>
        <w:shd w:val="clear" w:color="auto" w:fill="auto"/>
        <w:tabs>
          <w:tab w:val="left" w:pos="688"/>
        </w:tabs>
        <w:spacing w:line="230" w:lineRule="exact"/>
        <w:ind w:left="680" w:hanging="320"/>
        <w:jc w:val="both"/>
      </w:pPr>
      <w:r>
        <w:t xml:space="preserve">Pojistné za </w:t>
      </w:r>
      <w:r>
        <w:rPr>
          <w:rStyle w:val="Bodytext2Bold0"/>
        </w:rPr>
        <w:t>pojištěni asistence a úrazové pojištění</w:t>
      </w:r>
      <w:r>
        <w:rPr>
          <w:rStyle w:val="Bodytext2Bold"/>
        </w:rPr>
        <w:t xml:space="preserve"> </w:t>
      </w:r>
      <w:r>
        <w:t xml:space="preserve">nově činí pro druh vozidel autobus nad 5 </w:t>
      </w:r>
      <w:r>
        <w:rPr>
          <w:rStyle w:val="Bodytext2Bold"/>
        </w:rPr>
        <w:t>15 900 Kč.</w:t>
      </w:r>
    </w:p>
    <w:p w:rsidR="002C0715" w:rsidRDefault="002F5B28">
      <w:pPr>
        <w:pStyle w:val="Heading410"/>
        <w:framePr w:w="8813" w:h="1107" w:hRule="exact" w:wrap="none" w:vAnchor="page" w:hAnchor="page" w:x="1473" w:y="4831"/>
        <w:shd w:val="clear" w:color="auto" w:fill="auto"/>
        <w:spacing w:after="100" w:line="200" w:lineRule="exact"/>
        <w:ind w:right="320"/>
        <w:jc w:val="center"/>
      </w:pPr>
      <w:bookmarkStart w:id="8" w:name="bookmark8"/>
      <w:r>
        <w:t>Článek III.</w:t>
      </w:r>
      <w:bookmarkEnd w:id="8"/>
    </w:p>
    <w:p w:rsidR="002C0715" w:rsidRDefault="002F5B28">
      <w:pPr>
        <w:pStyle w:val="Bodytext40"/>
        <w:framePr w:w="8813" w:h="1107" w:hRule="exact" w:wrap="none" w:vAnchor="page" w:hAnchor="page" w:x="1473" w:y="4831"/>
        <w:shd w:val="clear" w:color="auto" w:fill="auto"/>
        <w:spacing w:after="76" w:line="200" w:lineRule="exact"/>
        <w:ind w:left="20" w:firstLine="0"/>
        <w:jc w:val="center"/>
      </w:pPr>
      <w:r>
        <w:t>Strojní pojištění - sjednání koef</w:t>
      </w:r>
      <w:r>
        <w:t>icientu stáří vozidla</w:t>
      </w:r>
    </w:p>
    <w:p w:rsidR="002C0715" w:rsidRDefault="002F5B28">
      <w:pPr>
        <w:pStyle w:val="Bodytext20"/>
        <w:framePr w:w="8813" w:h="1107" w:hRule="exact" w:wrap="none" w:vAnchor="page" w:hAnchor="page" w:x="1473" w:y="4831"/>
        <w:shd w:val="clear" w:color="auto" w:fill="auto"/>
        <w:spacing w:line="230" w:lineRule="exact"/>
        <w:ind w:left="680" w:hanging="320"/>
        <w:jc w:val="both"/>
      </w:pPr>
      <w:r>
        <w:t>1. Tímto Dodatkem se nově pro strojní pojištění sjednává koeficient stáří vozidla, a to v následující výši: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9"/>
        <w:gridCol w:w="1738"/>
      </w:tblGrid>
      <w:tr w:rsidR="002C0715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715" w:rsidRDefault="002F5B28">
            <w:pPr>
              <w:pStyle w:val="Bodytext20"/>
              <w:framePr w:w="3797" w:h="4085" w:wrap="none" w:vAnchor="page" w:hAnchor="page" w:x="4084" w:y="6117"/>
              <w:shd w:val="clear" w:color="auto" w:fill="auto"/>
              <w:spacing w:line="216" w:lineRule="exact"/>
              <w:ind w:left="560" w:firstLine="0"/>
            </w:pPr>
            <w:r>
              <w:rPr>
                <w:rStyle w:val="Bodytext2TimesNewRoman95ptBold"/>
                <w:rFonts w:eastAsia="Arial"/>
              </w:rPr>
              <w:t>stáří vozidla (v měsících)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715" w:rsidRDefault="002F5B28">
            <w:pPr>
              <w:pStyle w:val="Bodytext20"/>
              <w:framePr w:w="3797" w:h="4085" w:wrap="none" w:vAnchor="page" w:hAnchor="page" w:x="4084" w:y="6117"/>
              <w:shd w:val="clear" w:color="auto" w:fill="auto"/>
              <w:spacing w:line="210" w:lineRule="exact"/>
              <w:ind w:left="20" w:firstLine="0"/>
              <w:jc w:val="center"/>
            </w:pPr>
            <w:r>
              <w:rPr>
                <w:rStyle w:val="Bodytext2TimesNewRoman95ptBold"/>
                <w:rFonts w:eastAsia="Arial"/>
              </w:rPr>
              <w:t>koeficient</w:t>
            </w:r>
          </w:p>
        </w:tc>
      </w:tr>
      <w:tr w:rsidR="002C071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715" w:rsidRDefault="002F5B28">
            <w:pPr>
              <w:pStyle w:val="Bodytext20"/>
              <w:framePr w:w="3797" w:h="4085" w:wrap="none" w:vAnchor="page" w:hAnchor="page" w:x="4084" w:y="6117"/>
              <w:shd w:val="clear" w:color="auto" w:fill="auto"/>
              <w:spacing w:line="190" w:lineRule="exact"/>
              <w:ind w:right="20" w:firstLine="0"/>
              <w:jc w:val="center"/>
            </w:pPr>
            <w:r>
              <w:rPr>
                <w:rStyle w:val="Bodytext285ptBold"/>
              </w:rPr>
              <w:t>0-6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715" w:rsidRDefault="002F5B28">
            <w:pPr>
              <w:pStyle w:val="Bodytext20"/>
              <w:framePr w:w="3797" w:h="4085" w:wrap="none" w:vAnchor="page" w:hAnchor="page" w:x="4084" w:y="6117"/>
              <w:shd w:val="clear" w:color="auto" w:fill="auto"/>
              <w:spacing w:line="190" w:lineRule="exact"/>
              <w:ind w:left="20" w:firstLine="0"/>
              <w:jc w:val="center"/>
            </w:pPr>
            <w:r>
              <w:rPr>
                <w:rStyle w:val="Bodytext285ptBold"/>
              </w:rPr>
              <w:t>1,00</w:t>
            </w:r>
          </w:p>
        </w:tc>
      </w:tr>
      <w:tr w:rsidR="002C071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715" w:rsidRDefault="002F5B28">
            <w:pPr>
              <w:pStyle w:val="Bodytext20"/>
              <w:framePr w:w="3797" w:h="4085" w:wrap="none" w:vAnchor="page" w:hAnchor="page" w:x="4084" w:y="6117"/>
              <w:shd w:val="clear" w:color="auto" w:fill="auto"/>
              <w:spacing w:line="190" w:lineRule="exact"/>
              <w:ind w:right="20" w:firstLine="0"/>
              <w:jc w:val="center"/>
            </w:pPr>
            <w:r>
              <w:rPr>
                <w:rStyle w:val="Bodytext285ptBold"/>
              </w:rPr>
              <w:t>7-11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715" w:rsidRDefault="002F5B28">
            <w:pPr>
              <w:pStyle w:val="Bodytext20"/>
              <w:framePr w:w="3797" w:h="4085" w:wrap="none" w:vAnchor="page" w:hAnchor="page" w:x="4084" w:y="6117"/>
              <w:shd w:val="clear" w:color="auto" w:fill="auto"/>
              <w:spacing w:line="190" w:lineRule="exact"/>
              <w:ind w:left="20" w:firstLine="0"/>
              <w:jc w:val="center"/>
            </w:pPr>
            <w:r>
              <w:rPr>
                <w:rStyle w:val="Bodytext285ptBold"/>
              </w:rPr>
              <w:t>1,03</w:t>
            </w:r>
          </w:p>
        </w:tc>
      </w:tr>
      <w:tr w:rsidR="002C071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715" w:rsidRDefault="002F5B28">
            <w:pPr>
              <w:pStyle w:val="Bodytext20"/>
              <w:framePr w:w="3797" w:h="4085" w:wrap="none" w:vAnchor="page" w:hAnchor="page" w:x="4084" w:y="6117"/>
              <w:shd w:val="clear" w:color="auto" w:fill="auto"/>
              <w:spacing w:line="190" w:lineRule="exact"/>
              <w:ind w:right="20" w:firstLine="0"/>
              <w:jc w:val="center"/>
            </w:pPr>
            <w:r>
              <w:rPr>
                <w:rStyle w:val="Bodytext285ptBold"/>
              </w:rPr>
              <w:t>12-23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715" w:rsidRDefault="002F5B28">
            <w:pPr>
              <w:pStyle w:val="Bodytext20"/>
              <w:framePr w:w="3797" w:h="4085" w:wrap="none" w:vAnchor="page" w:hAnchor="page" w:x="4084" w:y="6117"/>
              <w:shd w:val="clear" w:color="auto" w:fill="auto"/>
              <w:spacing w:line="190" w:lineRule="exact"/>
              <w:ind w:left="20" w:firstLine="0"/>
              <w:jc w:val="center"/>
            </w:pPr>
            <w:r>
              <w:rPr>
                <w:rStyle w:val="Bodytext285ptBold"/>
              </w:rPr>
              <w:t>1,06</w:t>
            </w:r>
          </w:p>
        </w:tc>
      </w:tr>
      <w:tr w:rsidR="002C071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715" w:rsidRDefault="002F5B28">
            <w:pPr>
              <w:pStyle w:val="Bodytext20"/>
              <w:framePr w:w="3797" w:h="4085" w:wrap="none" w:vAnchor="page" w:hAnchor="page" w:x="4084" w:y="6117"/>
              <w:shd w:val="clear" w:color="auto" w:fill="auto"/>
              <w:spacing w:line="190" w:lineRule="exact"/>
              <w:ind w:right="20" w:firstLine="0"/>
              <w:jc w:val="center"/>
            </w:pPr>
            <w:r>
              <w:rPr>
                <w:rStyle w:val="Bodytext285ptBold"/>
              </w:rPr>
              <w:t>24-35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715" w:rsidRDefault="002F5B28">
            <w:pPr>
              <w:pStyle w:val="Bodytext20"/>
              <w:framePr w:w="3797" w:h="4085" w:wrap="none" w:vAnchor="page" w:hAnchor="page" w:x="4084" w:y="6117"/>
              <w:shd w:val="clear" w:color="auto" w:fill="auto"/>
              <w:spacing w:line="190" w:lineRule="exact"/>
              <w:ind w:left="20" w:firstLine="0"/>
              <w:jc w:val="center"/>
            </w:pPr>
            <w:r>
              <w:rPr>
                <w:rStyle w:val="Bodytext285ptBold"/>
              </w:rPr>
              <w:t>1,12</w:t>
            </w:r>
          </w:p>
        </w:tc>
      </w:tr>
      <w:tr w:rsidR="002C071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715" w:rsidRDefault="002F5B28">
            <w:pPr>
              <w:pStyle w:val="Bodytext20"/>
              <w:framePr w:w="3797" w:h="4085" w:wrap="none" w:vAnchor="page" w:hAnchor="page" w:x="4084" w:y="6117"/>
              <w:shd w:val="clear" w:color="auto" w:fill="auto"/>
              <w:spacing w:line="190" w:lineRule="exact"/>
              <w:ind w:right="20" w:firstLine="0"/>
              <w:jc w:val="center"/>
            </w:pPr>
            <w:r>
              <w:rPr>
                <w:rStyle w:val="Bodytext285ptBold"/>
              </w:rPr>
              <w:t>36-47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715" w:rsidRDefault="002F5B28">
            <w:pPr>
              <w:pStyle w:val="Bodytext20"/>
              <w:framePr w:w="3797" w:h="4085" w:wrap="none" w:vAnchor="page" w:hAnchor="page" w:x="4084" w:y="6117"/>
              <w:shd w:val="clear" w:color="auto" w:fill="auto"/>
              <w:spacing w:line="190" w:lineRule="exact"/>
              <w:ind w:left="20" w:firstLine="0"/>
              <w:jc w:val="center"/>
            </w:pPr>
            <w:r>
              <w:rPr>
                <w:rStyle w:val="Bodytext285ptBold"/>
              </w:rPr>
              <w:t>1,19</w:t>
            </w:r>
          </w:p>
        </w:tc>
      </w:tr>
      <w:tr w:rsidR="002C071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715" w:rsidRDefault="002F5B28">
            <w:pPr>
              <w:pStyle w:val="Bodytext20"/>
              <w:framePr w:w="3797" w:h="4085" w:wrap="none" w:vAnchor="page" w:hAnchor="page" w:x="4084" w:y="6117"/>
              <w:shd w:val="clear" w:color="auto" w:fill="auto"/>
              <w:spacing w:line="190" w:lineRule="exact"/>
              <w:ind w:right="20" w:firstLine="0"/>
              <w:jc w:val="center"/>
            </w:pPr>
            <w:r>
              <w:rPr>
                <w:rStyle w:val="Bodytext285ptBold"/>
              </w:rPr>
              <w:t>48-59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715" w:rsidRDefault="002F5B28">
            <w:pPr>
              <w:pStyle w:val="Bodytext20"/>
              <w:framePr w:w="3797" w:h="4085" w:wrap="none" w:vAnchor="page" w:hAnchor="page" w:x="4084" w:y="6117"/>
              <w:shd w:val="clear" w:color="auto" w:fill="auto"/>
              <w:spacing w:line="190" w:lineRule="exact"/>
              <w:ind w:left="20" w:firstLine="0"/>
              <w:jc w:val="center"/>
            </w:pPr>
            <w:r>
              <w:rPr>
                <w:rStyle w:val="Bodytext285ptBold"/>
              </w:rPr>
              <w:t>1,27</w:t>
            </w:r>
          </w:p>
        </w:tc>
      </w:tr>
      <w:tr w:rsidR="002C071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715" w:rsidRDefault="002F5B28">
            <w:pPr>
              <w:pStyle w:val="Bodytext20"/>
              <w:framePr w:w="3797" w:h="4085" w:wrap="none" w:vAnchor="page" w:hAnchor="page" w:x="4084" w:y="6117"/>
              <w:shd w:val="clear" w:color="auto" w:fill="auto"/>
              <w:spacing w:line="190" w:lineRule="exact"/>
              <w:ind w:right="20" w:firstLine="0"/>
              <w:jc w:val="center"/>
            </w:pPr>
            <w:r>
              <w:rPr>
                <w:rStyle w:val="Bodytext285ptBold"/>
              </w:rPr>
              <w:t>60-71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715" w:rsidRDefault="002F5B28">
            <w:pPr>
              <w:pStyle w:val="Bodytext20"/>
              <w:framePr w:w="3797" w:h="4085" w:wrap="none" w:vAnchor="page" w:hAnchor="page" w:x="4084" w:y="6117"/>
              <w:shd w:val="clear" w:color="auto" w:fill="auto"/>
              <w:spacing w:line="190" w:lineRule="exact"/>
              <w:ind w:left="20" w:firstLine="0"/>
              <w:jc w:val="center"/>
            </w:pPr>
            <w:r>
              <w:rPr>
                <w:rStyle w:val="Bodytext285ptBold"/>
              </w:rPr>
              <w:t>1,37</w:t>
            </w:r>
          </w:p>
        </w:tc>
      </w:tr>
      <w:tr w:rsidR="002C071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715" w:rsidRDefault="002F5B28">
            <w:pPr>
              <w:pStyle w:val="Bodytext20"/>
              <w:framePr w:w="3797" w:h="4085" w:wrap="none" w:vAnchor="page" w:hAnchor="page" w:x="4084" w:y="6117"/>
              <w:shd w:val="clear" w:color="auto" w:fill="auto"/>
              <w:spacing w:line="190" w:lineRule="exact"/>
              <w:ind w:right="20" w:firstLine="0"/>
              <w:jc w:val="center"/>
            </w:pPr>
            <w:r>
              <w:rPr>
                <w:rStyle w:val="Bodytext285ptBold"/>
              </w:rPr>
              <w:t>72-83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715" w:rsidRDefault="002F5B28">
            <w:pPr>
              <w:pStyle w:val="Bodytext20"/>
              <w:framePr w:w="3797" w:h="4085" w:wrap="none" w:vAnchor="page" w:hAnchor="page" w:x="4084" w:y="6117"/>
              <w:shd w:val="clear" w:color="auto" w:fill="auto"/>
              <w:spacing w:line="190" w:lineRule="exact"/>
              <w:ind w:left="20" w:firstLine="0"/>
              <w:jc w:val="center"/>
            </w:pPr>
            <w:r>
              <w:rPr>
                <w:rStyle w:val="Bodytext285ptBold"/>
              </w:rPr>
              <w:t>1,48</w:t>
            </w:r>
          </w:p>
        </w:tc>
      </w:tr>
      <w:tr w:rsidR="002C071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715" w:rsidRDefault="002F5B28">
            <w:pPr>
              <w:pStyle w:val="Bodytext20"/>
              <w:framePr w:w="3797" w:h="4085" w:wrap="none" w:vAnchor="page" w:hAnchor="page" w:x="4084" w:y="6117"/>
              <w:shd w:val="clear" w:color="auto" w:fill="auto"/>
              <w:spacing w:line="190" w:lineRule="exact"/>
              <w:ind w:right="20" w:firstLine="0"/>
              <w:jc w:val="center"/>
            </w:pPr>
            <w:r>
              <w:rPr>
                <w:rStyle w:val="Bodytext285ptBold"/>
              </w:rPr>
              <w:t>84-95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715" w:rsidRDefault="002F5B28">
            <w:pPr>
              <w:pStyle w:val="Bodytext20"/>
              <w:framePr w:w="3797" w:h="4085" w:wrap="none" w:vAnchor="page" w:hAnchor="page" w:x="4084" w:y="6117"/>
              <w:shd w:val="clear" w:color="auto" w:fill="auto"/>
              <w:spacing w:line="190" w:lineRule="exact"/>
              <w:ind w:left="20" w:firstLine="0"/>
              <w:jc w:val="center"/>
            </w:pPr>
            <w:r>
              <w:rPr>
                <w:rStyle w:val="Bodytext285ptBold"/>
              </w:rPr>
              <w:t>1,59</w:t>
            </w:r>
          </w:p>
        </w:tc>
      </w:tr>
      <w:tr w:rsidR="002C071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715" w:rsidRDefault="002F5B28">
            <w:pPr>
              <w:pStyle w:val="Bodytext20"/>
              <w:framePr w:w="3797" w:h="4085" w:wrap="none" w:vAnchor="page" w:hAnchor="page" w:x="4084" w:y="6117"/>
              <w:shd w:val="clear" w:color="auto" w:fill="auto"/>
              <w:spacing w:line="190" w:lineRule="exact"/>
              <w:ind w:right="20" w:firstLine="0"/>
              <w:jc w:val="center"/>
            </w:pPr>
            <w:r>
              <w:rPr>
                <w:rStyle w:val="Bodytext285ptBold"/>
              </w:rPr>
              <w:t>96 -107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715" w:rsidRDefault="002F5B28">
            <w:pPr>
              <w:pStyle w:val="Bodytext20"/>
              <w:framePr w:w="3797" w:h="4085" w:wrap="none" w:vAnchor="page" w:hAnchor="page" w:x="4084" w:y="6117"/>
              <w:shd w:val="clear" w:color="auto" w:fill="auto"/>
              <w:spacing w:line="190" w:lineRule="exact"/>
              <w:ind w:left="20" w:firstLine="0"/>
              <w:jc w:val="center"/>
            </w:pPr>
            <w:r>
              <w:rPr>
                <w:rStyle w:val="Bodytext285ptBold"/>
              </w:rPr>
              <w:t>1,70</w:t>
            </w:r>
          </w:p>
        </w:tc>
      </w:tr>
      <w:tr w:rsidR="002C071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715" w:rsidRDefault="002F5B28">
            <w:pPr>
              <w:pStyle w:val="Bodytext20"/>
              <w:framePr w:w="3797" w:h="4085" w:wrap="none" w:vAnchor="page" w:hAnchor="page" w:x="4084" w:y="6117"/>
              <w:shd w:val="clear" w:color="auto" w:fill="auto"/>
              <w:spacing w:line="190" w:lineRule="exact"/>
              <w:ind w:right="20" w:firstLine="0"/>
              <w:jc w:val="center"/>
            </w:pPr>
            <w:r>
              <w:rPr>
                <w:rStyle w:val="Bodytext285ptBold"/>
              </w:rPr>
              <w:t>108 -119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715" w:rsidRDefault="002F5B28">
            <w:pPr>
              <w:pStyle w:val="Bodytext20"/>
              <w:framePr w:w="3797" w:h="4085" w:wrap="none" w:vAnchor="page" w:hAnchor="page" w:x="4084" w:y="6117"/>
              <w:shd w:val="clear" w:color="auto" w:fill="auto"/>
              <w:spacing w:line="190" w:lineRule="exact"/>
              <w:ind w:left="20" w:firstLine="0"/>
              <w:jc w:val="center"/>
            </w:pPr>
            <w:r>
              <w:rPr>
                <w:rStyle w:val="Bodytext285ptBold"/>
              </w:rPr>
              <w:t>1,81</w:t>
            </w:r>
          </w:p>
        </w:tc>
      </w:tr>
      <w:tr w:rsidR="002C071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715" w:rsidRDefault="002F5B28">
            <w:pPr>
              <w:pStyle w:val="Bodytext20"/>
              <w:framePr w:w="3797" w:h="4085" w:wrap="none" w:vAnchor="page" w:hAnchor="page" w:x="4084" w:y="6117"/>
              <w:shd w:val="clear" w:color="auto" w:fill="auto"/>
              <w:spacing w:line="190" w:lineRule="exact"/>
              <w:ind w:right="20" w:firstLine="0"/>
              <w:jc w:val="center"/>
            </w:pPr>
            <w:r>
              <w:rPr>
                <w:rStyle w:val="Bodytext285ptBold"/>
              </w:rPr>
              <w:t>120 -131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715" w:rsidRDefault="002F5B28">
            <w:pPr>
              <w:pStyle w:val="Bodytext20"/>
              <w:framePr w:w="3797" w:h="4085" w:wrap="none" w:vAnchor="page" w:hAnchor="page" w:x="4084" w:y="6117"/>
              <w:shd w:val="clear" w:color="auto" w:fill="auto"/>
              <w:spacing w:line="190" w:lineRule="exact"/>
              <w:ind w:left="20" w:firstLine="0"/>
              <w:jc w:val="center"/>
            </w:pPr>
            <w:r>
              <w:rPr>
                <w:rStyle w:val="Bodytext285ptBold"/>
              </w:rPr>
              <w:t>1,92</w:t>
            </w:r>
          </w:p>
        </w:tc>
      </w:tr>
      <w:tr w:rsidR="002C071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0715" w:rsidRDefault="002F5B28">
            <w:pPr>
              <w:pStyle w:val="Bodytext20"/>
              <w:framePr w:w="3797" w:h="4085" w:wrap="none" w:vAnchor="page" w:hAnchor="page" w:x="4084" w:y="6117"/>
              <w:shd w:val="clear" w:color="auto" w:fill="auto"/>
              <w:spacing w:line="190" w:lineRule="exact"/>
              <w:ind w:right="20" w:firstLine="0"/>
              <w:jc w:val="center"/>
            </w:pPr>
            <w:r>
              <w:rPr>
                <w:rStyle w:val="Bodytext285ptBold"/>
              </w:rPr>
              <w:t>132 - a více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715" w:rsidRDefault="002F5B28">
            <w:pPr>
              <w:pStyle w:val="Bodytext20"/>
              <w:framePr w:w="3797" w:h="4085" w:wrap="none" w:vAnchor="page" w:hAnchor="page" w:x="4084" w:y="6117"/>
              <w:shd w:val="clear" w:color="auto" w:fill="auto"/>
              <w:spacing w:line="190" w:lineRule="exact"/>
              <w:ind w:left="20" w:firstLine="0"/>
              <w:jc w:val="center"/>
            </w:pPr>
            <w:r>
              <w:rPr>
                <w:rStyle w:val="Bodytext285ptBold"/>
              </w:rPr>
              <w:t>2,01</w:t>
            </w:r>
          </w:p>
        </w:tc>
      </w:tr>
    </w:tbl>
    <w:p w:rsidR="002C0715" w:rsidRDefault="002F5B28">
      <w:pPr>
        <w:pStyle w:val="Bodytext20"/>
        <w:framePr w:w="8813" w:h="753" w:hRule="exact" w:wrap="none" w:vAnchor="page" w:hAnchor="page" w:x="1473" w:y="10474"/>
        <w:numPr>
          <w:ilvl w:val="0"/>
          <w:numId w:val="11"/>
        </w:numPr>
        <w:shd w:val="clear" w:color="auto" w:fill="auto"/>
        <w:tabs>
          <w:tab w:val="left" w:pos="688"/>
        </w:tabs>
        <w:spacing w:line="230" w:lineRule="exact"/>
        <w:ind w:left="680" w:hanging="320"/>
        <w:jc w:val="both"/>
      </w:pPr>
      <w:r>
        <w:t xml:space="preserve">Koeficientem stáří vozidla bude upravena výše pojistného libovolného vozidla, ke kterému bude sjednáno strojní pojištění a které vstoupí do pojištění dle Pojistné smlouvy </w:t>
      </w:r>
      <w:r>
        <w:t>nejdříve dnem účinnosti tohoto Dodatku.</w:t>
      </w:r>
    </w:p>
    <w:p w:rsidR="002C0715" w:rsidRDefault="002F5B28">
      <w:pPr>
        <w:pStyle w:val="Heading410"/>
        <w:framePr w:w="8813" w:h="2270" w:hRule="exact" w:wrap="none" w:vAnchor="page" w:hAnchor="page" w:x="1473" w:y="11962"/>
        <w:shd w:val="clear" w:color="auto" w:fill="auto"/>
        <w:spacing w:line="235" w:lineRule="exact"/>
        <w:ind w:right="320"/>
        <w:jc w:val="center"/>
      </w:pPr>
      <w:bookmarkStart w:id="9" w:name="bookmark9"/>
      <w:r>
        <w:t>Článek IV.</w:t>
      </w:r>
      <w:bookmarkEnd w:id="9"/>
    </w:p>
    <w:p w:rsidR="002C0715" w:rsidRDefault="002F5B28">
      <w:pPr>
        <w:pStyle w:val="Heading410"/>
        <w:framePr w:w="8813" w:h="2270" w:hRule="exact" w:wrap="none" w:vAnchor="page" w:hAnchor="page" w:x="1473" w:y="11962"/>
        <w:shd w:val="clear" w:color="auto" w:fill="auto"/>
        <w:spacing w:after="128" w:line="235" w:lineRule="exact"/>
        <w:ind w:left="20"/>
        <w:jc w:val="center"/>
      </w:pPr>
      <w:bookmarkStart w:id="10" w:name="bookmark10"/>
      <w:r>
        <w:t>Úprava maximální výše pojistné částky a limitu pojistného plnění</w:t>
      </w:r>
      <w:r>
        <w:br/>
        <w:t>v doplňkovém pojištění KoopGAP</w:t>
      </w:r>
      <w:bookmarkEnd w:id="10"/>
    </w:p>
    <w:p w:rsidR="002C0715" w:rsidRDefault="002F5B28">
      <w:pPr>
        <w:pStyle w:val="Bodytext20"/>
        <w:framePr w:w="8813" w:h="2270" w:hRule="exact" w:wrap="none" w:vAnchor="page" w:hAnchor="page" w:x="1473" w:y="11962"/>
        <w:shd w:val="clear" w:color="auto" w:fill="auto"/>
        <w:spacing w:after="76" w:line="200" w:lineRule="exact"/>
        <w:ind w:left="680" w:firstLine="0"/>
      </w:pPr>
      <w:r>
        <w:t>Tímto Dodatkem se upravuje:</w:t>
      </w:r>
    </w:p>
    <w:p w:rsidR="002C0715" w:rsidRDefault="002F5B28">
      <w:pPr>
        <w:pStyle w:val="Bodytext20"/>
        <w:framePr w:w="8813" w:h="2270" w:hRule="exact" w:wrap="none" w:vAnchor="page" w:hAnchor="page" w:x="1473" w:y="11962"/>
        <w:numPr>
          <w:ilvl w:val="0"/>
          <w:numId w:val="12"/>
        </w:numPr>
        <w:shd w:val="clear" w:color="auto" w:fill="auto"/>
        <w:tabs>
          <w:tab w:val="left" w:pos="1324"/>
        </w:tabs>
        <w:spacing w:after="96" w:line="230" w:lineRule="exact"/>
        <w:ind w:left="1320" w:hanging="320"/>
      </w:pPr>
      <w:r>
        <w:t xml:space="preserve">limit pojistného plnění z doplňkového pojištění KoopGAP, který nově činí 55 % z pořizovací ceny vozidla, </w:t>
      </w:r>
      <w:r w:rsidRPr="00634AED">
        <w:rPr>
          <w:lang w:eastAsia="en-US" w:bidi="en-US"/>
        </w:rPr>
        <w:t xml:space="preserve">max. </w:t>
      </w:r>
      <w:r>
        <w:t xml:space="preserve">však </w:t>
      </w:r>
      <w:r>
        <w:rPr>
          <w:rStyle w:val="Bodytext2Bold"/>
        </w:rPr>
        <w:t>1100 000 Kč</w:t>
      </w:r>
    </w:p>
    <w:p w:rsidR="002C0715" w:rsidRDefault="002F5B28">
      <w:pPr>
        <w:pStyle w:val="Bodytext20"/>
        <w:framePr w:w="8813" w:h="2270" w:hRule="exact" w:wrap="none" w:vAnchor="page" w:hAnchor="page" w:x="1473" w:y="11962"/>
        <w:numPr>
          <w:ilvl w:val="0"/>
          <w:numId w:val="12"/>
        </w:numPr>
        <w:shd w:val="clear" w:color="auto" w:fill="auto"/>
        <w:tabs>
          <w:tab w:val="left" w:pos="1324"/>
        </w:tabs>
        <w:spacing w:line="235" w:lineRule="exact"/>
        <w:ind w:left="1320" w:hanging="320"/>
      </w:pPr>
      <w:r>
        <w:t xml:space="preserve">maximální výše pojistné částky pojištěného vozidla pro výpočet pojistného za doplňkové pojištění KoopGAP, která nově činí </w:t>
      </w:r>
      <w:r>
        <w:rPr>
          <w:rStyle w:val="Bodytext2Bold"/>
        </w:rPr>
        <w:t>2 000 0</w:t>
      </w:r>
      <w:r>
        <w:rPr>
          <w:rStyle w:val="Bodytext2Bold"/>
        </w:rPr>
        <w:t>00 Kč.</w:t>
      </w:r>
    </w:p>
    <w:p w:rsidR="002C0715" w:rsidRDefault="002F5B28">
      <w:pPr>
        <w:pStyle w:val="Headerorfooter10"/>
        <w:framePr w:wrap="none" w:vAnchor="page" w:hAnchor="page" w:x="5413" w:y="15443"/>
        <w:shd w:val="clear" w:color="auto" w:fill="auto"/>
      </w:pPr>
      <w:r>
        <w:t>strana 3 / 6</w:t>
      </w:r>
    </w:p>
    <w:p w:rsidR="002C0715" w:rsidRDefault="002C0715">
      <w:pPr>
        <w:rPr>
          <w:sz w:val="2"/>
          <w:szCs w:val="2"/>
        </w:rPr>
        <w:sectPr w:rsidR="002C071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C0715" w:rsidRDefault="002F5B28">
      <w:pPr>
        <w:pStyle w:val="Heading410"/>
        <w:framePr w:w="8813" w:h="12442" w:hRule="exact" w:wrap="none" w:vAnchor="page" w:hAnchor="page" w:x="1473" w:y="2501"/>
        <w:shd w:val="clear" w:color="auto" w:fill="auto"/>
        <w:spacing w:line="235" w:lineRule="exact"/>
        <w:ind w:right="60"/>
        <w:jc w:val="center"/>
      </w:pPr>
      <w:bookmarkStart w:id="11" w:name="bookmark11"/>
      <w:r>
        <w:t>Článek V.</w:t>
      </w:r>
      <w:bookmarkEnd w:id="11"/>
    </w:p>
    <w:p w:rsidR="002C0715" w:rsidRDefault="002F5B28">
      <w:pPr>
        <w:pStyle w:val="Heading410"/>
        <w:framePr w:w="8813" w:h="12442" w:hRule="exact" w:wrap="none" w:vAnchor="page" w:hAnchor="page" w:x="1473" w:y="2501"/>
        <w:shd w:val="clear" w:color="auto" w:fill="auto"/>
        <w:spacing w:after="116" w:line="235" w:lineRule="exact"/>
        <w:ind w:left="320"/>
        <w:jc w:val="center"/>
      </w:pPr>
      <w:bookmarkStart w:id="12" w:name="bookmark12"/>
      <w:r>
        <w:t>Úprava limitů pojistného plněni</w:t>
      </w:r>
      <w:r>
        <w:br/>
        <w:t>u pojištěni odpovědnosti za újmu způsobenou provozem vozidla</w:t>
      </w:r>
      <w:bookmarkEnd w:id="12"/>
    </w:p>
    <w:p w:rsidR="002C0715" w:rsidRDefault="002F5B28">
      <w:pPr>
        <w:pStyle w:val="Bodytext20"/>
        <w:framePr w:w="8813" w:h="12442" w:hRule="exact" w:wrap="none" w:vAnchor="page" w:hAnchor="page" w:x="1473" w:y="2501"/>
        <w:numPr>
          <w:ilvl w:val="0"/>
          <w:numId w:val="13"/>
        </w:numPr>
        <w:shd w:val="clear" w:color="auto" w:fill="auto"/>
        <w:tabs>
          <w:tab w:val="left" w:pos="561"/>
        </w:tabs>
        <w:spacing w:after="39"/>
        <w:ind w:left="560" w:right="180" w:hanging="320"/>
        <w:jc w:val="both"/>
      </w:pPr>
      <w:r>
        <w:t xml:space="preserve">SmLuvní strany sjednávají v případě pojištění odpovědností možnost ujednání libovolné varianty limitů pojistného plnění z následujících kombinací (újma na </w:t>
      </w:r>
      <w:r>
        <w:rPr>
          <w:rStyle w:val="Bodytext2Bold"/>
        </w:rPr>
        <w:t xml:space="preserve">zdraví nebo usmrcením </w:t>
      </w:r>
      <w:r>
        <w:t xml:space="preserve">na každého zraněného nebo usmrceného, viz § </w:t>
      </w:r>
      <w:r>
        <w:rPr>
          <w:rStyle w:val="Bodytext2Bold"/>
        </w:rPr>
        <w:t xml:space="preserve">6 </w:t>
      </w:r>
      <w:r>
        <w:t xml:space="preserve">odst. </w:t>
      </w:r>
      <w:r>
        <w:rPr>
          <w:rStyle w:val="Bodytext2Bold"/>
        </w:rPr>
        <w:t xml:space="preserve">2 </w:t>
      </w:r>
      <w:r>
        <w:t xml:space="preserve">písm. a) zákona </w:t>
      </w:r>
      <w:r>
        <w:rPr>
          <w:rStyle w:val="Bodytext2Bold"/>
        </w:rPr>
        <w:t>POV / věc</w:t>
      </w:r>
      <w:r>
        <w:rPr>
          <w:rStyle w:val="Bodytext2Bold"/>
        </w:rPr>
        <w:t xml:space="preserve">ná škoda a ušlý zisk </w:t>
      </w:r>
      <w:r>
        <w:t xml:space="preserve">bez ohledu na počet poškozených, víz § </w:t>
      </w:r>
      <w:r>
        <w:rPr>
          <w:rStyle w:val="Bodytext2Bold"/>
        </w:rPr>
        <w:t xml:space="preserve">6 </w:t>
      </w:r>
      <w:r>
        <w:t xml:space="preserve">odst. </w:t>
      </w:r>
      <w:r>
        <w:rPr>
          <w:rStyle w:val="Bodytext2Bold"/>
        </w:rPr>
        <w:t xml:space="preserve">2 </w:t>
      </w:r>
      <w:r>
        <w:t xml:space="preserve">písm. b) a c) zákona </w:t>
      </w:r>
      <w:r>
        <w:rPr>
          <w:rStyle w:val="Bodytext2Bold"/>
        </w:rPr>
        <w:t>POV):</w:t>
      </w:r>
    </w:p>
    <w:p w:rsidR="002C0715" w:rsidRDefault="002F5B28">
      <w:pPr>
        <w:pStyle w:val="Bodytext20"/>
        <w:framePr w:w="8813" w:h="12442" w:hRule="exact" w:wrap="none" w:vAnchor="page" w:hAnchor="page" w:x="1473" w:y="2501"/>
        <w:numPr>
          <w:ilvl w:val="0"/>
          <w:numId w:val="14"/>
        </w:numPr>
        <w:shd w:val="clear" w:color="auto" w:fill="auto"/>
        <w:tabs>
          <w:tab w:val="left" w:pos="1206"/>
        </w:tabs>
        <w:spacing w:line="341" w:lineRule="exact"/>
        <w:ind w:left="880" w:firstLine="0"/>
      </w:pPr>
      <w:r>
        <w:t>70 000 000 Kč/70 000 000 Kč,</w:t>
      </w:r>
    </w:p>
    <w:p w:rsidR="002C0715" w:rsidRDefault="002F5B28">
      <w:pPr>
        <w:pStyle w:val="Bodytext20"/>
        <w:framePr w:w="8813" w:h="12442" w:hRule="exact" w:wrap="none" w:vAnchor="page" w:hAnchor="page" w:x="1473" w:y="2501"/>
        <w:numPr>
          <w:ilvl w:val="0"/>
          <w:numId w:val="14"/>
        </w:numPr>
        <w:shd w:val="clear" w:color="auto" w:fill="auto"/>
        <w:tabs>
          <w:tab w:val="left" w:pos="1206"/>
        </w:tabs>
        <w:spacing w:line="341" w:lineRule="exact"/>
        <w:ind w:left="880" w:right="4720" w:firstLine="0"/>
      </w:pPr>
      <w:r>
        <w:t>100 000000 Kč/100000 000 Kč, c 150 000000 Kč/150 000 000 Kč.</w:t>
      </w:r>
    </w:p>
    <w:p w:rsidR="002C0715" w:rsidRDefault="002F5B28">
      <w:pPr>
        <w:pStyle w:val="Bodytext20"/>
        <w:framePr w:w="8813" w:h="12442" w:hRule="exact" w:wrap="none" w:vAnchor="page" w:hAnchor="page" w:x="1473" w:y="2501"/>
        <w:numPr>
          <w:ilvl w:val="0"/>
          <w:numId w:val="13"/>
        </w:numPr>
        <w:shd w:val="clear" w:color="auto" w:fill="auto"/>
        <w:tabs>
          <w:tab w:val="left" w:pos="561"/>
        </w:tabs>
        <w:spacing w:after="120" w:line="235" w:lineRule="exact"/>
        <w:ind w:left="560" w:right="180" w:hanging="320"/>
        <w:jc w:val="both"/>
      </w:pPr>
      <w:r>
        <w:t xml:space="preserve">Výše limitů pojistného plnění u konkrétního pojištěného vozidla bude </w:t>
      </w:r>
      <w:r>
        <w:t>pojistníkem uvedena v přihlášce vozidla do pojištění dle Pojistné smlouvy.</w:t>
      </w:r>
    </w:p>
    <w:p w:rsidR="002C0715" w:rsidRDefault="002F5B28">
      <w:pPr>
        <w:pStyle w:val="Bodytext20"/>
        <w:framePr w:w="8813" w:h="12442" w:hRule="exact" w:wrap="none" w:vAnchor="page" w:hAnchor="page" w:x="1473" w:y="2501"/>
        <w:numPr>
          <w:ilvl w:val="0"/>
          <w:numId w:val="13"/>
        </w:numPr>
        <w:shd w:val="clear" w:color="auto" w:fill="auto"/>
        <w:tabs>
          <w:tab w:val="left" w:pos="561"/>
        </w:tabs>
        <w:spacing w:after="116" w:line="235" w:lineRule="exact"/>
        <w:ind w:left="560" w:right="180" w:hanging="320"/>
        <w:jc w:val="both"/>
      </w:pPr>
      <w:r>
        <w:t>Smluvní strany potvrzují, že bez ohledu na textaci Pojistné smlouvy postupovaly ve vzájemné shodě způsobem uvedeným v odst. 1 a 2 tohoto článku také v období mezi uzavřením Pojistné</w:t>
      </w:r>
      <w:r>
        <w:t xml:space="preserve"> smlouvy a uzavřením tohoto Dodatku. Pro vyloučení všech pochybností proto smluvní strany sjednávají možnost ujednání limitů dle odst. 1 tohoto článku zpětně k počátku účinnosti Pojistné smlouvy. Toto ustanovení není dotčeno ujednáním o platnosti a účinnos</w:t>
      </w:r>
      <w:r>
        <w:t>ti tohoto Dodatku.</w:t>
      </w:r>
    </w:p>
    <w:p w:rsidR="002C0715" w:rsidRDefault="002F5B28">
      <w:pPr>
        <w:pStyle w:val="Bodytext20"/>
        <w:framePr w:w="8813" w:h="12442" w:hRule="exact" w:wrap="none" w:vAnchor="page" w:hAnchor="page" w:x="1473" w:y="2501"/>
        <w:numPr>
          <w:ilvl w:val="0"/>
          <w:numId w:val="13"/>
        </w:numPr>
        <w:shd w:val="clear" w:color="auto" w:fill="auto"/>
        <w:tabs>
          <w:tab w:val="left" w:pos="561"/>
        </w:tabs>
        <w:spacing w:after="432"/>
        <w:ind w:left="560" w:right="180" w:hanging="320"/>
        <w:jc w:val="both"/>
      </w:pPr>
      <w:r>
        <w:t xml:space="preserve">Sazby pojistného pro jednotlivé limity pojistného plnění dle odst 1 tohoto článku jsou uvedeny </w:t>
      </w:r>
      <w:r>
        <w:rPr>
          <w:rStyle w:val="Bodytext2Bold"/>
        </w:rPr>
        <w:t xml:space="preserve">v příloze </w:t>
      </w:r>
      <w:r>
        <w:rPr>
          <w:rStyle w:val="Bodytext2Italic"/>
        </w:rPr>
        <w:t>i.</w:t>
      </w:r>
      <w:r>
        <w:t xml:space="preserve"> </w:t>
      </w:r>
      <w:r>
        <w:rPr>
          <w:rStyle w:val="Bodytext2Bold"/>
        </w:rPr>
        <w:t xml:space="preserve">1 </w:t>
      </w:r>
      <w:r>
        <w:t>tohoto Dodatku - Sazebník pro pojištění odpovědnosti za újmu způsobenou provozem vozidla.</w:t>
      </w:r>
    </w:p>
    <w:p w:rsidR="002C0715" w:rsidRDefault="002F5B28">
      <w:pPr>
        <w:pStyle w:val="Heading410"/>
        <w:framePr w:w="8813" w:h="12442" w:hRule="exact" w:wrap="none" w:vAnchor="page" w:hAnchor="page" w:x="1473" w:y="2501"/>
        <w:shd w:val="clear" w:color="auto" w:fill="auto"/>
        <w:spacing w:after="92" w:line="200" w:lineRule="exact"/>
        <w:ind w:right="60"/>
        <w:jc w:val="center"/>
      </w:pPr>
      <w:bookmarkStart w:id="13" w:name="bookmark13"/>
      <w:r>
        <w:t>Článek VI. Způsob komunikace</w:t>
      </w:r>
      <w:bookmarkEnd w:id="13"/>
    </w:p>
    <w:p w:rsidR="002C0715" w:rsidRDefault="002F5B28">
      <w:pPr>
        <w:pStyle w:val="Bodytext20"/>
        <w:framePr w:w="8813" w:h="12442" w:hRule="exact" w:wrap="none" w:vAnchor="page" w:hAnchor="page" w:x="1473" w:y="2501"/>
        <w:shd w:val="clear" w:color="auto" w:fill="auto"/>
        <w:spacing w:after="120" w:line="235" w:lineRule="exact"/>
        <w:ind w:left="560" w:right="2660" w:firstLine="0"/>
      </w:pPr>
      <w:r>
        <w:t>Pojistník a pojistitel sjednávají následující způsob komunikace: veškerá komunikace v elektronické podobě včetně zelených karet.</w:t>
      </w:r>
    </w:p>
    <w:p w:rsidR="002C0715" w:rsidRDefault="002F5B28">
      <w:pPr>
        <w:pStyle w:val="Bodytext20"/>
        <w:framePr w:w="8813" w:h="12442" w:hRule="exact" w:wrap="none" w:vAnchor="page" w:hAnchor="page" w:x="1473" w:y="2501"/>
        <w:shd w:val="clear" w:color="auto" w:fill="auto"/>
        <w:spacing w:after="428" w:line="235" w:lineRule="exact"/>
        <w:ind w:left="560" w:right="180" w:firstLine="0"/>
        <w:jc w:val="both"/>
      </w:pPr>
      <w:r>
        <w:t xml:space="preserve">Je-li sjednán </w:t>
      </w:r>
      <w:r>
        <w:rPr>
          <w:rStyle w:val="Bodytext2Bold"/>
        </w:rPr>
        <w:t xml:space="preserve">elektronický způsob komunikace, </w:t>
      </w:r>
      <w:r>
        <w:t>souhlasí pojistník se zasíláním příslušných dokumentů dle předchozího odstavce na</w:t>
      </w:r>
      <w:r>
        <w:t xml:space="preserve"> e-mailovou adresu </w:t>
      </w:r>
      <w:hyperlink r:id="rId8" w:history="1">
        <w:r w:rsidRPr="00634AED">
          <w:rPr>
            <w:rStyle w:val="Bodytext2Bold"/>
            <w:lang w:eastAsia="en-US" w:bidi="en-US"/>
          </w:rPr>
          <w:t>mwinkelhoferova@sambrokers.cz</w:t>
        </w:r>
      </w:hyperlink>
      <w:r w:rsidRPr="00634AED">
        <w:rPr>
          <w:rStyle w:val="Bodytext2Bold"/>
          <w:lang w:eastAsia="en-US" w:bidi="en-US"/>
        </w:rPr>
        <w:t xml:space="preserve">. </w:t>
      </w:r>
      <w:r>
        <w:t>Pojistník současně prohlašuje, že tato e-mailová adresa je adresou platnou a funkční, a že tuto adresu pojistník, přtp. pojišťovací makléř pravidelně k ele</w:t>
      </w:r>
      <w:r>
        <w:t>ktronické komunikaci užívá. Jde-li o e- mailovou adresu makléře, pojistník prohlašuje, že mu pojišťovací makléř funkčnost adresy potvrdil.</w:t>
      </w:r>
    </w:p>
    <w:p w:rsidR="002C0715" w:rsidRDefault="002F5B28">
      <w:pPr>
        <w:pStyle w:val="Heading410"/>
        <w:framePr w:w="8813" w:h="12442" w:hRule="exact" w:wrap="none" w:vAnchor="page" w:hAnchor="page" w:x="1473" w:y="2501"/>
        <w:shd w:val="clear" w:color="auto" w:fill="auto"/>
        <w:spacing w:after="372" w:line="200" w:lineRule="exact"/>
        <w:ind w:right="60"/>
        <w:jc w:val="center"/>
      </w:pPr>
      <w:bookmarkStart w:id="14" w:name="bookmark14"/>
      <w:r>
        <w:t>článek VII. Účinnost Dodatku</w:t>
      </w:r>
      <w:bookmarkEnd w:id="14"/>
    </w:p>
    <w:p w:rsidR="002C0715" w:rsidRDefault="002F5B28">
      <w:pPr>
        <w:pStyle w:val="Bodytext20"/>
        <w:framePr w:w="8813" w:h="12442" w:hRule="exact" w:wrap="none" w:vAnchor="page" w:hAnchor="page" w:x="1473" w:y="2501"/>
        <w:numPr>
          <w:ilvl w:val="0"/>
          <w:numId w:val="15"/>
        </w:numPr>
        <w:shd w:val="clear" w:color="auto" w:fill="auto"/>
        <w:tabs>
          <w:tab w:val="left" w:pos="561"/>
        </w:tabs>
        <w:spacing w:after="124" w:line="235" w:lineRule="exact"/>
        <w:ind w:left="560" w:right="180" w:hanging="320"/>
        <w:jc w:val="both"/>
      </w:pPr>
      <w:r>
        <w:t xml:space="preserve">Tento Dodatek nabývá platnosti dnem podpisu oběma smluvními stranami a účinnosti dnem </w:t>
      </w:r>
      <w:r>
        <w:rPr>
          <w:rStyle w:val="Bodytext2Bold"/>
        </w:rPr>
        <w:t>31</w:t>
      </w:r>
      <w:r>
        <w:rPr>
          <w:rStyle w:val="Bodytext2Bold"/>
        </w:rPr>
        <w:t xml:space="preserve">.12.2021. </w:t>
      </w:r>
      <w:r>
        <w:t>V dalším trvání se platnost a účinnost tohoto Dodatku řídí platností a účinností Pojistné smlouvy.</w:t>
      </w:r>
    </w:p>
    <w:p w:rsidR="002C0715" w:rsidRDefault="002F5B28">
      <w:pPr>
        <w:pStyle w:val="Bodytext20"/>
        <w:framePr w:w="8813" w:h="12442" w:hRule="exact" w:wrap="none" w:vAnchor="page" w:hAnchor="page" w:x="1473" w:y="2501"/>
        <w:numPr>
          <w:ilvl w:val="0"/>
          <w:numId w:val="15"/>
        </w:numPr>
        <w:shd w:val="clear" w:color="auto" w:fill="auto"/>
        <w:tabs>
          <w:tab w:val="left" w:pos="561"/>
        </w:tabs>
        <w:spacing w:after="424" w:line="230" w:lineRule="exact"/>
        <w:ind w:left="560" w:right="180" w:hanging="320"/>
        <w:jc w:val="both"/>
      </w:pPr>
      <w:r>
        <w:t>Je-li tento Dodatek sjednán na dobu neurčitou, není tím dotčeno právo pojistitele na úpravu výše pojistného v souladu s Pojistnou smlouvou.</w:t>
      </w:r>
    </w:p>
    <w:p w:rsidR="002C0715" w:rsidRDefault="002F5B28">
      <w:pPr>
        <w:pStyle w:val="Heading410"/>
        <w:framePr w:w="8813" w:h="12442" w:hRule="exact" w:wrap="none" w:vAnchor="page" w:hAnchor="page" w:x="1473" w:y="2501"/>
        <w:shd w:val="clear" w:color="auto" w:fill="auto"/>
        <w:spacing w:after="92" w:line="200" w:lineRule="exact"/>
        <w:ind w:right="60"/>
        <w:jc w:val="center"/>
      </w:pPr>
      <w:bookmarkStart w:id="15" w:name="bookmark15"/>
      <w:r>
        <w:t xml:space="preserve">Článek </w:t>
      </w:r>
      <w:r>
        <w:t>VIII. Údaje o pojistném</w:t>
      </w:r>
      <w:bookmarkEnd w:id="15"/>
    </w:p>
    <w:p w:rsidR="002C0715" w:rsidRDefault="002F5B28">
      <w:pPr>
        <w:pStyle w:val="Bodytext20"/>
        <w:framePr w:w="8813" w:h="12442" w:hRule="exact" w:wrap="none" w:vAnchor="page" w:hAnchor="page" w:x="1473" w:y="2501"/>
        <w:shd w:val="clear" w:color="auto" w:fill="auto"/>
        <w:spacing w:line="235" w:lineRule="exact"/>
        <w:ind w:left="560" w:right="180" w:hanging="320"/>
        <w:jc w:val="both"/>
      </w:pPr>
      <w:r>
        <w:t>1. Celkové pojistné po zohlednění změn sjednaných v tomto Dodatku bude stanoveno pojistitelem v prvním předpisu pojistného, který pojistitel pojistníkovi po uzavření tohoto Dodatku vystaví, a to podle stavu vozidel k datu počátku zm</w:t>
      </w:r>
      <w:r>
        <w:t>ěny (ve vyúčtování budou zohledněny změny pojištění,</w:t>
      </w:r>
    </w:p>
    <w:p w:rsidR="002C0715" w:rsidRDefault="002F5B28">
      <w:pPr>
        <w:pStyle w:val="Headerorfooter10"/>
        <w:framePr w:wrap="none" w:vAnchor="page" w:hAnchor="page" w:x="5317" w:y="15434"/>
        <w:shd w:val="clear" w:color="auto" w:fill="auto"/>
      </w:pPr>
      <w:r>
        <w:t>strana 4 / 6</w:t>
      </w:r>
    </w:p>
    <w:p w:rsidR="002C0715" w:rsidRDefault="002C0715">
      <w:pPr>
        <w:rPr>
          <w:sz w:val="2"/>
          <w:szCs w:val="2"/>
        </w:rPr>
        <w:sectPr w:rsidR="002C071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C0715" w:rsidRDefault="002F5B28">
      <w:pPr>
        <w:pStyle w:val="Bodytext20"/>
        <w:framePr w:w="8549" w:h="5914" w:hRule="exact" w:wrap="none" w:vAnchor="page" w:hAnchor="page" w:x="1617" w:y="2484"/>
        <w:shd w:val="clear" w:color="auto" w:fill="auto"/>
        <w:spacing w:after="116" w:line="230" w:lineRule="exact"/>
        <w:ind w:left="360" w:firstLine="0"/>
        <w:jc w:val="both"/>
      </w:pPr>
      <w:r>
        <w:t>ke kterým došlo v průběhu předchozího pojistného období a které nebyly zohledněny v předcházejících předpisech pojistného).</w:t>
      </w:r>
    </w:p>
    <w:p w:rsidR="002C0715" w:rsidRDefault="002F5B28">
      <w:pPr>
        <w:pStyle w:val="Bodytext20"/>
        <w:framePr w:w="8549" w:h="5914" w:hRule="exact" w:wrap="none" w:vAnchor="page" w:hAnchor="page" w:x="1617" w:y="2484"/>
        <w:numPr>
          <w:ilvl w:val="0"/>
          <w:numId w:val="16"/>
        </w:numPr>
        <w:shd w:val="clear" w:color="auto" w:fill="auto"/>
        <w:tabs>
          <w:tab w:val="left" w:pos="322"/>
        </w:tabs>
        <w:spacing w:after="120" w:line="235" w:lineRule="exact"/>
        <w:ind w:left="360"/>
        <w:jc w:val="both"/>
      </w:pPr>
      <w:r>
        <w:t>Veškeré předpisy pojistného a případné upo</w:t>
      </w:r>
      <w:r>
        <w:t>mínky k zaplacení pojistného budou zasílány v souladu s ujednáním Pojistné smlouvy a případných předchozích dodatků.</w:t>
      </w:r>
    </w:p>
    <w:p w:rsidR="002C0715" w:rsidRDefault="002F5B28">
      <w:pPr>
        <w:pStyle w:val="Bodytext20"/>
        <w:framePr w:w="8549" w:h="5914" w:hRule="exact" w:wrap="none" w:vAnchor="page" w:hAnchor="page" w:x="1617" w:y="2484"/>
        <w:numPr>
          <w:ilvl w:val="0"/>
          <w:numId w:val="16"/>
        </w:numPr>
        <w:shd w:val="clear" w:color="auto" w:fill="auto"/>
        <w:tabs>
          <w:tab w:val="left" w:pos="322"/>
        </w:tabs>
        <w:spacing w:after="148" w:line="235" w:lineRule="exact"/>
        <w:ind w:left="360"/>
        <w:jc w:val="both"/>
      </w:pPr>
      <w:r>
        <w:t>Pojistník je povinen platit pojistné v souladu s ujednáním Pojistné smlouvy ve znění pozdějších dodatků.</w:t>
      </w:r>
    </w:p>
    <w:p w:rsidR="002C0715" w:rsidRDefault="002F5B28">
      <w:pPr>
        <w:pStyle w:val="Heading410"/>
        <w:framePr w:w="8549" w:h="5914" w:hRule="exact" w:wrap="none" w:vAnchor="page" w:hAnchor="page" w:x="1617" w:y="2484"/>
        <w:shd w:val="clear" w:color="auto" w:fill="auto"/>
        <w:spacing w:after="92" w:line="200" w:lineRule="exact"/>
        <w:ind w:right="20"/>
        <w:jc w:val="center"/>
      </w:pPr>
      <w:bookmarkStart w:id="16" w:name="bookmark16"/>
      <w:r>
        <w:t xml:space="preserve">Článek IX. Zpracování osobních </w:t>
      </w:r>
      <w:r>
        <w:t>údajů</w:t>
      </w:r>
      <w:bookmarkEnd w:id="16"/>
    </w:p>
    <w:p w:rsidR="002C0715" w:rsidRDefault="002F5B28">
      <w:pPr>
        <w:pStyle w:val="Bodytext20"/>
        <w:framePr w:w="8549" w:h="5914" w:hRule="exact" w:wrap="none" w:vAnchor="page" w:hAnchor="page" w:x="1617" w:y="2484"/>
        <w:numPr>
          <w:ilvl w:val="0"/>
          <w:numId w:val="17"/>
        </w:numPr>
        <w:shd w:val="clear" w:color="auto" w:fill="auto"/>
        <w:tabs>
          <w:tab w:val="left" w:pos="322"/>
          <w:tab w:val="center" w:pos="2429"/>
          <w:tab w:val="left" w:pos="2790"/>
          <w:tab w:val="left" w:pos="3272"/>
          <w:tab w:val="left" w:pos="3918"/>
          <w:tab w:val="right" w:pos="5499"/>
          <w:tab w:val="right" w:pos="7432"/>
          <w:tab w:val="right" w:pos="8485"/>
        </w:tabs>
        <w:spacing w:line="235" w:lineRule="exact"/>
        <w:ind w:left="360"/>
        <w:jc w:val="both"/>
      </w:pPr>
      <w:r>
        <w:t>Zástupce pojistníka</w:t>
      </w:r>
      <w:r>
        <w:tab/>
        <w:t>nebo</w:t>
      </w:r>
      <w:r>
        <w:tab/>
        <w:t>jiná</w:t>
      </w:r>
      <w:r>
        <w:tab/>
        <w:t>osoba</w:t>
      </w:r>
      <w:r>
        <w:tab/>
        <w:t>oprávněná</w:t>
      </w:r>
      <w:r>
        <w:tab/>
        <w:t>jednat</w:t>
      </w:r>
      <w:r>
        <w:tab/>
        <w:t>za pojistníka bere</w:t>
      </w:r>
      <w:r>
        <w:tab/>
        <w:t>na vědomí,</w:t>
      </w:r>
    </w:p>
    <w:p w:rsidR="002C0715" w:rsidRDefault="002F5B28">
      <w:pPr>
        <w:pStyle w:val="Bodytext20"/>
        <w:framePr w:w="8549" w:h="5914" w:hRule="exact" w:wrap="none" w:vAnchor="page" w:hAnchor="page" w:x="1617" w:y="2484"/>
        <w:shd w:val="clear" w:color="auto" w:fill="auto"/>
        <w:tabs>
          <w:tab w:val="center" w:pos="2429"/>
          <w:tab w:val="left" w:pos="3308"/>
          <w:tab w:val="left" w:pos="3980"/>
          <w:tab w:val="right" w:pos="7432"/>
        </w:tabs>
        <w:spacing w:line="235" w:lineRule="exact"/>
        <w:ind w:left="360" w:firstLine="0"/>
        <w:jc w:val="both"/>
      </w:pPr>
      <w:r>
        <w:t>že její identifikační</w:t>
      </w:r>
      <w:r>
        <w:tab/>
        <w:t>a kontaktní</w:t>
      </w:r>
      <w:r>
        <w:tab/>
        <w:t>údaje a</w:t>
      </w:r>
      <w:r>
        <w:tab/>
        <w:t>záznamy vzájemné</w:t>
      </w:r>
      <w:r>
        <w:tab/>
        <w:t>komunikace pojistitel zpracovává</w:t>
      </w:r>
    </w:p>
    <w:p w:rsidR="002C0715" w:rsidRDefault="002F5B28">
      <w:pPr>
        <w:pStyle w:val="Bodytext20"/>
        <w:framePr w:w="8549" w:h="5914" w:hRule="exact" w:wrap="none" w:vAnchor="page" w:hAnchor="page" w:x="1617" w:y="2484"/>
        <w:shd w:val="clear" w:color="auto" w:fill="auto"/>
        <w:tabs>
          <w:tab w:val="left" w:pos="2787"/>
          <w:tab w:val="left" w:pos="3918"/>
          <w:tab w:val="right" w:pos="5499"/>
          <w:tab w:val="right" w:pos="7432"/>
          <w:tab w:val="right" w:pos="8485"/>
        </w:tabs>
        <w:spacing w:line="235" w:lineRule="exact"/>
        <w:ind w:left="360" w:firstLine="0"/>
        <w:jc w:val="both"/>
      </w:pPr>
      <w:r>
        <w:t>na základě oprávněného</w:t>
      </w:r>
      <w:r>
        <w:tab/>
        <w:t>zájmu, a</w:t>
      </w:r>
      <w:r>
        <w:tab/>
        <w:t>to pro</w:t>
      </w:r>
      <w:r>
        <w:tab/>
        <w:t>účely</w:t>
      </w:r>
      <w:r>
        <w:tab/>
        <w:t>zajištění řádného</w:t>
      </w:r>
      <w:r>
        <w:tab/>
        <w:t>nastavení</w:t>
      </w:r>
    </w:p>
    <w:p w:rsidR="002C0715" w:rsidRDefault="002F5B28">
      <w:pPr>
        <w:pStyle w:val="Bodytext20"/>
        <w:framePr w:w="8549" w:h="5914" w:hRule="exact" w:wrap="none" w:vAnchor="page" w:hAnchor="page" w:x="1617" w:y="2484"/>
        <w:shd w:val="clear" w:color="auto" w:fill="auto"/>
        <w:spacing w:after="120" w:line="235" w:lineRule="exact"/>
        <w:ind w:left="360" w:firstLine="0"/>
        <w:jc w:val="both"/>
      </w:pPr>
      <w:r>
        <w:t xml:space="preserve">a </w:t>
      </w:r>
      <w:r>
        <w:t>plnění smluvních vztahů s pojístníkem (včetně tvorby evidencí), ochrany právních nároků pojistitele a prevence a odhalování pojistných podvodů a jiných protiprávních jednání.</w:t>
      </w:r>
    </w:p>
    <w:p w:rsidR="002C0715" w:rsidRDefault="002F5B28">
      <w:pPr>
        <w:pStyle w:val="Bodytext20"/>
        <w:framePr w:w="8549" w:h="5914" w:hRule="exact" w:wrap="none" w:vAnchor="page" w:hAnchor="page" w:x="1617" w:y="2484"/>
        <w:numPr>
          <w:ilvl w:val="0"/>
          <w:numId w:val="17"/>
        </w:numPr>
        <w:shd w:val="clear" w:color="auto" w:fill="auto"/>
        <w:tabs>
          <w:tab w:val="left" w:pos="322"/>
          <w:tab w:val="center" w:pos="2429"/>
          <w:tab w:val="left" w:pos="2795"/>
          <w:tab w:val="left" w:pos="3272"/>
          <w:tab w:val="left" w:pos="3918"/>
          <w:tab w:val="right" w:pos="5499"/>
          <w:tab w:val="right" w:pos="7432"/>
          <w:tab w:val="right" w:pos="8485"/>
        </w:tabs>
        <w:spacing w:line="235" w:lineRule="exact"/>
        <w:ind w:left="360"/>
        <w:jc w:val="both"/>
      </w:pPr>
      <w:r>
        <w:t>Zástupce pojistníka</w:t>
      </w:r>
      <w:r>
        <w:tab/>
        <w:t>nebo</w:t>
      </w:r>
      <w:r>
        <w:tab/>
        <w:t>jiná</w:t>
      </w:r>
      <w:r>
        <w:tab/>
        <w:t>osoba</w:t>
      </w:r>
      <w:r>
        <w:tab/>
        <w:t>oprávněná</w:t>
      </w:r>
      <w:r>
        <w:tab/>
        <w:t>jednat</w:t>
      </w:r>
      <w:r>
        <w:tab/>
        <w:t>za pojistníka bere</w:t>
      </w:r>
      <w:r>
        <w:tab/>
        <w:t>na vědomí</w:t>
      </w:r>
      <w:r>
        <w:t>,</w:t>
      </w:r>
    </w:p>
    <w:p w:rsidR="002C0715" w:rsidRDefault="002F5B28">
      <w:pPr>
        <w:pStyle w:val="Bodytext20"/>
        <w:framePr w:w="8549" w:h="5914" w:hRule="exact" w:wrap="none" w:vAnchor="page" w:hAnchor="page" w:x="1617" w:y="2484"/>
        <w:shd w:val="clear" w:color="auto" w:fill="auto"/>
        <w:spacing w:after="120" w:line="235" w:lineRule="exact"/>
        <w:ind w:left="360" w:firstLine="0"/>
        <w:jc w:val="both"/>
      </w:pPr>
      <w:r>
        <w:t>že její identifikační a kontaktní údaje pojistitel dále zpracovává ke splnění své zákonné povinnosti vyplývající zejména ze zákona upravujícího distribuci pojištění a zákona č. 69/2006 Sb., o provádění mezinárodních sankcí.</w:t>
      </w:r>
    </w:p>
    <w:p w:rsidR="002C0715" w:rsidRDefault="002F5B28">
      <w:pPr>
        <w:pStyle w:val="Bodytext20"/>
        <w:framePr w:w="8549" w:h="5914" w:hRule="exact" w:wrap="none" w:vAnchor="page" w:hAnchor="page" w:x="1617" w:y="2484"/>
        <w:numPr>
          <w:ilvl w:val="0"/>
          <w:numId w:val="17"/>
        </w:numPr>
        <w:shd w:val="clear" w:color="auto" w:fill="auto"/>
        <w:tabs>
          <w:tab w:val="left" w:pos="322"/>
        </w:tabs>
        <w:spacing w:line="235" w:lineRule="exact"/>
        <w:ind w:left="360"/>
        <w:jc w:val="both"/>
      </w:pPr>
      <w:r>
        <w:t xml:space="preserve">Zástupce pojistníka nebo jiná </w:t>
      </w:r>
      <w:r>
        <w:t>osoba oprávněná jednat za pojistníka má v souvislosti se zpracováním právo na přístup k osobním údajům, právo na jejich opravu a výmaz, právo na omezení zpracování a právo podat námitku proti zpracování v případě zpracování na základě oprávněného zájmu. Da</w:t>
      </w:r>
      <w:r>
        <w:t xml:space="preserve">lší informace o zpracování osobních údajů a o možnostech uplatnění jednotlivých práv naleznete na našich webových stránkách </w:t>
      </w:r>
      <w:hyperlink r:id="rId9" w:history="1">
        <w:r w:rsidRPr="00634AED">
          <w:rPr>
            <w:lang w:eastAsia="en-US" w:bidi="en-US"/>
          </w:rPr>
          <w:t>www.koop.cz</w:t>
        </w:r>
      </w:hyperlink>
      <w:r w:rsidRPr="00634AED">
        <w:rPr>
          <w:lang w:eastAsia="en-US" w:bidi="en-US"/>
        </w:rPr>
        <w:t xml:space="preserve"> </w:t>
      </w:r>
      <w:r>
        <w:t>v sekci „O pojišťovně Kooperativa".</w:t>
      </w:r>
    </w:p>
    <w:p w:rsidR="002C0715" w:rsidRDefault="002F5B28">
      <w:pPr>
        <w:pStyle w:val="Heading410"/>
        <w:framePr w:w="8549" w:h="6293" w:hRule="exact" w:wrap="none" w:vAnchor="page" w:hAnchor="page" w:x="1617" w:y="9393"/>
        <w:shd w:val="clear" w:color="auto" w:fill="auto"/>
        <w:spacing w:after="92" w:line="200" w:lineRule="exact"/>
        <w:ind w:right="20"/>
        <w:jc w:val="center"/>
      </w:pPr>
      <w:bookmarkStart w:id="17" w:name="bookmark17"/>
      <w:r>
        <w:t>Článek X. Závěrečná ustanovení</w:t>
      </w:r>
      <w:bookmarkEnd w:id="17"/>
    </w:p>
    <w:p w:rsidR="002C0715" w:rsidRDefault="002F5B28">
      <w:pPr>
        <w:pStyle w:val="Bodytext20"/>
        <w:framePr w:w="8549" w:h="6293" w:hRule="exact" w:wrap="none" w:vAnchor="page" w:hAnchor="page" w:x="1617" w:y="9393"/>
        <w:numPr>
          <w:ilvl w:val="0"/>
          <w:numId w:val="18"/>
        </w:numPr>
        <w:shd w:val="clear" w:color="auto" w:fill="auto"/>
        <w:tabs>
          <w:tab w:val="left" w:pos="322"/>
        </w:tabs>
        <w:spacing w:after="120" w:line="235" w:lineRule="exact"/>
        <w:ind w:left="360"/>
        <w:jc w:val="both"/>
      </w:pPr>
      <w:r>
        <w:t xml:space="preserve">Pokud tento Dodatek </w:t>
      </w:r>
      <w:r>
        <w:t>podléhá povinnosti uveřejnění v registru smluv (dále jen „registr") ve smyslu zákona č. 340/2015 Sb., zavazuje se pojistník k jeho uveřejnění v rozsahu, způsobem a ve lhůtách stanovených citovaným zákonem. To nezbavuje pojistitele práva, aby Dodatek uveřej</w:t>
      </w:r>
      <w:r>
        <w:t>nil v registru sám, s čímž pojistník souhlasí. Pokud je pojistník odlišný od pojištěného, pojistník dále potvrzuje, že pojištěný souhlasil s uveřejněním Dodatku.</w:t>
      </w:r>
    </w:p>
    <w:p w:rsidR="002C0715" w:rsidRDefault="002F5B28">
      <w:pPr>
        <w:pStyle w:val="Bodytext20"/>
        <w:framePr w:w="8549" w:h="6293" w:hRule="exact" w:wrap="none" w:vAnchor="page" w:hAnchor="page" w:x="1617" w:y="9393"/>
        <w:numPr>
          <w:ilvl w:val="0"/>
          <w:numId w:val="18"/>
        </w:numPr>
        <w:shd w:val="clear" w:color="auto" w:fill="auto"/>
        <w:tabs>
          <w:tab w:val="left" w:pos="322"/>
        </w:tabs>
        <w:spacing w:after="120" w:line="235" w:lineRule="exact"/>
        <w:ind w:left="360"/>
        <w:jc w:val="both"/>
      </w:pPr>
      <w:r>
        <w:t xml:space="preserve">Při vyplnění formuláře pro uveřejnění Dodatku v registru je pojistník povinen vyplnit údaje o </w:t>
      </w:r>
      <w:r>
        <w:t>pojistiteli (jako smluvní straně), do pole „Datová schránka" uvést: n6tetn3 a do pole „Číslo smlouvy" uvést: 6667600269.</w:t>
      </w:r>
    </w:p>
    <w:p w:rsidR="002C0715" w:rsidRDefault="002F5B28">
      <w:pPr>
        <w:pStyle w:val="Bodytext20"/>
        <w:framePr w:w="8549" w:h="6293" w:hRule="exact" w:wrap="none" w:vAnchor="page" w:hAnchor="page" w:x="1617" w:y="9393"/>
        <w:numPr>
          <w:ilvl w:val="0"/>
          <w:numId w:val="18"/>
        </w:numPr>
        <w:shd w:val="clear" w:color="auto" w:fill="auto"/>
        <w:tabs>
          <w:tab w:val="left" w:pos="322"/>
        </w:tabs>
        <w:spacing w:after="120" w:line="235" w:lineRule="exact"/>
        <w:ind w:left="360"/>
        <w:jc w:val="both"/>
      </w:pPr>
      <w:r>
        <w:t>Pojistník se dále zavazuje, že před zasláním Dodatku k uveřejnění zajistí znečitelnění neuveřejnitelných informací (např. osobních údaj</w:t>
      </w:r>
      <w:r>
        <w:t>ů o fyzických osobách). Smluvní strany se dohodly, že ode dne nabytí účinnosti Dodatku jeho zveřejněním v registru se účinky pojištění, včetně práv a povinností z něj vyplývajících, vztahují i na období od data uvedeného jako počátek pojištění (resp. od da</w:t>
      </w:r>
      <w:r>
        <w:t>ta uvedeného jako počátek změn provedených dodatkem, jde-li o účinky dodatku) do budoucna.</w:t>
      </w:r>
    </w:p>
    <w:p w:rsidR="002C0715" w:rsidRDefault="002F5B28">
      <w:pPr>
        <w:pStyle w:val="Bodytext20"/>
        <w:framePr w:w="8549" w:h="6293" w:hRule="exact" w:wrap="none" w:vAnchor="page" w:hAnchor="page" w:x="1617" w:y="9393"/>
        <w:numPr>
          <w:ilvl w:val="0"/>
          <w:numId w:val="18"/>
        </w:numPr>
        <w:shd w:val="clear" w:color="auto" w:fill="auto"/>
        <w:tabs>
          <w:tab w:val="left" w:pos="322"/>
        </w:tabs>
        <w:spacing w:after="120" w:line="235" w:lineRule="exact"/>
        <w:ind w:left="360"/>
        <w:jc w:val="both"/>
      </w:pPr>
      <w:r>
        <w:t>Pojistník a pojistitel se dohodli, že v případě, že byla před sjednáním tohoto Dodatku platně podána výpověď k výročí nebo byl ze strany pojistníka vyjádřen nesouhla</w:t>
      </w:r>
      <w:r>
        <w:t>s s novou výší pojistného na následující pojistný rok, dochází sjednáním tohoto Dodatku k jejich zpětvzetí.</w:t>
      </w:r>
    </w:p>
    <w:p w:rsidR="002C0715" w:rsidRDefault="002F5B28">
      <w:pPr>
        <w:pStyle w:val="Bodytext20"/>
        <w:framePr w:w="8549" w:h="6293" w:hRule="exact" w:wrap="none" w:vAnchor="page" w:hAnchor="page" w:x="1617" w:y="9393"/>
        <w:shd w:val="clear" w:color="auto" w:fill="auto"/>
        <w:spacing w:line="235" w:lineRule="exact"/>
        <w:ind w:left="360"/>
        <w:jc w:val="both"/>
      </w:pPr>
      <w:r>
        <w:t>5 Tento Dodatek je vyhotoven ve třech stejnopisech, pojistník obdrží jeden stejnopis, pojistitel si ponechá jeden stejnopis a pojišťovací zprostředk</w:t>
      </w:r>
      <w:r>
        <w:t>ovatel obdrží jeden stejnopis.</w:t>
      </w:r>
    </w:p>
    <w:p w:rsidR="00634AED" w:rsidRDefault="00634AED">
      <w:pPr>
        <w:pStyle w:val="Bodytext70"/>
        <w:framePr w:w="8549" w:h="6293" w:hRule="exact" w:wrap="none" w:vAnchor="page" w:hAnchor="page" w:x="1617" w:y="9393"/>
        <w:shd w:val="clear" w:color="auto" w:fill="auto"/>
        <w:spacing w:before="0"/>
        <w:ind w:left="240"/>
      </w:pPr>
    </w:p>
    <w:p w:rsidR="00634AED" w:rsidRDefault="00634AED">
      <w:pPr>
        <w:pStyle w:val="Bodytext70"/>
        <w:framePr w:w="8549" w:h="6293" w:hRule="exact" w:wrap="none" w:vAnchor="page" w:hAnchor="page" w:x="1617" w:y="9393"/>
        <w:shd w:val="clear" w:color="auto" w:fill="auto"/>
        <w:spacing w:before="0"/>
        <w:ind w:left="240"/>
      </w:pPr>
    </w:p>
    <w:p w:rsidR="00634AED" w:rsidRDefault="00634AED">
      <w:pPr>
        <w:pStyle w:val="Bodytext70"/>
        <w:framePr w:w="8549" w:h="6293" w:hRule="exact" w:wrap="none" w:vAnchor="page" w:hAnchor="page" w:x="1617" w:y="9393"/>
        <w:shd w:val="clear" w:color="auto" w:fill="auto"/>
        <w:spacing w:before="0"/>
        <w:ind w:left="240"/>
      </w:pPr>
    </w:p>
    <w:p w:rsidR="00634AED" w:rsidRDefault="00634AED">
      <w:pPr>
        <w:pStyle w:val="Bodytext70"/>
        <w:framePr w:w="8549" w:h="6293" w:hRule="exact" w:wrap="none" w:vAnchor="page" w:hAnchor="page" w:x="1617" w:y="9393"/>
        <w:shd w:val="clear" w:color="auto" w:fill="auto"/>
        <w:spacing w:before="0"/>
        <w:ind w:left="240"/>
      </w:pPr>
    </w:p>
    <w:p w:rsidR="002C0715" w:rsidRDefault="002F5B28">
      <w:pPr>
        <w:pStyle w:val="Bodytext70"/>
        <w:framePr w:w="8549" w:h="6293" w:hRule="exact" w:wrap="none" w:vAnchor="page" w:hAnchor="page" w:x="1617" w:y="9393"/>
        <w:shd w:val="clear" w:color="auto" w:fill="auto"/>
        <w:spacing w:before="0"/>
        <w:ind w:left="240"/>
      </w:pPr>
      <w:r>
        <w:t>strana 5/6</w:t>
      </w:r>
    </w:p>
    <w:p w:rsidR="002C0715" w:rsidRDefault="002C0715">
      <w:pPr>
        <w:rPr>
          <w:sz w:val="2"/>
          <w:szCs w:val="2"/>
        </w:rPr>
        <w:sectPr w:rsidR="002C071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C0715" w:rsidRDefault="002F5B28">
      <w:pPr>
        <w:pStyle w:val="Bodytext20"/>
        <w:framePr w:w="8510" w:h="2740" w:hRule="exact" w:wrap="none" w:vAnchor="page" w:hAnchor="page" w:x="1837" w:y="2534"/>
        <w:numPr>
          <w:ilvl w:val="0"/>
          <w:numId w:val="19"/>
        </w:numPr>
        <w:shd w:val="clear" w:color="auto" w:fill="auto"/>
        <w:tabs>
          <w:tab w:val="left" w:pos="322"/>
        </w:tabs>
        <w:spacing w:after="92" w:line="200" w:lineRule="exact"/>
        <w:ind w:left="360"/>
        <w:jc w:val="both"/>
      </w:pPr>
      <w:r>
        <w:t>Tento Dodatek má 6 (šest) stran textu á jednu přílohu.</w:t>
      </w:r>
    </w:p>
    <w:p w:rsidR="002C0715" w:rsidRDefault="002F5B28">
      <w:pPr>
        <w:pStyle w:val="Bodytext20"/>
        <w:framePr w:w="8510" w:h="2740" w:hRule="exact" w:wrap="none" w:vAnchor="page" w:hAnchor="page" w:x="1837" w:y="2534"/>
        <w:numPr>
          <w:ilvl w:val="0"/>
          <w:numId w:val="19"/>
        </w:numPr>
        <w:shd w:val="clear" w:color="auto" w:fill="auto"/>
        <w:tabs>
          <w:tab w:val="left" w:pos="322"/>
        </w:tabs>
        <w:spacing w:after="120" w:line="235" w:lineRule="exact"/>
        <w:ind w:left="360"/>
        <w:jc w:val="both"/>
      </w:pPr>
      <w:r>
        <w:t>Ustanovení Pojistné smlouvy nedotčená tímto Dodatkem zůstávají v platností ve znění Pojistné smlouvy a případných</w:t>
      </w:r>
      <w:r>
        <w:t xml:space="preserve"> předchozích dodatků.</w:t>
      </w:r>
    </w:p>
    <w:p w:rsidR="002C0715" w:rsidRDefault="002F5B28">
      <w:pPr>
        <w:pStyle w:val="Bodytext20"/>
        <w:framePr w:w="8510" w:h="2740" w:hRule="exact" w:wrap="none" w:vAnchor="page" w:hAnchor="page" w:x="1837" w:y="2534"/>
        <w:numPr>
          <w:ilvl w:val="0"/>
          <w:numId w:val="19"/>
        </w:numPr>
        <w:shd w:val="clear" w:color="auto" w:fill="auto"/>
        <w:tabs>
          <w:tab w:val="left" w:pos="331"/>
        </w:tabs>
        <w:spacing w:after="120" w:line="235" w:lineRule="exact"/>
        <w:ind w:left="360"/>
        <w:jc w:val="both"/>
      </w:pPr>
      <w:r>
        <w:t>Smluvní strany potvrzují, že si tento Dodatek přečetly a že je projevem jejich vážné, úplné a svobodné vůle, na důkaz čehož připojují oprávnění zástupci smluvních stran své vlastnoruční podpisy.</w:t>
      </w:r>
    </w:p>
    <w:p w:rsidR="002C0715" w:rsidRDefault="002F5B28">
      <w:pPr>
        <w:pStyle w:val="Bodytext20"/>
        <w:framePr w:w="8510" w:h="2740" w:hRule="exact" w:wrap="none" w:vAnchor="page" w:hAnchor="page" w:x="1837" w:y="2534"/>
        <w:numPr>
          <w:ilvl w:val="0"/>
          <w:numId w:val="19"/>
        </w:numPr>
        <w:shd w:val="clear" w:color="auto" w:fill="auto"/>
        <w:tabs>
          <w:tab w:val="left" w:pos="331"/>
        </w:tabs>
        <w:spacing w:line="235" w:lineRule="exact"/>
        <w:ind w:left="360"/>
        <w:jc w:val="both"/>
      </w:pPr>
      <w:r>
        <w:t>Pojístník prohlašuje, že veškeré pojist</w:t>
      </w:r>
      <w:r>
        <w:t xml:space="preserve">né podmínky zmíněné v tomto Dodatku mu byly předány pří uzavření Pojistné smlouvy, nebo v průběhu trvání pojištění dle Pojistné smlouvy, nejpozději však před uzavřením tohoto Dodatku. Kde je v textu Dodatku užita zkratka </w:t>
      </w:r>
      <w:r>
        <w:rPr>
          <w:rStyle w:val="Bodytext2Bold"/>
        </w:rPr>
        <w:t xml:space="preserve">ZPP </w:t>
      </w:r>
      <w:r>
        <w:t>myslí se tím</w:t>
      </w:r>
    </w:p>
    <w:p w:rsidR="002C0715" w:rsidRDefault="002F5B28">
      <w:pPr>
        <w:pStyle w:val="Bodytext40"/>
        <w:framePr w:w="8510" w:h="2740" w:hRule="exact" w:wrap="none" w:vAnchor="page" w:hAnchor="page" w:x="1837" w:y="2534"/>
        <w:shd w:val="clear" w:color="auto" w:fill="auto"/>
        <w:spacing w:line="235" w:lineRule="exact"/>
        <w:ind w:left="360" w:firstLine="0"/>
      </w:pPr>
      <w:r>
        <w:t xml:space="preserve">zvláštní pojistné </w:t>
      </w:r>
      <w:r>
        <w:t>podmínky.</w:t>
      </w:r>
    </w:p>
    <w:p w:rsidR="002C0715" w:rsidRDefault="002F5B28">
      <w:pPr>
        <w:pStyle w:val="Bodytext20"/>
        <w:framePr w:wrap="none" w:vAnchor="page" w:hAnchor="page" w:x="1554" w:y="5570"/>
        <w:shd w:val="clear" w:color="auto" w:fill="auto"/>
        <w:spacing w:line="200" w:lineRule="exact"/>
        <w:ind w:firstLine="0"/>
      </w:pPr>
      <w:r>
        <w:rPr>
          <w:rStyle w:val="Bodytext2Bold"/>
        </w:rPr>
        <w:t xml:space="preserve">Příloha č. 1 </w:t>
      </w:r>
      <w:r>
        <w:t>- Sazebník pro pojištění odpovědnosti za újmu způsobenou provozem vozidla</w:t>
      </w:r>
    </w:p>
    <w:p w:rsidR="002C0715" w:rsidRDefault="002F5B28">
      <w:pPr>
        <w:pStyle w:val="Heading410"/>
        <w:framePr w:wrap="none" w:vAnchor="page" w:hAnchor="page" w:x="1554" w:y="6043"/>
        <w:shd w:val="clear" w:color="auto" w:fill="auto"/>
        <w:spacing w:line="200" w:lineRule="exact"/>
      </w:pPr>
      <w:bookmarkStart w:id="18" w:name="bookmark18"/>
      <w:r>
        <w:t>Za pojistitele:</w:t>
      </w:r>
      <w:bookmarkEnd w:id="18"/>
    </w:p>
    <w:p w:rsidR="002C0715" w:rsidRDefault="002F5B28">
      <w:pPr>
        <w:pStyle w:val="Bodytext20"/>
        <w:framePr w:wrap="none" w:vAnchor="page" w:hAnchor="page" w:x="1545" w:y="6737"/>
        <w:shd w:val="clear" w:color="auto" w:fill="auto"/>
        <w:spacing w:line="200" w:lineRule="exact"/>
        <w:ind w:firstLine="0"/>
      </w:pPr>
      <w:r>
        <w:t>V Plzni dne 23.12.2021</w:t>
      </w:r>
    </w:p>
    <w:p w:rsidR="002C0715" w:rsidRDefault="002F5B28">
      <w:pPr>
        <w:pStyle w:val="Picturecaption10"/>
        <w:framePr w:w="1958" w:h="882" w:hRule="exact" w:wrap="none" w:vAnchor="page" w:hAnchor="page" w:x="4674" w:y="6986"/>
        <w:shd w:val="clear" w:color="auto" w:fill="auto"/>
        <w:ind w:right="279"/>
      </w:pPr>
      <w:r>
        <w:t>Ing. Michal Hes</w:t>
      </w:r>
    </w:p>
    <w:p w:rsidR="002C0715" w:rsidRDefault="002F5B28">
      <w:pPr>
        <w:pStyle w:val="Picturecaption10"/>
        <w:framePr w:w="1958" w:h="882" w:hRule="exact" w:wrap="none" w:vAnchor="page" w:hAnchor="page" w:x="4674" w:y="6986"/>
        <w:shd w:val="clear" w:color="auto" w:fill="auto"/>
        <w:ind w:right="20"/>
      </w:pPr>
      <w:r>
        <w:t>vedoucí referátu PMV</w:t>
      </w:r>
    </w:p>
    <w:p w:rsidR="00634AED" w:rsidRDefault="00634AED" w:rsidP="00634AED">
      <w:pPr>
        <w:pStyle w:val="Bodytext20"/>
        <w:framePr w:w="2870" w:h="760" w:hRule="exact" w:wrap="none" w:vAnchor="page" w:hAnchor="page" w:x="6066" w:y="6561"/>
        <w:shd w:val="clear" w:color="auto" w:fill="auto"/>
        <w:spacing w:line="200" w:lineRule="exact"/>
        <w:ind w:firstLine="0"/>
      </w:pPr>
    </w:p>
    <w:p w:rsidR="00634AED" w:rsidRDefault="00634AED" w:rsidP="00634AED">
      <w:pPr>
        <w:pStyle w:val="Bodytext20"/>
        <w:framePr w:w="2870" w:h="760" w:hRule="exact" w:wrap="none" w:vAnchor="page" w:hAnchor="page" w:x="6066" w:y="6561"/>
        <w:shd w:val="clear" w:color="auto" w:fill="auto"/>
        <w:spacing w:line="200" w:lineRule="exact"/>
        <w:ind w:firstLine="0"/>
      </w:pPr>
    </w:p>
    <w:p w:rsidR="002C0715" w:rsidRDefault="00634AED" w:rsidP="00634AED">
      <w:pPr>
        <w:pStyle w:val="Bodytext20"/>
        <w:framePr w:w="2870" w:h="760" w:hRule="exact" w:wrap="none" w:vAnchor="page" w:hAnchor="page" w:x="6066" w:y="6561"/>
        <w:shd w:val="clear" w:color="auto" w:fill="auto"/>
        <w:spacing w:line="200" w:lineRule="exact"/>
        <w:ind w:firstLine="0"/>
      </w:pPr>
      <w:r>
        <w:t xml:space="preserve">                               </w:t>
      </w:r>
      <w:r w:rsidR="002F5B28">
        <w:t>Harfa Frundlová</w:t>
      </w:r>
    </w:p>
    <w:p w:rsidR="002C0715" w:rsidRDefault="002F5B28">
      <w:pPr>
        <w:pStyle w:val="Bodytext20"/>
        <w:framePr w:wrap="none" w:vAnchor="page" w:hAnchor="page" w:x="7641" w:y="7419"/>
        <w:shd w:val="clear" w:color="auto" w:fill="auto"/>
        <w:spacing w:line="200" w:lineRule="exact"/>
        <w:ind w:firstLine="0"/>
      </w:pPr>
      <w:r w:rsidRPr="00634AED">
        <w:rPr>
          <w:lang w:val="de-DE" w:eastAsia="en-US" w:bidi="en-US"/>
        </w:rPr>
        <w:t>underwriter</w:t>
      </w:r>
    </w:p>
    <w:p w:rsidR="002C0715" w:rsidRDefault="002F5B28" w:rsidP="00634AED">
      <w:pPr>
        <w:pStyle w:val="Heading410"/>
        <w:framePr w:w="2833" w:h="604" w:hRule="exact" w:wrap="none" w:vAnchor="page" w:hAnchor="page" w:x="1597" w:y="8959"/>
        <w:shd w:val="clear" w:color="auto" w:fill="auto"/>
        <w:spacing w:after="140" w:line="200" w:lineRule="exact"/>
      </w:pPr>
      <w:bookmarkStart w:id="19" w:name="bookmark19"/>
      <w:r>
        <w:t>Za pojistníka:</w:t>
      </w:r>
      <w:bookmarkEnd w:id="19"/>
    </w:p>
    <w:p w:rsidR="002C0715" w:rsidRDefault="002F5B28" w:rsidP="00634AED">
      <w:pPr>
        <w:pStyle w:val="Bodytext20"/>
        <w:framePr w:w="2833" w:h="604" w:hRule="exact" w:wrap="none" w:vAnchor="page" w:hAnchor="page" w:x="1597" w:y="8959"/>
        <w:shd w:val="clear" w:color="auto" w:fill="auto"/>
        <w:spacing w:line="200" w:lineRule="exact"/>
        <w:ind w:firstLine="0"/>
      </w:pPr>
      <w:r>
        <w:t>V Plzni dne</w:t>
      </w:r>
      <w:r w:rsidR="00634AED">
        <w:t xml:space="preserve"> 31. 12. 2021</w:t>
      </w:r>
    </w:p>
    <w:p w:rsidR="002C0715" w:rsidRDefault="002C0715">
      <w:pPr>
        <w:framePr w:wrap="none" w:vAnchor="page" w:hAnchor="page" w:x="4674" w:y="8734"/>
      </w:pPr>
    </w:p>
    <w:p w:rsidR="002C0715" w:rsidRDefault="002F5B28">
      <w:pPr>
        <w:pStyle w:val="Headerorfooter10"/>
        <w:framePr w:w="1752" w:h="940" w:hRule="exact" w:wrap="none" w:vAnchor="page" w:hAnchor="page" w:x="5164" w:y="14769"/>
        <w:shd w:val="clear" w:color="auto" w:fill="auto"/>
        <w:ind w:left="100"/>
        <w:jc w:val="center"/>
      </w:pPr>
      <w:r>
        <w:t>strana 6/6</w:t>
      </w:r>
    </w:p>
    <w:p w:rsidR="00634AED" w:rsidRDefault="00634AED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63500" distR="63500" simplePos="0" relativeHeight="251657729" behindDoc="1" locked="0" layoutInCell="1" allowOverlap="1">
            <wp:simplePos x="0" y="0"/>
            <wp:positionH relativeFrom="page">
              <wp:posOffset>4948555</wp:posOffset>
            </wp:positionH>
            <wp:positionV relativeFrom="page">
              <wp:posOffset>4171950</wp:posOffset>
            </wp:positionV>
            <wp:extent cx="542290" cy="341630"/>
            <wp:effectExtent l="0" t="0" r="0" b="0"/>
            <wp:wrapNone/>
            <wp:docPr id="4" name="obrázek 4" descr="C:\Users\slamova\AppData\Local\Microsoft\Windows\INetCache\Content.Outlook\5UWD9NSH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lamova\AppData\Local\Microsoft\Windows\INetCache\Content.Outlook\5UWD9NSH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  <w:r>
        <w:rPr>
          <w:noProof/>
          <w:sz w:val="2"/>
          <w:szCs w:val="2"/>
          <w:lang w:bidi="ar-SA"/>
        </w:rPr>
        <mc:AlternateContent>
          <mc:Choice Requires="wps">
            <w:drawing>
              <wp:anchor distT="0" distB="0" distL="114300" distR="114300" simplePos="0" relativeHeight="251658753" behindDoc="0" locked="0" layoutInCell="1" allowOverlap="1">
                <wp:simplePos x="0" y="0"/>
                <wp:positionH relativeFrom="column">
                  <wp:posOffset>4640580</wp:posOffset>
                </wp:positionH>
                <wp:positionV relativeFrom="paragraph">
                  <wp:posOffset>635</wp:posOffset>
                </wp:positionV>
                <wp:extent cx="906780" cy="255270"/>
                <wp:effectExtent l="11430" t="9525" r="5715" b="1143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AED" w:rsidRDefault="00634A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65.4pt;margin-top:.05pt;width:71.4pt;height:20.1pt;z-index:2516587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" strokecolor="white [3212]">
                <v:textbox>
                  <w:txbxContent>
                    <w:p w:rsidR="00634AED" w:rsidRDefault="00634AED"/>
                  </w:txbxContent>
                </v:textbox>
              </v:shape>
            </w:pict>
          </mc:Fallback>
        </mc:AlternateContent>
      </w: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Pr="00634AED" w:rsidRDefault="00634AED" w:rsidP="00634AED">
      <w:pPr>
        <w:rPr>
          <w:sz w:val="2"/>
          <w:szCs w:val="2"/>
        </w:rPr>
      </w:pPr>
    </w:p>
    <w:p w:rsidR="00634AED" w:rsidRDefault="00634AED" w:rsidP="00634AED">
      <w:pPr>
        <w:rPr>
          <w:sz w:val="2"/>
          <w:szCs w:val="2"/>
        </w:rPr>
      </w:pPr>
    </w:p>
    <w:p w:rsidR="00634AED" w:rsidRDefault="00634AED" w:rsidP="00634AED">
      <w:pPr>
        <w:pStyle w:val="Bodytext20"/>
        <w:framePr w:w="2869" w:h="289" w:hRule="exact" w:wrap="none" w:vAnchor="page" w:hAnchor="page" w:x="4465" w:y="9565"/>
        <w:shd w:val="clear" w:color="auto" w:fill="auto"/>
        <w:spacing w:line="200" w:lineRule="exact"/>
        <w:ind w:left="5" w:firstLine="0"/>
      </w:pPr>
      <w:r>
        <w:t>Ing. Irena Nováková</w:t>
      </w:r>
    </w:p>
    <w:p w:rsidR="00634AED" w:rsidRDefault="00634AED" w:rsidP="00634AED">
      <w:pPr>
        <w:pStyle w:val="Bodytext20"/>
        <w:framePr w:w="1273" w:wrap="none" w:vAnchor="page" w:hAnchor="page" w:x="4465" w:y="9853"/>
        <w:shd w:val="clear" w:color="auto" w:fill="auto"/>
        <w:spacing w:line="200" w:lineRule="exact"/>
        <w:ind w:firstLine="0"/>
      </w:pPr>
      <w:r>
        <w:t>ředitelka</w:t>
      </w:r>
    </w:p>
    <w:p w:rsidR="002C0715" w:rsidRPr="00634AED" w:rsidRDefault="00634AED" w:rsidP="00634AED">
      <w:pPr>
        <w:tabs>
          <w:tab w:val="left" w:pos="8208"/>
        </w:tabs>
        <w:rPr>
          <w:sz w:val="2"/>
          <w:szCs w:val="2"/>
        </w:rPr>
      </w:pPr>
      <w:r>
        <w:rPr>
          <w:sz w:val="2"/>
          <w:szCs w:val="2"/>
        </w:rPr>
        <w:tab/>
      </w:r>
    </w:p>
    <w:sectPr w:rsidR="002C0715" w:rsidRPr="00634AE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B28" w:rsidRDefault="002F5B28">
      <w:r>
        <w:separator/>
      </w:r>
    </w:p>
  </w:endnote>
  <w:endnote w:type="continuationSeparator" w:id="0">
    <w:p w:rsidR="002F5B28" w:rsidRDefault="002F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B28" w:rsidRDefault="002F5B28"/>
  </w:footnote>
  <w:footnote w:type="continuationSeparator" w:id="0">
    <w:p w:rsidR="002F5B28" w:rsidRDefault="002F5B2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57ED"/>
    <w:multiLevelType w:val="multilevel"/>
    <w:tmpl w:val="DD08217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315032"/>
    <w:multiLevelType w:val="multilevel"/>
    <w:tmpl w:val="B636D9F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C72AAC"/>
    <w:multiLevelType w:val="multilevel"/>
    <w:tmpl w:val="7DE414D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7135D0"/>
    <w:multiLevelType w:val="multilevel"/>
    <w:tmpl w:val="706419AC"/>
    <w:lvl w:ilvl="0">
      <w:start w:val="1"/>
      <w:numFmt w:val="lowerLetter"/>
      <w:lvlText w:val="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381752"/>
    <w:multiLevelType w:val="multilevel"/>
    <w:tmpl w:val="B3D0A50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5A1AFB"/>
    <w:multiLevelType w:val="multilevel"/>
    <w:tmpl w:val="936409E0"/>
    <w:lvl w:ilvl="0">
      <w:start w:val="1"/>
      <w:numFmt w:val="low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4F3820"/>
    <w:multiLevelType w:val="multilevel"/>
    <w:tmpl w:val="DC8EB2D6"/>
    <w:lvl w:ilvl="0">
      <w:start w:val="1"/>
      <w:numFmt w:val="low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6A7214"/>
    <w:multiLevelType w:val="multilevel"/>
    <w:tmpl w:val="5B3C7C74"/>
    <w:lvl w:ilvl="0">
      <w:start w:val="2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CF7D1B"/>
    <w:multiLevelType w:val="multilevel"/>
    <w:tmpl w:val="8FECB804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6CE417F"/>
    <w:multiLevelType w:val="multilevel"/>
    <w:tmpl w:val="BBAC2CEE"/>
    <w:lvl w:ilvl="0">
      <w:start w:val="1"/>
      <w:numFmt w:val="low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6FF0110"/>
    <w:multiLevelType w:val="multilevel"/>
    <w:tmpl w:val="07D6FCEC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70921A5"/>
    <w:multiLevelType w:val="multilevel"/>
    <w:tmpl w:val="F980350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31B0054"/>
    <w:multiLevelType w:val="multilevel"/>
    <w:tmpl w:val="8DAA25F8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A9377CE"/>
    <w:multiLevelType w:val="multilevel"/>
    <w:tmpl w:val="F4B2DB8A"/>
    <w:lvl w:ilvl="0">
      <w:start w:val="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F7E1F8A"/>
    <w:multiLevelType w:val="multilevel"/>
    <w:tmpl w:val="69264B66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8B11740"/>
    <w:multiLevelType w:val="multilevel"/>
    <w:tmpl w:val="3B20B88C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37C3878"/>
    <w:multiLevelType w:val="multilevel"/>
    <w:tmpl w:val="09126E96"/>
    <w:lvl w:ilvl="0">
      <w:start w:val="1"/>
      <w:numFmt w:val="low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6BD0CB2"/>
    <w:multiLevelType w:val="multilevel"/>
    <w:tmpl w:val="7FB4B752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D7C5BFD"/>
    <w:multiLevelType w:val="multilevel"/>
    <w:tmpl w:val="7AE07D7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5"/>
  </w:num>
  <w:num w:numId="5">
    <w:abstractNumId w:val="6"/>
  </w:num>
  <w:num w:numId="6">
    <w:abstractNumId w:val="9"/>
  </w:num>
  <w:num w:numId="7">
    <w:abstractNumId w:val="3"/>
  </w:num>
  <w:num w:numId="8">
    <w:abstractNumId w:val="5"/>
  </w:num>
  <w:num w:numId="9">
    <w:abstractNumId w:val="7"/>
  </w:num>
  <w:num w:numId="10">
    <w:abstractNumId w:val="16"/>
  </w:num>
  <w:num w:numId="11">
    <w:abstractNumId w:val="17"/>
  </w:num>
  <w:num w:numId="12">
    <w:abstractNumId w:val="10"/>
  </w:num>
  <w:num w:numId="13">
    <w:abstractNumId w:val="11"/>
  </w:num>
  <w:num w:numId="14">
    <w:abstractNumId w:val="14"/>
  </w:num>
  <w:num w:numId="15">
    <w:abstractNumId w:val="1"/>
  </w:num>
  <w:num w:numId="16">
    <w:abstractNumId w:val="12"/>
  </w:num>
  <w:num w:numId="17">
    <w:abstractNumId w:val="18"/>
  </w:num>
  <w:num w:numId="18">
    <w:abstractNumId w:val="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715"/>
    <w:rsid w:val="002C0715"/>
    <w:rsid w:val="002F5B28"/>
    <w:rsid w:val="0063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432D0"/>
  <w15:docId w15:val="{026A969A-D3F0-43A2-9208-2213FBB2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211">
    <w:name w:val="Heading #2|1"/>
    <w:basedOn w:val="Heading21"/>
    <w:rPr>
      <w:rFonts w:ascii="Arial" w:eastAsia="Arial" w:hAnsi="Arial" w:cs="Arial"/>
      <w:b/>
      <w:bCs/>
      <w:i w:val="0"/>
      <w:iCs w:val="0"/>
      <w:smallCaps w:val="0"/>
      <w:strike w:val="0"/>
      <w:color w:val="466F5A"/>
      <w:spacing w:val="0"/>
      <w:w w:val="100"/>
      <w:position w:val="0"/>
      <w:sz w:val="32"/>
      <w:szCs w:val="32"/>
      <w:u w:val="singl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31TimesNewRoman12pt">
    <w:name w:val="Heading #3|1 + Times New Roman;12 pt"/>
    <w:basedOn w:val="Heading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Bold">
    <w:name w:val="Body text|2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Heading41">
    <w:name w:val="Heading #4|1_"/>
    <w:basedOn w:val="Standardnpsmoodstavce"/>
    <w:link w:val="Heading4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NotBold">
    <w:name w:val="Body text|4 + Not Bold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b/>
      <w:bCs/>
      <w:i w:val="0"/>
      <w:iCs w:val="0"/>
      <w:smallCaps w:val="0"/>
      <w:strike w:val="0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9ptBold">
    <w:name w:val="Other|1 + Arial;9 pt;Bold"/>
    <w:basedOn w:val="Other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Other1Arial65ptItalicSpacing0pt">
    <w:name w:val="Other|1 + Arial;6.5 pt;Italic;Spacing 0 pt"/>
    <w:basedOn w:val="Other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Headerorfooter2">
    <w:name w:val="Header or footer|2_"/>
    <w:basedOn w:val="Standardnpsmoodstavce"/>
    <w:link w:val="Headerorfooter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1">
    <w:name w:val="Body text|4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Bodytext2Italic">
    <w:name w:val="Body text|2 + 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Bodytext6Italic">
    <w:name w:val="Body text|6 + Italic"/>
    <w:basedOn w:val="Bodytext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Bold0">
    <w:name w:val="Body text|2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Bodytext2TimesNewRoman95ptBold">
    <w:name w:val="Body text|2 + Times New Roman;9.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85ptBold">
    <w:name w:val="Body text|2 + 8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8">
    <w:name w:val="Body text|8_"/>
    <w:basedOn w:val="Standardnpsmoodstavce"/>
    <w:link w:val="Bodytext80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Bodytext8NotBold">
    <w:name w:val="Body text|8 + Not Bold"/>
    <w:basedOn w:val="Bodytext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9">
    <w:name w:val="Body text|9_"/>
    <w:basedOn w:val="Standardnpsmoodstavce"/>
    <w:link w:val="Bodytext90"/>
    <w:rPr>
      <w:rFonts w:ascii="Arial" w:eastAsia="Arial" w:hAnsi="Arial" w:cs="Arial"/>
      <w:b w:val="0"/>
      <w:bCs w:val="0"/>
      <w:i w:val="0"/>
      <w:iCs w:val="0"/>
      <w:smallCaps w:val="0"/>
      <w:strike w:val="0"/>
      <w:w w:val="66"/>
      <w:sz w:val="14"/>
      <w:szCs w:val="14"/>
      <w:u w:val="none"/>
    </w:rPr>
  </w:style>
  <w:style w:type="character" w:customStyle="1" w:styleId="Bodytext10">
    <w:name w:val="Body text|10_"/>
    <w:basedOn w:val="Standardnpsmoodstavce"/>
    <w:link w:val="Bodytext100"/>
    <w:rPr>
      <w:rFonts w:ascii="Arial" w:eastAsia="Arial" w:hAnsi="Arial" w:cs="Arial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Bodytext1085ptBoldNotItalic">
    <w:name w:val="Body text|10 + 8.5 pt;Bold;Not Italic"/>
    <w:basedOn w:val="Bodytext1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Other1Arial25pt">
    <w:name w:val="Other|1 + Arial;25 pt"/>
    <w:basedOn w:val="Other1"/>
    <w:rPr>
      <w:rFonts w:ascii="Arial" w:eastAsia="Arial" w:hAnsi="Arial" w:cs="Arial"/>
      <w:b w:val="0"/>
      <w:bCs w:val="0"/>
      <w:i w:val="0"/>
      <w:iCs w:val="0"/>
      <w:smallCaps w:val="0"/>
      <w:strike w:val="0"/>
      <w:color w:val="587DB4"/>
      <w:spacing w:val="0"/>
      <w:w w:val="100"/>
      <w:position w:val="0"/>
      <w:sz w:val="50"/>
      <w:szCs w:val="50"/>
      <w:u w:val="none"/>
      <w:lang w:val="cs-CZ" w:eastAsia="cs-CZ" w:bidi="cs-CZ"/>
    </w:rPr>
  </w:style>
  <w:style w:type="character" w:customStyle="1" w:styleId="Bodytext11">
    <w:name w:val="Body text|11_"/>
    <w:basedOn w:val="Standardnpsmoodstavce"/>
    <w:link w:val="Bodytext11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111">
    <w:name w:val="Body text|11"/>
    <w:basedOn w:val="Bodytext11"/>
    <w:rPr>
      <w:rFonts w:ascii="Arial" w:eastAsia="Arial" w:hAnsi="Arial" w:cs="Arial"/>
      <w:b w:val="0"/>
      <w:bCs w:val="0"/>
      <w:i w:val="0"/>
      <w:iCs w:val="0"/>
      <w:smallCaps w:val="0"/>
      <w:strike w:val="0"/>
      <w:color w:val="18897C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12">
    <w:name w:val="Body text|12_"/>
    <w:basedOn w:val="Standardnpsmoodstavce"/>
    <w:link w:val="Bodytext1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121">
    <w:name w:val="Body text|12"/>
    <w:basedOn w:val="Bodytext12"/>
    <w:rPr>
      <w:rFonts w:ascii="Arial" w:eastAsia="Arial" w:hAnsi="Arial" w:cs="Arial"/>
      <w:b w:val="0"/>
      <w:bCs w:val="0"/>
      <w:i w:val="0"/>
      <w:iCs w:val="0"/>
      <w:smallCaps w:val="0"/>
      <w:strike w:val="0"/>
      <w:color w:val="18897C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Bodytext21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18897C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Heading111">
    <w:name w:val="Heading #1|1"/>
    <w:basedOn w:val="Heading11"/>
    <w:rPr>
      <w:rFonts w:ascii="Arial" w:eastAsia="Arial" w:hAnsi="Arial" w:cs="Arial"/>
      <w:b w:val="0"/>
      <w:bCs w:val="0"/>
      <w:i/>
      <w:iCs/>
      <w:smallCaps w:val="0"/>
      <w:strike w:val="0"/>
      <w:color w:val="5C558B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Bodytext13">
    <w:name w:val="Body text|13_"/>
    <w:basedOn w:val="Standardnpsmoodstavce"/>
    <w:link w:val="Bodytext130"/>
    <w:rPr>
      <w:rFonts w:ascii="Arial" w:eastAsia="Arial" w:hAnsi="Arial" w:cs="Arial"/>
      <w:b/>
      <w:bCs/>
      <w:i w:val="0"/>
      <w:iCs w:val="0"/>
      <w:smallCaps w:val="0"/>
      <w:strike w:val="0"/>
      <w:w w:val="75"/>
      <w:sz w:val="16"/>
      <w:szCs w:val="16"/>
      <w:u w:val="none"/>
    </w:rPr>
  </w:style>
  <w:style w:type="character" w:customStyle="1" w:styleId="Bodytext131">
    <w:name w:val="Body text|13"/>
    <w:basedOn w:val="Bodytext13"/>
    <w:rPr>
      <w:rFonts w:ascii="Arial" w:eastAsia="Arial" w:hAnsi="Arial" w:cs="Arial"/>
      <w:b/>
      <w:bCs/>
      <w:i w:val="0"/>
      <w:iCs w:val="0"/>
      <w:smallCaps w:val="0"/>
      <w:strike w:val="0"/>
      <w:color w:val="2C69C3"/>
      <w:spacing w:val="0"/>
      <w:w w:val="75"/>
      <w:position w:val="0"/>
      <w:sz w:val="16"/>
      <w:szCs w:val="16"/>
      <w:u w:val="none"/>
      <w:lang w:val="cs-CZ" w:eastAsia="cs-CZ" w:bidi="cs-CZ"/>
    </w:rPr>
  </w:style>
  <w:style w:type="character" w:customStyle="1" w:styleId="Bodytext14">
    <w:name w:val="Body text|14_"/>
    <w:basedOn w:val="Standardnpsmoodstavce"/>
    <w:link w:val="Bodytext1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141">
    <w:name w:val="Body text|14"/>
    <w:basedOn w:val="Bodytext14"/>
    <w:rPr>
      <w:rFonts w:ascii="Arial" w:eastAsia="Arial" w:hAnsi="Arial" w:cs="Arial"/>
      <w:b w:val="0"/>
      <w:bCs w:val="0"/>
      <w:i w:val="0"/>
      <w:iCs w:val="0"/>
      <w:smallCaps w:val="0"/>
      <w:strike w:val="0"/>
      <w:color w:val="2C69C3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148ptBoldScaling75">
    <w:name w:val="Body text|14 + 8 pt;Bold;Scaling 75%"/>
    <w:basedOn w:val="Bodytext14"/>
    <w:rPr>
      <w:rFonts w:ascii="Arial" w:eastAsia="Arial" w:hAnsi="Arial" w:cs="Arial"/>
      <w:b/>
      <w:bCs/>
      <w:i w:val="0"/>
      <w:iCs w:val="0"/>
      <w:smallCaps w:val="0"/>
      <w:strike w:val="0"/>
      <w:color w:val="2C69C3"/>
      <w:spacing w:val="0"/>
      <w:w w:val="75"/>
      <w:position w:val="0"/>
      <w:sz w:val="16"/>
      <w:szCs w:val="16"/>
      <w:u w:val="none"/>
      <w:lang w:val="cs-CZ" w:eastAsia="cs-CZ" w:bidi="cs-CZ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line="358" w:lineRule="exact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600" w:line="134" w:lineRule="exact"/>
    </w:pPr>
    <w:rPr>
      <w:rFonts w:ascii="Arial" w:eastAsia="Arial" w:hAnsi="Arial" w:cs="Arial"/>
      <w:b/>
      <w:bCs/>
      <w:sz w:val="12"/>
      <w:szCs w:val="12"/>
    </w:rPr>
  </w:style>
  <w:style w:type="paragraph" w:customStyle="1" w:styleId="Heading310">
    <w:name w:val="Heading #3|1"/>
    <w:basedOn w:val="Normln"/>
    <w:link w:val="Heading31"/>
    <w:pPr>
      <w:shd w:val="clear" w:color="auto" w:fill="FFFFFF"/>
      <w:spacing w:before="600" w:after="260" w:line="557" w:lineRule="exact"/>
      <w:jc w:val="center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40" w:lineRule="exact"/>
      <w:ind w:hanging="320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line="240" w:lineRule="exact"/>
      <w:ind w:hanging="360"/>
    </w:pPr>
    <w:rPr>
      <w:rFonts w:ascii="Arial" w:eastAsia="Arial" w:hAnsi="Arial" w:cs="Arial"/>
      <w:sz w:val="18"/>
      <w:szCs w:val="18"/>
    </w:rPr>
  </w:style>
  <w:style w:type="paragraph" w:customStyle="1" w:styleId="Heading410">
    <w:name w:val="Heading #4|1"/>
    <w:basedOn w:val="Normln"/>
    <w:link w:val="Heading41"/>
    <w:pPr>
      <w:shd w:val="clear" w:color="auto" w:fill="FFFFFF"/>
      <w:spacing w:line="240" w:lineRule="exact"/>
      <w:outlineLvl w:val="3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260" w:line="266" w:lineRule="exact"/>
    </w:pPr>
    <w:rPr>
      <w:b/>
      <w:bCs/>
    </w:rPr>
  </w:style>
  <w:style w:type="paragraph" w:customStyle="1" w:styleId="Other10">
    <w:name w:val="Other|1"/>
    <w:basedOn w:val="Normln"/>
    <w:link w:val="Other1"/>
    <w:pPr>
      <w:shd w:val="clear" w:color="auto" w:fill="FFFFFF"/>
    </w:pPr>
    <w:rPr>
      <w:sz w:val="20"/>
      <w:szCs w:val="20"/>
    </w:rPr>
  </w:style>
  <w:style w:type="paragraph" w:customStyle="1" w:styleId="Headerorfooter20">
    <w:name w:val="Header or footer|2"/>
    <w:basedOn w:val="Normln"/>
    <w:link w:val="Headerorfooter2"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before="980" w:after="120" w:line="100" w:lineRule="exact"/>
      <w:jc w:val="both"/>
    </w:pPr>
    <w:rPr>
      <w:rFonts w:ascii="Arial" w:eastAsia="Arial" w:hAnsi="Arial" w:cs="Arial"/>
      <w:sz w:val="9"/>
      <w:szCs w:val="9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before="120" w:line="190" w:lineRule="exact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before="300" w:after="100" w:line="100" w:lineRule="exact"/>
      <w:jc w:val="both"/>
    </w:pPr>
    <w:rPr>
      <w:rFonts w:ascii="Arial" w:eastAsia="Arial" w:hAnsi="Arial" w:cs="Arial"/>
      <w:b/>
      <w:bCs/>
      <w:sz w:val="9"/>
      <w:szCs w:val="9"/>
    </w:rPr>
  </w:style>
  <w:style w:type="paragraph" w:customStyle="1" w:styleId="Headerorfooter10">
    <w:name w:val="Header or footer|1"/>
    <w:basedOn w:val="Normln"/>
    <w:link w:val="Headerorfooter1"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</w:rPr>
  </w:style>
  <w:style w:type="paragraph" w:customStyle="1" w:styleId="Bodytext90">
    <w:name w:val="Body text|9"/>
    <w:basedOn w:val="Normln"/>
    <w:link w:val="Bodytext9"/>
    <w:pPr>
      <w:shd w:val="clear" w:color="auto" w:fill="FFFFFF"/>
      <w:spacing w:after="380" w:line="156" w:lineRule="exact"/>
    </w:pPr>
    <w:rPr>
      <w:rFonts w:ascii="Arial" w:eastAsia="Arial" w:hAnsi="Arial" w:cs="Arial"/>
      <w:w w:val="66"/>
      <w:sz w:val="14"/>
      <w:szCs w:val="14"/>
    </w:rPr>
  </w:style>
  <w:style w:type="paragraph" w:customStyle="1" w:styleId="Bodytext100">
    <w:name w:val="Body text|10"/>
    <w:basedOn w:val="Normln"/>
    <w:link w:val="Bodytext10"/>
    <w:pPr>
      <w:shd w:val="clear" w:color="auto" w:fill="FFFFFF"/>
      <w:spacing w:before="380" w:line="190" w:lineRule="exact"/>
      <w:jc w:val="both"/>
    </w:pPr>
    <w:rPr>
      <w:rFonts w:ascii="Arial" w:eastAsia="Arial" w:hAnsi="Arial" w:cs="Arial"/>
      <w:i/>
      <w:iCs/>
      <w:sz w:val="8"/>
      <w:szCs w:val="8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  <w:spacing w:line="346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Bodytext110">
    <w:name w:val="Body text|11"/>
    <w:basedOn w:val="Normln"/>
    <w:link w:val="Bodytext11"/>
    <w:pPr>
      <w:shd w:val="clear" w:color="auto" w:fill="FFFFFF"/>
      <w:spacing w:line="130" w:lineRule="exact"/>
    </w:pPr>
    <w:rPr>
      <w:rFonts w:ascii="Arial" w:eastAsia="Arial" w:hAnsi="Arial" w:cs="Arial"/>
      <w:sz w:val="11"/>
      <w:szCs w:val="11"/>
    </w:rPr>
  </w:style>
  <w:style w:type="paragraph" w:customStyle="1" w:styleId="Bodytext120">
    <w:name w:val="Body text|12"/>
    <w:basedOn w:val="Normln"/>
    <w:link w:val="Bodytext12"/>
    <w:pPr>
      <w:shd w:val="clear" w:color="auto" w:fill="FFFFFF"/>
      <w:spacing w:after="80" w:line="130" w:lineRule="exact"/>
    </w:pPr>
    <w:rPr>
      <w:rFonts w:ascii="Arial" w:eastAsia="Arial" w:hAnsi="Arial" w:cs="Arial"/>
      <w:sz w:val="10"/>
      <w:szCs w:val="10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line="380" w:lineRule="exact"/>
      <w:outlineLvl w:val="0"/>
    </w:pPr>
    <w:rPr>
      <w:rFonts w:ascii="Arial" w:eastAsia="Arial" w:hAnsi="Arial" w:cs="Arial"/>
      <w:i/>
      <w:iCs/>
      <w:sz w:val="34"/>
      <w:szCs w:val="34"/>
    </w:rPr>
  </w:style>
  <w:style w:type="paragraph" w:customStyle="1" w:styleId="Bodytext130">
    <w:name w:val="Body text|13"/>
    <w:basedOn w:val="Normln"/>
    <w:link w:val="Bodytext13"/>
    <w:pPr>
      <w:shd w:val="clear" w:color="auto" w:fill="FFFFFF"/>
      <w:spacing w:line="187" w:lineRule="exact"/>
    </w:pPr>
    <w:rPr>
      <w:rFonts w:ascii="Arial" w:eastAsia="Arial" w:hAnsi="Arial" w:cs="Arial"/>
      <w:b/>
      <w:bCs/>
      <w:w w:val="75"/>
      <w:sz w:val="16"/>
      <w:szCs w:val="16"/>
    </w:rPr>
  </w:style>
  <w:style w:type="paragraph" w:customStyle="1" w:styleId="Bodytext140">
    <w:name w:val="Body text|14"/>
    <w:basedOn w:val="Normln"/>
    <w:link w:val="Bodytext14"/>
    <w:pPr>
      <w:shd w:val="clear" w:color="auto" w:fill="FFFFFF"/>
      <w:spacing w:line="187" w:lineRule="exact"/>
      <w:ind w:firstLine="220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inkelhoferova@sambrokers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koop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1736</Words>
  <Characters>10246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Slámová</dc:creator>
  <cp:lastModifiedBy>Jana Slámová</cp:lastModifiedBy>
  <cp:revision>2</cp:revision>
  <dcterms:created xsi:type="dcterms:W3CDTF">2022-02-11T11:19:00Z</dcterms:created>
  <dcterms:modified xsi:type="dcterms:W3CDTF">2022-02-11T11:19:00Z</dcterms:modified>
</cp:coreProperties>
</file>