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5919470</wp:posOffset>
                </wp:positionH>
                <wp:positionV relativeFrom="paragraph">
                  <wp:posOffset>12700</wp:posOffset>
                </wp:positionV>
                <wp:extent cx="594360" cy="152400"/>
                <wp:wrapSquare wrapText="left"/>
                <wp:docPr id="1" name="Shape 1"/>
                <a:graphic xmlns:a="http://schemas.openxmlformats.org/drawingml/2006/main">
                  <a:graphicData uri="http://schemas.microsoft.com/office/word/2010/wordprocessingShape">
                    <wps:wsp>
                      <wps:cNvSpPr txBox="1"/>
                      <wps:spPr>
                        <a:xfrm>
                          <a:ext cx="594360"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2022000849</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6.10000000000002pt;margin-top:1.pt;width:46.800000000000004pt;height:12.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2022000849</w:t>
                      </w:r>
                    </w:p>
                  </w:txbxContent>
                </v:textbox>
                <w10:wrap type="square" side="left" anchorx="page"/>
              </v:shape>
            </w:pict>
          </mc:Fallback>
        </mc:AlternateContent>
      </w:r>
    </w:p>
    <w:p>
      <w:pPr>
        <w:pStyle w:val="Style4"/>
        <w:keepNext w:val="0"/>
        <w:keepLines w:val="0"/>
        <w:widowControl w:val="0"/>
        <w:shd w:val="clear" w:color="auto" w:fill="auto"/>
        <w:bidi w:val="0"/>
        <w:spacing w:before="0" w:after="280" w:line="240" w:lineRule="auto"/>
        <w:ind w:left="0" w:right="0" w:firstLine="0"/>
        <w:jc w:val="center"/>
      </w:pPr>
      <w:r>
        <w:rPr>
          <w:rStyle w:val="CharStyle5"/>
        </w:rPr>
        <w:t>Smlouva</w:t>
        <w:br/>
      </w:r>
      <w:r>
        <w:rPr>
          <w:rStyle w:val="CharStyle5"/>
        </w:rPr>
        <w:t>o dílo podle ust. par. 2586 a násl. občanského zákoníku, uzavřená mezi</w:t>
      </w:r>
    </w:p>
    <w:p>
      <w:pPr>
        <w:pStyle w:val="Style4"/>
        <w:keepNext w:val="0"/>
        <w:keepLines w:val="0"/>
        <w:widowControl w:val="0"/>
        <w:shd w:val="clear" w:color="auto" w:fill="auto"/>
        <w:bidi w:val="0"/>
        <w:spacing w:before="0" w:after="280"/>
        <w:ind w:left="0" w:right="0" w:firstLine="400"/>
        <w:jc w:val="both"/>
      </w:pPr>
      <w:r>
        <w:rPr>
          <w:rStyle w:val="CharStyle5"/>
        </w:rPr>
        <w:t>1/ Zdravotnickou záchrannou službou Jihomoravského kraje, příspěvkovou organizací, IC 00346292, se sídlem v Brně, Kamenice 798/ld, zastoupeným svou ředitelkou paní MUDr. Hanou Albrechtovou jako objednatelem / dále jen „ objednatel “ /, a</w:t>
      </w:r>
    </w:p>
    <w:p>
      <w:pPr>
        <w:pStyle w:val="Style4"/>
        <w:keepNext w:val="0"/>
        <w:keepLines w:val="0"/>
        <w:widowControl w:val="0"/>
        <w:shd w:val="clear" w:color="auto" w:fill="auto"/>
        <w:bidi w:val="0"/>
        <w:spacing w:before="0" w:after="600" w:line="252" w:lineRule="auto"/>
        <w:ind w:left="0" w:right="0" w:firstLine="400"/>
        <w:jc w:val="both"/>
      </w:pPr>
      <w:r>
        <w:rPr>
          <w:rStyle w:val="CharStyle5"/>
        </w:rPr>
        <w:t>2/ společností CEVRE Consultants s.r.o., IČ 04753577, se sídlem v Brně, Fugnerova 462/34, zastoupenou svým jednatelem panem Ing. Jiřím Cihlářem jako zhotovitelem / dále jen „ zhotovitel “ /.</w:t>
      </w:r>
    </w:p>
    <w:p>
      <w:pPr>
        <w:pStyle w:val="Style4"/>
        <w:keepNext w:val="0"/>
        <w:keepLines w:val="0"/>
        <w:widowControl w:val="0"/>
        <w:numPr>
          <w:ilvl w:val="0"/>
          <w:numId w:val="1"/>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after="600" w:line="254" w:lineRule="auto"/>
        <w:ind w:left="0" w:right="0" w:firstLine="400"/>
        <w:jc w:val="both"/>
      </w:pPr>
      <w:r>
        <w:rPr>
          <w:rStyle w:val="CharStyle5"/>
        </w:rPr>
        <w:t>Zhotovitel se zavazuje, že pro objednatele provede dílo, spočívající ve zhotovení tzv. energetického posouzení pracoviště objednatele v Ivančicích, ul. Široká 371/11, a to za účelem snížení energetické náročnosti příslušné budovy, za účelem zvýšení využití obnovitelných zdrojů.</w:t>
      </w:r>
    </w:p>
    <w:p>
      <w:pPr>
        <w:pStyle w:val="Style4"/>
        <w:keepNext w:val="0"/>
        <w:keepLines w:val="0"/>
        <w:widowControl w:val="0"/>
        <w:numPr>
          <w:ilvl w:val="0"/>
          <w:numId w:val="1"/>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after="0"/>
        <w:ind w:left="0" w:right="0" w:firstLine="340"/>
        <w:jc w:val="both"/>
      </w:pPr>
      <w:r>
        <w:rPr>
          <w:rStyle w:val="CharStyle5"/>
        </w:rPr>
        <w:t>Součástí díla podle čl. 1 této smlouvy je</w:t>
      </w:r>
    </w:p>
    <w:p>
      <w:pPr>
        <w:pStyle w:val="Style4"/>
        <w:keepNext w:val="0"/>
        <w:keepLines w:val="0"/>
        <w:widowControl w:val="0"/>
        <w:shd w:val="clear" w:color="auto" w:fill="auto"/>
        <w:bidi w:val="0"/>
        <w:spacing w:before="0" w:after="600"/>
        <w:ind w:left="0" w:right="0" w:firstLine="0"/>
        <w:jc w:val="both"/>
      </w:pPr>
      <w:r>
        <w:rPr>
          <w:rStyle w:val="CharStyle5"/>
        </w:rPr>
        <w:t>a/ ve Fázi I: vytvoření výpočtového modelu stávajícího stavu energetické náročnosti příslušné budovy, a výpočtového modelu navrhovaného stavu po zamýšlené stavební úpravě této budovy, a to v souladu s vyhl. č. 264/2020 Sb. o energetické náročnosti budov, s technickými normami č. ČSN EN ISO 52016-1 a č. ČSN 730331, a s požadavky příslušného dotačního programu SFŽP ČR, včetně návrhu optimalizace b/ ve Fázi II: zhotovení vlastního tzv. energetického posouzení pro účely žádosti o dotaci z veřejných zdrojů, a to v souladu se závazným vzorem zveřejněným v rámci příslušné výzvy SFŽP ČR.</w:t>
      </w:r>
    </w:p>
    <w:p>
      <w:pPr>
        <w:pStyle w:val="Style4"/>
        <w:keepNext w:val="0"/>
        <w:keepLines w:val="0"/>
        <w:widowControl w:val="0"/>
        <w:numPr>
          <w:ilvl w:val="0"/>
          <w:numId w:val="1"/>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after="280"/>
        <w:ind w:left="0" w:right="0" w:firstLine="400"/>
        <w:jc w:val="both"/>
        <w:sectPr>
          <w:footnotePr>
            <w:pos w:val="pageBottom"/>
            <w:numFmt w:val="decimal"/>
            <w:numRestart w:val="continuous"/>
          </w:footnotePr>
          <w:pgSz w:w="11900" w:h="16840"/>
          <w:pgMar w:top="1290" w:right="1320" w:bottom="1290" w:left="1474" w:header="862" w:footer="862" w:gutter="0"/>
          <w:pgNumType w:start="1"/>
          <w:cols w:space="720"/>
          <w:noEndnote/>
          <w:rtlGutter w:val="0"/>
          <w:docGrid w:linePitch="360"/>
        </w:sectPr>
      </w:pPr>
      <w:r>
        <w:rPr>
          <w:rStyle w:val="CharStyle5"/>
        </w:rPr>
        <w:t>Zhotovitel se zavazuje provést část díla podle čl. 2 písm. a/ této smlouvy ve lhůtě nejpozději do 31.3.2022 a část díla podle čl. 2 písm. b/ této smlouvy ve lhůtě nejpozději do 1 měsíce od doručení příslušné projektové dokumentace stavební úpravy příslušné budovy. Místem splnění závazku zhotovitele k provedení díla podle čl. 1 této smlouvy je přitom sídlo objednatele dle záhlaví této smlouvy.</w:t>
      </w:r>
    </w:p>
    <w:p>
      <w:pPr>
        <w:pStyle w:val="Style4"/>
        <w:keepNext w:val="0"/>
        <w:keepLines w:val="0"/>
        <w:widowControl w:val="0"/>
        <w:shd w:val="clear" w:color="auto" w:fill="auto"/>
        <w:bidi w:val="0"/>
        <w:spacing w:before="0"/>
        <w:ind w:left="0" w:right="0" w:firstLine="440"/>
        <w:jc w:val="both"/>
      </w:pPr>
      <w:r>
        <w:rPr>
          <w:rStyle w:val="CharStyle5"/>
        </w:rPr>
        <w:t>Zhotovitel se zavazuje postupovat při provádění díla podle čl. 1 této smlouvy podle této smlouvy, podle příslušných právních, technických a hygienických norem, podle průběžných pokynů objednatele a s náležitou odbornou péěí.</w:t>
      </w:r>
    </w:p>
    <w:p>
      <w:pPr>
        <w:pStyle w:val="Style4"/>
        <w:keepNext w:val="0"/>
        <w:keepLines w:val="0"/>
        <w:widowControl w:val="0"/>
        <w:numPr>
          <w:ilvl w:val="0"/>
          <w:numId w:val="3"/>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ind w:left="0" w:right="0"/>
        <w:jc w:val="both"/>
      </w:pPr>
      <w:r>
        <w:rPr>
          <w:rStyle w:val="CharStyle5"/>
        </w:rPr>
        <w:t>Závazek zhotovitele k provedení díla podle čl. 1 této smlouvy se považuje za splněný odevzdáním díla do rukou objednatele, a to v listinné formě a v elektronické podobě na CD, vždy nejméně ve dvou vyhotoveních. O tomto předání a převzetí díla bude pořízen písemný zápis, potvrzený oběma stranami. Objednatel není povinen potvrdit zhotoviteli převzetí díla, zjistí-li se na předávaném díle jakákoliv vada.</w:t>
      </w:r>
    </w:p>
    <w:p>
      <w:pPr>
        <w:pStyle w:val="Style4"/>
        <w:keepNext w:val="0"/>
        <w:keepLines w:val="0"/>
        <w:widowControl w:val="0"/>
        <w:numPr>
          <w:ilvl w:val="0"/>
          <w:numId w:val="3"/>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ind w:left="0" w:right="0" w:firstLine="440"/>
        <w:jc w:val="both"/>
      </w:pPr>
      <w:r>
        <w:rPr>
          <w:rStyle w:val="CharStyle5"/>
        </w:rPr>
        <w:t>Nebezpečí škody na díle podle čl. 1 této smlouvy a vlastnické právo k tomuto dílu přechází ze zhotovitele na objednatele dnem splnění závazku zhotovitele k provedení tohoto díla ve smyslu ust. čl. 5 této smlouvy. Tímto dnem se také zřizuje ve prospěch objednatele časově neomezená uživatelská licence ktěm částem díla, které mají povahu autorského díla ve smyslu ust. par. 2 odst. 2 zák. 121/2000 Sb.</w:t>
      </w:r>
    </w:p>
    <w:p>
      <w:pPr>
        <w:pStyle w:val="Style4"/>
        <w:keepNext w:val="0"/>
        <w:keepLines w:val="0"/>
        <w:widowControl w:val="0"/>
        <w:numPr>
          <w:ilvl w:val="0"/>
          <w:numId w:val="3"/>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ind w:left="0" w:right="0" w:firstLine="500"/>
        <w:jc w:val="both"/>
      </w:pPr>
      <w:r>
        <w:rPr>
          <w:rStyle w:val="CharStyle5"/>
        </w:rPr>
        <w:t>Pro případ prodlení se splněním svého závazku podle čl. 1 této smlouvy ve lhůtách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 plné výši.</w:t>
      </w:r>
    </w:p>
    <w:p>
      <w:pPr>
        <w:pStyle w:val="Style4"/>
        <w:keepNext w:val="0"/>
        <w:keepLines w:val="0"/>
        <w:widowControl w:val="0"/>
        <w:numPr>
          <w:ilvl w:val="0"/>
          <w:numId w:val="3"/>
        </w:numPr>
        <w:shd w:val="clear" w:color="auto" w:fill="auto"/>
        <w:bidi w:val="0"/>
        <w:spacing w:before="0" w:after="280"/>
        <w:ind w:left="0" w:right="0" w:firstLine="0"/>
        <w:jc w:val="center"/>
      </w:pPr>
    </w:p>
    <w:p>
      <w:pPr>
        <w:pStyle w:val="Style4"/>
        <w:keepNext w:val="0"/>
        <w:keepLines w:val="0"/>
        <w:widowControl w:val="0"/>
        <w:shd w:val="clear" w:color="auto" w:fill="auto"/>
        <w:bidi w:val="0"/>
        <w:spacing w:before="0" w:after="0" w:line="262" w:lineRule="auto"/>
        <w:ind w:left="0" w:right="0" w:firstLine="0"/>
        <w:jc w:val="both"/>
      </w:pPr>
      <w:r>
        <w:rPr>
          <w:rStyle w:val="CharStyle5"/>
        </w:rPr>
        <w:t>Objednatel se zavazuje zaplatit zhotoviteli za dílo podle čl. 1 této smlouvy cenu díla takto:</w:t>
      </w:r>
    </w:p>
    <w:p>
      <w:pPr>
        <w:pStyle w:val="Style4"/>
        <w:keepNext w:val="0"/>
        <w:keepLines w:val="0"/>
        <w:widowControl w:val="0"/>
        <w:shd w:val="clear" w:color="auto" w:fill="auto"/>
        <w:bidi w:val="0"/>
        <w:spacing w:before="0" w:after="0" w:line="262" w:lineRule="auto"/>
        <w:ind w:left="0" w:right="0" w:firstLine="0"/>
        <w:jc w:val="both"/>
      </w:pPr>
      <w:r>
        <w:rPr>
          <w:rStyle w:val="CharStyle5"/>
        </w:rPr>
        <w:t>a/ za Fázi I ve výši 45 000,-Kč plus DPH z této částky</w:t>
      </w:r>
    </w:p>
    <w:p>
      <w:pPr>
        <w:pStyle w:val="Style4"/>
        <w:keepNext w:val="0"/>
        <w:keepLines w:val="0"/>
        <w:widowControl w:val="0"/>
        <w:shd w:val="clear" w:color="auto" w:fill="auto"/>
        <w:bidi w:val="0"/>
        <w:spacing w:before="0" w:after="0" w:line="262" w:lineRule="auto"/>
        <w:ind w:left="0" w:right="0" w:firstLine="0"/>
        <w:jc w:val="both"/>
      </w:pPr>
      <w:r>
        <w:rPr>
          <w:rStyle w:val="CharStyle5"/>
        </w:rPr>
        <w:t>b/ za Fázi II ve výši 40 000,-Kč plus DPH z této částky</w:t>
      </w:r>
    </w:p>
    <w:p>
      <w:pPr>
        <w:pStyle w:val="Style4"/>
        <w:keepNext w:val="0"/>
        <w:keepLines w:val="0"/>
        <w:widowControl w:val="0"/>
        <w:shd w:val="clear" w:color="auto" w:fill="auto"/>
        <w:bidi w:val="0"/>
        <w:spacing w:before="0" w:after="440" w:line="262" w:lineRule="auto"/>
        <w:ind w:left="0" w:right="0" w:firstLine="0"/>
        <w:jc w:val="both"/>
        <w:sectPr>
          <w:headerReference w:type="default" r:id="rId5"/>
          <w:footnotePr>
            <w:pos w:val="pageBottom"/>
            <w:numFmt w:val="decimal"/>
            <w:numRestart w:val="continuous"/>
          </w:footnotePr>
          <w:pgSz w:w="11900" w:h="16840"/>
          <w:pgMar w:top="2320" w:right="1352" w:bottom="2058" w:left="1462" w:header="0" w:footer="1630" w:gutter="0"/>
          <w:pgNumType w:start="4"/>
          <w:cols w:space="720"/>
          <w:noEndnote/>
          <w:rtlGutter w:val="0"/>
          <w:docGrid w:linePitch="360"/>
        </w:sectPr>
      </w:pPr>
      <w:r>
        <w:rPr>
          <w:rStyle w:val="CharStyle5"/>
        </w:rPr>
        <w:t>s tím, že součástí této ceny jsou veškeré náklady zhotovitele, spojené splněním závazku zhotovitele podle čl. 1 této smlouvy.</w:t>
      </w:r>
    </w:p>
    <w:p>
      <w:pPr>
        <w:pStyle w:val="Style4"/>
        <w:keepNext w:val="0"/>
        <w:keepLines w:val="0"/>
        <w:widowControl w:val="0"/>
        <w:shd w:val="clear" w:color="auto" w:fill="auto"/>
        <w:bidi w:val="0"/>
        <w:spacing w:before="0" w:line="252" w:lineRule="auto"/>
        <w:ind w:left="0" w:right="0" w:firstLine="360"/>
        <w:jc w:val="both"/>
      </w:pPr>
      <w:r>
        <w:rPr>
          <w:rStyle w:val="CharStyle5"/>
        </w:rPr>
        <w:t>Cena díla podle čl. 8 této smlouvy je splatná po splnění závazku zhotovitele k provedení díla podle čl. 1 této smlouvy ve lhůtě do 30-ti dnů od předložení jejího písemného vyúčtování / faktury /.</w:t>
      </w:r>
    </w:p>
    <w:p>
      <w:pPr>
        <w:pStyle w:val="Style4"/>
        <w:keepNext w:val="0"/>
        <w:keepLines w:val="0"/>
        <w:widowControl w:val="0"/>
        <w:shd w:val="clear" w:color="auto" w:fill="auto"/>
        <w:bidi w:val="0"/>
        <w:spacing w:before="0" w:after="300" w:line="240" w:lineRule="auto"/>
        <w:ind w:left="0" w:right="0" w:firstLine="0"/>
        <w:jc w:val="center"/>
      </w:pPr>
      <w:r>
        <w:rPr>
          <w:rStyle w:val="CharStyle5"/>
        </w:rPr>
        <w:t>10.</w:t>
      </w:r>
    </w:p>
    <w:p>
      <w:pPr>
        <w:pStyle w:val="Style4"/>
        <w:keepNext w:val="0"/>
        <w:keepLines w:val="0"/>
        <w:widowControl w:val="0"/>
        <w:shd w:val="clear" w:color="auto" w:fill="auto"/>
        <w:bidi w:val="0"/>
        <w:spacing w:before="0" w:line="240" w:lineRule="auto"/>
        <w:ind w:left="0" w:right="0" w:firstLine="440"/>
        <w:jc w:val="both"/>
      </w:pPr>
      <w:r>
        <w:rPr>
          <w:rStyle w:val="CharStyle5"/>
        </w:rPr>
        <w:t>Pro případ prodlení s úhradou ceny díla ve lhůtě podle čl. 7 této smlouvy se objednatel zavazuje zaplatit zhotoviteli úrok z prodlení v sazbě dle zákona.</w:t>
      </w:r>
    </w:p>
    <w:p>
      <w:pPr>
        <w:pStyle w:val="Style4"/>
        <w:keepNext w:val="0"/>
        <w:keepLines w:val="0"/>
        <w:widowControl w:val="0"/>
        <w:shd w:val="clear" w:color="auto" w:fill="auto"/>
        <w:bidi w:val="0"/>
        <w:spacing w:before="0" w:after="300" w:line="240" w:lineRule="auto"/>
        <w:ind w:left="0" w:right="0" w:firstLine="0"/>
        <w:jc w:val="center"/>
      </w:pPr>
      <w:r>
        <w:rPr>
          <w:rStyle w:val="CharStyle5"/>
        </w:rPr>
        <w:t>11.</w:t>
      </w:r>
    </w:p>
    <w:p>
      <w:pPr>
        <w:pStyle w:val="Style4"/>
        <w:keepNext w:val="0"/>
        <w:keepLines w:val="0"/>
        <w:widowControl w:val="0"/>
        <w:shd w:val="clear" w:color="auto" w:fill="auto"/>
        <w:bidi w:val="0"/>
        <w:spacing w:before="0" w:line="259" w:lineRule="auto"/>
        <w:ind w:left="0" w:right="0" w:firstLine="360"/>
        <w:jc w:val="both"/>
      </w:pPr>
      <w:r>
        <w:rPr>
          <w:rStyle w:val="CharStyle5"/>
        </w:rPr>
        <w:t>Zhotovitel odpovídá objednateli za to, že dílo podle čl. 1 této smlouvy bude odpovídat tuzemským technickým, hygienickým a jiným normám, a že bude mít ty vlastnosti, které jsou u děl tohoto druhu obvyklé. V tomto smyslu se zhotovitel zavazuje bezplatně odstraňovat vady, které se na dílo podle čl. 1 této smlouvy vyskytnou, a to po celou dobu, po kterou to bude mít pro objednatele nějaký ekonomický či jiný praktický význam.</w:t>
      </w:r>
    </w:p>
    <w:p>
      <w:pPr>
        <w:pStyle w:val="Style4"/>
        <w:keepNext w:val="0"/>
        <w:keepLines w:val="0"/>
        <w:widowControl w:val="0"/>
        <w:shd w:val="clear" w:color="auto" w:fill="auto"/>
        <w:bidi w:val="0"/>
        <w:spacing w:before="0" w:after="300" w:line="240" w:lineRule="auto"/>
        <w:ind w:left="0" w:right="0" w:firstLine="0"/>
        <w:jc w:val="center"/>
      </w:pPr>
      <w:r>
        <w:rPr>
          <w:rStyle w:val="CharStyle5"/>
        </w:rPr>
        <w:t>12.</w:t>
      </w:r>
    </w:p>
    <w:p>
      <w:pPr>
        <w:pStyle w:val="Style4"/>
        <w:keepNext w:val="0"/>
        <w:keepLines w:val="0"/>
        <w:widowControl w:val="0"/>
        <w:shd w:val="clear" w:color="auto" w:fill="auto"/>
        <w:bidi w:val="0"/>
        <w:spacing w:before="0" w:line="259" w:lineRule="auto"/>
        <w:ind w:left="0" w:right="0" w:firstLine="440"/>
        <w:jc w:val="both"/>
      </w:pPr>
      <w:r>
        <w:rPr>
          <w:rStyle w:val="CharStyle5"/>
        </w:rPr>
        <w:t>Zhotovitel se zavazuje rozhodovat o písemných reklamacích objednatelů v období po dokončení díla písemně ve lhůtě do 10-ti dnů od jejich doručení, a ve stejné lhůtě provést odstranění vad z oprávněných reklamací, nebude-li mezi oběma stranami v jednotlivém případě dohodnuto jinak.</w:t>
      </w:r>
    </w:p>
    <w:p>
      <w:pPr>
        <w:pStyle w:val="Style4"/>
        <w:keepNext w:val="0"/>
        <w:keepLines w:val="0"/>
        <w:widowControl w:val="0"/>
        <w:shd w:val="clear" w:color="auto" w:fill="auto"/>
        <w:bidi w:val="0"/>
        <w:spacing w:before="0" w:after="300" w:line="240" w:lineRule="auto"/>
        <w:ind w:left="0" w:right="0" w:firstLine="0"/>
        <w:jc w:val="center"/>
      </w:pPr>
      <w:r>
        <w:rPr>
          <w:rStyle w:val="CharStyle5"/>
        </w:rPr>
        <w:t>13.</w:t>
      </w:r>
    </w:p>
    <w:p>
      <w:pPr>
        <w:pStyle w:val="Style4"/>
        <w:keepNext w:val="0"/>
        <w:keepLines w:val="0"/>
        <w:widowControl w:val="0"/>
        <w:shd w:val="clear" w:color="auto" w:fill="auto"/>
        <w:bidi w:val="0"/>
        <w:spacing w:before="0"/>
        <w:ind w:left="0" w:right="0" w:firstLine="500"/>
        <w:jc w:val="both"/>
      </w:pPr>
      <w:r>
        <w:rPr>
          <w:rStyle w:val="CharStyle5"/>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4"/>
        <w:keepNext w:val="0"/>
        <w:keepLines w:val="0"/>
        <w:widowControl w:val="0"/>
        <w:shd w:val="clear" w:color="auto" w:fill="auto"/>
        <w:bidi w:val="0"/>
        <w:spacing w:before="0" w:after="300" w:line="240" w:lineRule="auto"/>
        <w:ind w:left="0" w:right="0" w:firstLine="0"/>
        <w:jc w:val="center"/>
      </w:pPr>
      <w:r>
        <w:rPr>
          <w:rStyle w:val="CharStyle5"/>
        </w:rPr>
        <w:t>14.</w:t>
      </w:r>
    </w:p>
    <w:p>
      <w:pPr>
        <w:pStyle w:val="Style4"/>
        <w:keepNext w:val="0"/>
        <w:keepLines w:val="0"/>
        <w:widowControl w:val="0"/>
        <w:shd w:val="clear" w:color="auto" w:fill="auto"/>
        <w:bidi w:val="0"/>
        <w:spacing w:before="0" w:after="440" w:line="252" w:lineRule="auto"/>
        <w:ind w:left="0" w:right="0" w:firstLine="440"/>
        <w:jc w:val="both"/>
        <w:sectPr>
          <w:headerReference w:type="default" r:id="rId6"/>
          <w:footnotePr>
            <w:pos w:val="pageBottom"/>
            <w:numFmt w:val="decimal"/>
            <w:numRestart w:val="continuous"/>
          </w:footnotePr>
          <w:pgSz w:w="11900" w:h="16840"/>
          <w:pgMar w:top="2320" w:right="1352" w:bottom="2058" w:left="1462" w:header="0" w:footer="1630" w:gutter="0"/>
          <w:pgNumType w:start="9"/>
          <w:cols w:space="720"/>
          <w:noEndnote/>
          <w:rtlGutter w:val="0"/>
          <w:docGrid w:linePitch="360"/>
        </w:sectPr>
      </w:pPr>
      <w:r>
        <w:rPr>
          <w:rStyle w:val="CharStyle5"/>
        </w:rPr>
        <w:t>Pro případ prodlení zhotovitele s odstraněním vady díla ve lhůtě podle čl. 12 této smlouvy, se zhotovitel zavazuje zaplatit objednateli smluvní pokutu ve výši 1 000,-Kč za každý započatý den prodlení.</w:t>
      </w:r>
    </w:p>
    <w:p>
      <w:pPr>
        <w:pStyle w:val="Style4"/>
        <w:keepNext w:val="0"/>
        <w:keepLines w:val="0"/>
        <w:widowControl w:val="0"/>
        <w:shd w:val="clear" w:color="auto" w:fill="auto"/>
        <w:bidi w:val="0"/>
        <w:spacing w:before="0"/>
        <w:ind w:left="0" w:right="0"/>
        <w:jc w:val="both"/>
      </w:pPr>
      <w:r>
        <w:rPr>
          <w:rStyle w:val="CharStyle5"/>
        </w:rPr>
        <w:t>Nepřikročí-li zhotovitel k odstranění vady ve lhůtě podle čl. 12 této smlouvy nebo v něm z důvodů na své straně nepokračuje, a to ani po písemné výzvě objednatele, je objednatel oprávněn nechat provést toto odstranění třetí osobou na náklad zhotovitele.</w:t>
      </w:r>
    </w:p>
    <w:p>
      <w:pPr>
        <w:pStyle w:val="Style4"/>
        <w:keepNext w:val="0"/>
        <w:keepLines w:val="0"/>
        <w:widowControl w:val="0"/>
        <w:shd w:val="clear" w:color="auto" w:fill="auto"/>
        <w:bidi w:val="0"/>
        <w:spacing w:before="0" w:after="300" w:line="240" w:lineRule="auto"/>
        <w:ind w:left="0" w:right="0" w:firstLine="0"/>
        <w:jc w:val="center"/>
      </w:pPr>
      <w:r>
        <w:rPr>
          <w:rStyle w:val="CharStyle5"/>
        </w:rPr>
        <w:t>16.</w:t>
      </w:r>
    </w:p>
    <w:p>
      <w:pPr>
        <w:pStyle w:val="Style4"/>
        <w:keepNext w:val="0"/>
        <w:keepLines w:val="0"/>
        <w:widowControl w:val="0"/>
        <w:shd w:val="clear" w:color="auto" w:fill="auto"/>
        <w:bidi w:val="0"/>
        <w:spacing w:before="0" w:line="259" w:lineRule="auto"/>
        <w:ind w:left="0" w:right="0" w:firstLine="460"/>
        <w:jc w:val="both"/>
      </w:pPr>
      <w:r>
        <w:rPr>
          <w:rStyle w:val="CharStyle5"/>
        </w:rPr>
        <w:t>Objednatel je oprávněn odstoupit od této smlouvy o dílo s účinky ex tuně, bude-li zhotovitel v prodlení se splněním svého závazku podle čl. 1 této smlouvy ve lhůtě podle čl. 2 této smlouvy o víc, než 1 měsíc.</w:t>
      </w:r>
    </w:p>
    <w:p>
      <w:pPr>
        <w:pStyle w:val="Style4"/>
        <w:keepNext w:val="0"/>
        <w:keepLines w:val="0"/>
        <w:widowControl w:val="0"/>
        <w:shd w:val="clear" w:color="auto" w:fill="auto"/>
        <w:bidi w:val="0"/>
        <w:spacing w:before="0" w:after="300" w:line="240" w:lineRule="auto"/>
        <w:ind w:left="0" w:right="0" w:firstLine="0"/>
        <w:jc w:val="center"/>
      </w:pPr>
      <w:r>
        <w:rPr>
          <w:rStyle w:val="CharStyle5"/>
        </w:rPr>
        <w:t>17.</w:t>
      </w:r>
    </w:p>
    <w:p>
      <w:pPr>
        <w:pStyle w:val="Style4"/>
        <w:keepNext w:val="0"/>
        <w:keepLines w:val="0"/>
        <w:widowControl w:val="0"/>
        <w:shd w:val="clear" w:color="auto" w:fill="auto"/>
        <w:bidi w:val="0"/>
        <w:spacing w:before="0" w:line="254" w:lineRule="auto"/>
        <w:ind w:left="0" w:right="0" w:firstLine="460"/>
        <w:jc w:val="both"/>
      </w:pPr>
      <w:r>
        <w:rPr>
          <w:rStyle w:val="CharStyle5"/>
        </w:rPr>
        <w:t>Zhotovitel je oprávněn odstoupit od této smlouvy, bude-li objednatel v prodlení se splněním jeho uhrazovací povinnosti podle této smlouvy o víc, než jeden měsíc.</w:t>
      </w:r>
    </w:p>
    <w:p>
      <w:pPr>
        <w:pStyle w:val="Style4"/>
        <w:keepNext w:val="0"/>
        <w:keepLines w:val="0"/>
        <w:widowControl w:val="0"/>
        <w:shd w:val="clear" w:color="auto" w:fill="auto"/>
        <w:bidi w:val="0"/>
        <w:spacing w:before="0" w:after="300" w:line="240" w:lineRule="auto"/>
        <w:ind w:left="0" w:right="0" w:firstLine="0"/>
        <w:jc w:val="center"/>
      </w:pPr>
      <w:r>
        <w:rPr>
          <w:rStyle w:val="CharStyle5"/>
        </w:rPr>
        <w:t>18.</w:t>
      </w:r>
    </w:p>
    <w:p>
      <w:pPr>
        <w:pStyle w:val="Style4"/>
        <w:keepNext w:val="0"/>
        <w:keepLines w:val="0"/>
        <w:widowControl w:val="0"/>
        <w:shd w:val="clear" w:color="auto" w:fill="auto"/>
        <w:bidi w:val="0"/>
        <w:spacing w:before="0"/>
        <w:ind w:left="0" w:right="0" w:firstLine="460"/>
        <w:jc w:val="both"/>
      </w:pPr>
      <w:r>
        <w:rPr>
          <w:rStyle w:val="CharStyle5"/>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4"/>
        <w:keepNext w:val="0"/>
        <w:keepLines w:val="0"/>
        <w:widowControl w:val="0"/>
        <w:shd w:val="clear" w:color="auto" w:fill="auto"/>
        <w:bidi w:val="0"/>
        <w:spacing w:before="0" w:after="300" w:line="240" w:lineRule="auto"/>
        <w:ind w:left="0" w:right="0" w:firstLine="0"/>
        <w:jc w:val="center"/>
      </w:pPr>
      <w:r>
        <w:rPr>
          <w:rStyle w:val="CharStyle5"/>
        </w:rPr>
        <w:t>19.</w:t>
      </w:r>
    </w:p>
    <w:p>
      <w:pPr>
        <w:pStyle w:val="Style4"/>
        <w:keepNext w:val="0"/>
        <w:keepLines w:val="0"/>
        <w:widowControl w:val="0"/>
        <w:shd w:val="clear" w:color="auto" w:fill="auto"/>
        <w:bidi w:val="0"/>
        <w:spacing w:before="0"/>
        <w:ind w:left="0" w:right="0" w:firstLine="460"/>
        <w:jc w:val="both"/>
      </w:pPr>
      <w:r>
        <w:rPr>
          <w:rStyle w:val="CharStyle5"/>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par. 1740 odst. 3 občanského zákoníku.</w:t>
      </w:r>
    </w:p>
    <w:p>
      <w:pPr>
        <w:pStyle w:val="Style4"/>
        <w:keepNext w:val="0"/>
        <w:keepLines w:val="0"/>
        <w:widowControl w:val="0"/>
        <w:shd w:val="clear" w:color="auto" w:fill="auto"/>
        <w:bidi w:val="0"/>
        <w:spacing w:before="0" w:after="300" w:line="240" w:lineRule="auto"/>
        <w:ind w:left="0" w:right="0" w:firstLine="0"/>
        <w:jc w:val="center"/>
      </w:pPr>
      <w:r>
        <w:rPr>
          <w:rStyle w:val="CharStyle5"/>
        </w:rPr>
        <w:t>20.</w:t>
      </w:r>
    </w:p>
    <w:p>
      <w:pPr>
        <w:pStyle w:val="Style4"/>
        <w:keepNext w:val="0"/>
        <w:keepLines w:val="0"/>
        <w:widowControl w:val="0"/>
        <w:shd w:val="clear" w:color="auto" w:fill="auto"/>
        <w:bidi w:val="0"/>
        <w:spacing w:before="0" w:after="440"/>
        <w:ind w:left="0" w:right="0"/>
        <w:jc w:val="both"/>
        <w:sectPr>
          <w:headerReference w:type="default" r:id="rId7"/>
          <w:footnotePr>
            <w:pos w:val="pageBottom"/>
            <w:numFmt w:val="decimal"/>
            <w:numRestart w:val="continuous"/>
          </w:footnotePr>
          <w:pgSz w:w="11900" w:h="16840"/>
          <w:pgMar w:top="2320" w:right="1352" w:bottom="2058" w:left="1462" w:header="0" w:footer="1630" w:gutter="0"/>
          <w:pgNumType w:start="15"/>
          <w:cols w:space="720"/>
          <w:noEndnote/>
          <w:rtlGutter w:val="0"/>
          <w:docGrid w:linePitch="360"/>
        </w:sectPr>
      </w:pPr>
      <w:r>
        <w:rPr>
          <w:rStyle w:val="CharStyle5"/>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pStyle w:val="Style4"/>
        <w:keepNext w:val="0"/>
        <w:keepLines w:val="0"/>
        <w:widowControl w:val="0"/>
        <w:shd w:val="clear" w:color="auto" w:fill="auto"/>
        <w:bidi w:val="0"/>
        <w:spacing w:before="0" w:line="254" w:lineRule="auto"/>
        <w:ind w:left="0" w:right="0" w:firstLine="500"/>
        <w:jc w:val="both"/>
      </w:pPr>
      <w:r>
        <w:rPr>
          <w:rStyle w:val="CharStyle5"/>
        </w:rPr>
        <w:t>Tuto smlouvu lze změnit nebo zrušit pouze jinou písemnou dohodu obou smluvních stran.</w:t>
      </w:r>
    </w:p>
    <w:p>
      <w:pPr>
        <w:pStyle w:val="Style4"/>
        <w:keepNext w:val="0"/>
        <w:keepLines w:val="0"/>
        <w:widowControl w:val="0"/>
        <w:shd w:val="clear" w:color="auto" w:fill="auto"/>
        <w:bidi w:val="0"/>
        <w:spacing w:before="0" w:after="280" w:line="264" w:lineRule="auto"/>
        <w:ind w:left="0" w:right="0" w:firstLine="0"/>
        <w:jc w:val="center"/>
      </w:pPr>
      <w:r>
        <w:rPr>
          <w:rStyle w:val="CharStyle5"/>
        </w:rPr>
        <w:t>22.</w:t>
      </w:r>
    </w:p>
    <w:p>
      <w:pPr>
        <w:pStyle w:val="Style4"/>
        <w:keepNext w:val="0"/>
        <w:keepLines w:val="0"/>
        <w:widowControl w:val="0"/>
        <w:shd w:val="clear" w:color="auto" w:fill="auto"/>
        <w:bidi w:val="0"/>
        <w:spacing w:before="0" w:line="264" w:lineRule="auto"/>
        <w:ind w:left="0" w:right="0"/>
        <w:jc w:val="both"/>
      </w:pPr>
      <w:r>
        <w:rPr>
          <w:rStyle w:val="CharStyle5"/>
        </w:rPr>
        <w:t>Tato smlouva nabývá platnosti dnem jejího uzavření a účinnosti dnem jejího uveřejnění v registru smluv podle příslušných ustanovení zákona č. 340/2015 Sb. o registru smluv.</w:t>
      </w:r>
    </w:p>
    <w:p>
      <w:pPr>
        <w:pStyle w:val="Style4"/>
        <w:keepNext w:val="0"/>
        <w:keepLines w:val="0"/>
        <w:widowControl w:val="0"/>
        <w:shd w:val="clear" w:color="auto" w:fill="auto"/>
        <w:bidi w:val="0"/>
        <w:spacing w:before="0" w:after="280" w:line="240" w:lineRule="auto"/>
        <w:ind w:left="0" w:right="0" w:firstLine="0"/>
        <w:jc w:val="center"/>
      </w:pPr>
      <w:r>
        <w:rPr>
          <w:rStyle w:val="CharStyle5"/>
        </w:rPr>
        <w:t>23.</w:t>
      </w:r>
    </w:p>
    <w:p>
      <w:pPr>
        <w:pStyle w:val="Style4"/>
        <w:keepNext w:val="0"/>
        <w:keepLines w:val="0"/>
        <w:widowControl w:val="0"/>
        <w:shd w:val="clear" w:color="auto" w:fill="auto"/>
        <w:bidi w:val="0"/>
        <w:spacing w:before="0" w:after="0" w:line="259" w:lineRule="auto"/>
        <w:ind w:left="0" w:right="0"/>
        <w:jc w:val="both"/>
        <w:sectPr>
          <w:headerReference w:type="default" r:id="rId8"/>
          <w:footnotePr>
            <w:pos w:val="pageBottom"/>
            <w:numFmt w:val="decimal"/>
            <w:numRestart w:val="continuous"/>
          </w:footnotePr>
          <w:pgSz w:w="11900" w:h="16840"/>
          <w:pgMar w:top="2320" w:right="1352" w:bottom="2058" w:left="1462" w:header="0" w:footer="1630" w:gutter="0"/>
          <w:pgNumType w:start="21"/>
          <w:cols w:space="720"/>
          <w:noEndnote/>
          <w:rtlGutter w:val="0"/>
          <w:docGrid w:linePitch="360"/>
        </w:sectPr>
      </w:pPr>
      <w:r>
        <w:rPr>
          <w:rStyle w:val="CharStyle5"/>
        </w:rPr>
        <w:t>Dáno v Brně dne 7. 2. 2022 ve dvou originálních písemných vyhotoveních, z nichž každá ze smluvních stran obdrží po jednom.</w:t>
      </w: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47" w:right="0" w:bottom="2047" w:left="0" w:header="0" w:footer="3" w:gutter="0"/>
          <w:cols w:space="720"/>
          <w:noEndnote/>
          <w:rtlGutter w:val="0"/>
          <w:docGrid w:linePitch="360"/>
        </w:sectPr>
      </w:pPr>
    </w:p>
    <w:p>
      <w:pPr>
        <w:pStyle w:val="Style9"/>
        <w:keepNext w:val="0"/>
        <w:keepLines w:val="0"/>
        <w:framePr w:w="1114" w:h="307" w:wrap="none" w:vAnchor="text" w:hAnchor="page" w:x="2968" w:y="1437"/>
        <w:widowControl w:val="0"/>
        <w:shd w:val="clear" w:color="auto" w:fill="auto"/>
        <w:bidi w:val="0"/>
        <w:spacing w:before="0" w:after="0" w:line="240" w:lineRule="auto"/>
        <w:ind w:left="0" w:right="0" w:firstLine="0"/>
        <w:jc w:val="left"/>
        <w:rPr>
          <w:sz w:val="24"/>
          <w:szCs w:val="24"/>
        </w:rPr>
      </w:pPr>
      <w:r>
        <w:rPr>
          <w:rStyle w:val="CharStyle10"/>
          <w:rFonts w:ascii="Times New Roman" w:eastAsia="Times New Roman" w:hAnsi="Times New Roman" w:cs="Times New Roman"/>
          <w:color w:val="000000"/>
          <w:sz w:val="24"/>
          <w:szCs w:val="24"/>
        </w:rPr>
        <w:t>objednatel</w:t>
      </w:r>
    </w:p>
    <w:p>
      <w:pPr>
        <w:pStyle w:val="Style9"/>
        <w:keepNext w:val="0"/>
        <w:keepLines w:val="0"/>
        <w:framePr w:w="2554" w:h="638" w:wrap="none" w:vAnchor="text" w:hAnchor="page" w:x="2915" w:y="21"/>
        <w:widowControl w:val="0"/>
        <w:shd w:val="clear" w:color="auto" w:fill="auto"/>
        <w:bidi w:val="0"/>
        <w:spacing w:before="0" w:after="0" w:line="240" w:lineRule="auto"/>
        <w:ind w:left="0" w:right="0" w:firstLine="0"/>
        <w:jc w:val="center"/>
      </w:pPr>
      <w:r>
        <w:rPr>
          <w:rStyle w:val="CharStyle10"/>
          <w:color w:val="000000"/>
          <w:shd w:val="clear" w:color="auto" w:fill="000000"/>
        </w:rPr>
        <w:t>.................</w:t>
      </w:r>
      <w:r>
        <w:rPr>
          <w:rStyle w:val="CharStyle10"/>
          <w:color w:val="000000"/>
          <w:spacing w:val="1"/>
          <w:shd w:val="clear" w:color="auto" w:fill="000000"/>
        </w:rPr>
        <w:t>.........</w:t>
      </w:r>
      <w:r>
        <w:rPr>
          <w:rStyle w:val="CharStyle10"/>
          <w:color w:val="000000"/>
          <w:shd w:val="clear" w:color="auto" w:fill="000000"/>
        </w:rPr>
        <w:t>​</w:t>
      </w:r>
      <w:r>
        <w:rPr>
          <w:rStyle w:val="CharStyle10"/>
          <w:color w:val="000000"/>
          <w:spacing w:val="4"/>
          <w:shd w:val="clear" w:color="auto" w:fill="000000"/>
        </w:rPr>
        <w:t>.....</w:t>
      </w:r>
      <w:r>
        <w:rPr>
          <w:rStyle w:val="CharStyle10"/>
          <w:color w:val="000000"/>
          <w:spacing w:val="5"/>
          <w:shd w:val="clear" w:color="auto" w:fill="000000"/>
        </w:rPr>
        <w:t>....</w:t>
      </w:r>
      <w:r>
        <w:rPr>
          <w:rStyle w:val="CharStyle10"/>
          <w:color w:val="000000"/>
          <w:shd w:val="clear" w:color="auto" w:fill="000000"/>
        </w:rPr>
        <w:t>​</w:t>
      </w:r>
      <w:r>
        <w:rPr>
          <w:rStyle w:val="CharStyle10"/>
          <w:color w:val="000000"/>
          <w:spacing w:val="10"/>
          <w:shd w:val="clear" w:color="auto" w:fill="000000"/>
        </w:rPr>
        <w:t>...</w:t>
      </w:r>
      <w:r>
        <w:rPr>
          <w:rStyle w:val="CharStyle10"/>
          <w:color w:val="000000"/>
          <w:shd w:val="clear" w:color="auto" w:fill="000000"/>
        </w:rPr>
        <w:t>​...</w:t>
      </w:r>
      <w:r>
        <w:rPr>
          <w:rStyle w:val="CharStyle10"/>
        </w:rPr>
        <w:t xml:space="preserve"> </w:t>
      </w:r>
      <w:r>
        <w:rPr>
          <w:rStyle w:val="CharStyle10"/>
          <w:color w:val="000000"/>
          <w:shd w:val="clear" w:color="auto" w:fill="000000"/>
        </w:rPr>
        <w:t>​.................​</w:t>
      </w:r>
      <w:r>
        <w:rPr>
          <w:rStyle w:val="CharStyle10"/>
          <w:color w:val="000000"/>
          <w:spacing w:val="2"/>
          <w:shd w:val="clear" w:color="auto" w:fill="000000"/>
        </w:rPr>
        <w:t>..............</w:t>
      </w:r>
      <w:r>
        <w:rPr>
          <w:rStyle w:val="CharStyle10"/>
          <w:color w:val="000000"/>
          <w:spacing w:val="3"/>
          <w:shd w:val="clear" w:color="auto" w:fill="000000"/>
        </w:rPr>
        <w:t>...</w:t>
      </w:r>
      <w:r>
        <w:rPr>
          <w:rStyle w:val="CharStyle10"/>
          <w:color w:val="000000"/>
          <w:shd w:val="clear" w:color="auto" w:fill="000000"/>
        </w:rPr>
        <w:t>​.....​</w:t>
      </w:r>
      <w:r>
        <w:rPr>
          <w:rStyle w:val="CharStyle10"/>
          <w:color w:val="000000"/>
          <w:spacing w:val="2"/>
          <w:shd w:val="clear" w:color="auto" w:fill="000000"/>
        </w:rPr>
        <w:t>.</w:t>
      </w:r>
      <w:r>
        <w:rPr>
          <w:rStyle w:val="CharStyle10"/>
          <w:color w:val="000000"/>
          <w:spacing w:val="3"/>
          <w:shd w:val="clear" w:color="auto" w:fill="000000"/>
        </w:rPr>
        <w:t>......</w:t>
      </w:r>
    </w:p>
    <w:p>
      <w:pPr>
        <w:pStyle w:val="Style9"/>
        <w:keepNext w:val="0"/>
        <w:keepLines w:val="0"/>
        <w:framePr w:w="2554" w:h="638" w:wrap="none" w:vAnchor="text" w:hAnchor="page" w:x="2915" w:y="21"/>
        <w:widowControl w:val="0"/>
        <w:shd w:val="clear" w:color="auto" w:fill="auto"/>
        <w:bidi w:val="0"/>
        <w:spacing w:before="0" w:after="0" w:line="240" w:lineRule="auto"/>
        <w:ind w:left="0" w:right="0" w:firstLine="0"/>
        <w:jc w:val="center"/>
      </w:pPr>
      <w:r>
        <w:rPr>
          <w:rStyle w:val="CharStyle10"/>
          <w:i/>
          <w:iCs/>
          <w:color w:val="000000"/>
          <w:shd w:val="clear" w:color="auto" w:fill="000000"/>
        </w:rPr>
        <w:t>..</w:t>
      </w:r>
    </w:p>
    <w:p>
      <w:pPr>
        <w:widowControl w:val="0"/>
        <w:spacing w:line="360" w:lineRule="exact"/>
      </w:pPr>
      <w:r>
        <w:drawing>
          <wp:anchor distT="240665" distB="113030" distL="240665" distR="0" simplePos="0" relativeHeight="62914698" behindDoc="1" locked="0" layoutInCell="1" allowOverlap="1">
            <wp:simplePos x="0" y="0"/>
            <wp:positionH relativeFrom="page">
              <wp:posOffset>2091055</wp:posOffset>
            </wp:positionH>
            <wp:positionV relativeFrom="paragraph">
              <wp:posOffset>253365</wp:posOffset>
            </wp:positionV>
            <wp:extent cx="1493520" cy="74358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493520" cy="743585"/>
                    </a:xfrm>
                    <a:prstGeom prst="rect"/>
                  </pic:spPr>
                </pic:pic>
              </a:graphicData>
            </a:graphic>
          </wp:anchor>
        </w:drawing>
      </w:r>
      <w:r>
        <w:drawing>
          <wp:anchor distT="0" distB="0" distL="0" distR="0" simplePos="0" relativeHeight="62914699" behindDoc="1" locked="0" layoutInCell="1" allowOverlap="1">
            <wp:simplePos x="0" y="0"/>
            <wp:positionH relativeFrom="page">
              <wp:posOffset>4632960</wp:posOffset>
            </wp:positionH>
            <wp:positionV relativeFrom="paragraph">
              <wp:posOffset>210185</wp:posOffset>
            </wp:positionV>
            <wp:extent cx="2804160" cy="84137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2804160" cy="841375"/>
                    </a:xfrm>
                    <a:prstGeom prst="rect"/>
                  </pic:spPr>
                </pic:pic>
              </a:graphicData>
            </a:graphic>
          </wp:anchor>
        </w:drawing>
      </w: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pPr>
    </w:p>
    <w:sectPr>
      <w:footnotePr>
        <w:pos w:val="pageBottom"/>
        <w:numFmt w:val="decimal"/>
        <w:numRestart w:val="continuous"/>
      </w:footnotePr>
      <w:type w:val="continuous"/>
      <w:pgSz w:w="11900" w:h="16840"/>
      <w:pgMar w:top="2047" w:right="205" w:bottom="2047" w:left="146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3749040</wp:posOffset>
              </wp:positionH>
              <wp:positionV relativeFrom="page">
                <wp:posOffset>1141095</wp:posOffset>
              </wp:positionV>
              <wp:extent cx="109855" cy="118745"/>
              <wp:wrapNone/>
              <wp:docPr id="3" name="Shape 3"/>
              <a:graphic xmlns:a="http://schemas.openxmlformats.org/drawingml/2006/main">
                <a:graphicData uri="http://schemas.microsoft.com/office/word/2010/wordprocessingShape">
                  <wps:wsp>
                    <wps:cNvSpPr txBox="1"/>
                    <wps:spPr>
                      <a:xfrm>
                        <a:ext cx="109855"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wps:txbx>
                    <wps:bodyPr wrap="none" lIns="0" tIns="0" rIns="0" bIns="0">
                      <a:spAutoFit/>
                    </wps:bodyPr>
                  </wps:wsp>
                </a:graphicData>
              </a:graphic>
            </wp:anchor>
          </w:drawing>
        </mc:Choice>
        <mc:Fallback>
          <w:pict>
            <v:shape id="_x0000_s1029" type="#_x0000_t202" style="position:absolute;margin-left:295.19999999999999pt;margin-top:89.850000000000009pt;width:8.6500000000000004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3753485</wp:posOffset>
              </wp:positionH>
              <wp:positionV relativeFrom="page">
                <wp:posOffset>1129030</wp:posOffset>
              </wp:positionV>
              <wp:extent cx="106680" cy="118745"/>
              <wp:wrapNone/>
              <wp:docPr id="5" name="Shape 5"/>
              <a:graphic xmlns:a="http://schemas.openxmlformats.org/drawingml/2006/main">
                <a:graphicData uri="http://schemas.microsoft.com/office/word/2010/wordprocessingShape">
                  <wps:wsp>
                    <wps:cNvSpPr txBox="1"/>
                    <wps:spPr>
                      <a:xfrm>
                        <a:ext cx="106680" cy="1187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wps:txbx>
                    <wps:bodyPr wrap="none" lIns="0" tIns="0" rIns="0" bIns="0">
                      <a:spAutoFit/>
                    </wps:bodyPr>
                  </wps:wsp>
                </a:graphicData>
              </a:graphic>
            </wp:anchor>
          </w:drawing>
        </mc:Choice>
        <mc:Fallback>
          <w:pict>
            <v:shape id="_x0000_s1031" type="#_x0000_t202" style="position:absolute;margin-left:295.55000000000001pt;margin-top:88.900000000000006pt;width:8.4000000000000004pt;height:9.349999999999999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3730625</wp:posOffset>
              </wp:positionH>
              <wp:positionV relativeFrom="page">
                <wp:posOffset>1137920</wp:posOffset>
              </wp:positionV>
              <wp:extent cx="173990" cy="115570"/>
              <wp:wrapNone/>
              <wp:docPr id="7" name="Shape 7"/>
              <a:graphic xmlns:a="http://schemas.openxmlformats.org/drawingml/2006/main">
                <a:graphicData uri="http://schemas.microsoft.com/office/word/2010/wordprocessingShape">
                  <wps:wsp>
                    <wps:cNvSpPr txBox="1"/>
                    <wps:spPr>
                      <a:xfrm>
                        <a:ext cx="173990"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wps:txbx>
                    <wps:bodyPr wrap="none" lIns="0" tIns="0" rIns="0" bIns="0">
                      <a:spAutoFit/>
                    </wps:bodyPr>
                  </wps:wsp>
                </a:graphicData>
              </a:graphic>
            </wp:anchor>
          </w:drawing>
        </mc:Choice>
        <mc:Fallback>
          <w:pict>
            <v:shape id="_x0000_s1033" type="#_x0000_t202" style="position:absolute;margin-left:293.75pt;margin-top:89.600000000000009pt;width:13.700000000000001pt;height:9.0999999999999996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3709670</wp:posOffset>
              </wp:positionH>
              <wp:positionV relativeFrom="page">
                <wp:posOffset>1135380</wp:posOffset>
              </wp:positionV>
              <wp:extent cx="189230" cy="113030"/>
              <wp:wrapNone/>
              <wp:docPr id="9" name="Shape 9"/>
              <a:graphic xmlns:a="http://schemas.openxmlformats.org/drawingml/2006/main">
                <a:graphicData uri="http://schemas.microsoft.com/office/word/2010/wordprocessingShape">
                  <wps:wsp>
                    <wps:cNvSpPr txBox="1"/>
                    <wps:spPr>
                      <a:xfrm>
                        <a:ext cx="18923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wps:txbx>
                    <wps:bodyPr wrap="none" lIns="0" tIns="0" rIns="0" bIns="0">
                      <a:spAutoFit/>
                    </wps:bodyPr>
                  </wps:wsp>
                </a:graphicData>
              </a:graphic>
            </wp:anchor>
          </w:drawing>
        </mc:Choice>
        <mc:Fallback>
          <w:pict>
            <v:shape id="_x0000_s1035" type="#_x0000_t202" style="position:absolute;margin-left:292.10000000000002pt;margin-top:89.400000000000006pt;width:14.9pt;height:8.90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r>
                      <w:rPr>
                        <w:rStyle w:val="CharStyle7"/>
                        <w:sz w:val="24"/>
                        <w:szCs w:val="24"/>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obrázku_"/>
    <w:basedOn w:val="DefaultParagraphFont"/>
    <w:link w:val="Style9"/>
    <w:rPr>
      <w:rFonts w:ascii="Arial" w:eastAsia="Arial" w:hAnsi="Arial" w:cs="Arial"/>
      <w:b w:val="0"/>
      <w:bCs w:val="0"/>
      <w:i w:val="0"/>
      <w:iCs w:val="0"/>
      <w:smallCaps w:val="0"/>
      <w:strike w:val="0"/>
      <w:color w:val="6AA2E1"/>
      <w:sz w:val="18"/>
      <w:szCs w:val="18"/>
      <w:u w:val="none"/>
    </w:rPr>
  </w:style>
  <w:style w:type="paragraph" w:customStyle="1" w:styleId="Style2">
    <w:name w:val="Základní text (2)"/>
    <w:basedOn w:val="Normal"/>
    <w:link w:val="CharStyle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4">
    <w:name w:val="Základní text"/>
    <w:basedOn w:val="Normal"/>
    <w:link w:val="CharStyle5"/>
    <w:pPr>
      <w:widowControl w:val="0"/>
      <w:shd w:val="clear" w:color="auto" w:fill="auto"/>
      <w:spacing w:after="580" w:line="257" w:lineRule="auto"/>
      <w:ind w:firstLine="380"/>
    </w:pPr>
    <w:rPr>
      <w:rFonts w:ascii="Times New Roman" w:eastAsia="Times New Roman" w:hAnsi="Times New Roman" w:cs="Times New Roman"/>
      <w:b w:val="0"/>
      <w:bCs w:val="0"/>
      <w:i w:val="0"/>
      <w:iCs w:val="0"/>
      <w:smallCaps w:val="0"/>
      <w:strike w:val="0"/>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obrázku"/>
    <w:basedOn w:val="Normal"/>
    <w:link w:val="CharStyle10"/>
    <w:pPr>
      <w:widowControl w:val="0"/>
      <w:shd w:val="clear" w:color="auto" w:fill="auto"/>
      <w:jc w:val="center"/>
    </w:pPr>
    <w:rPr>
      <w:rFonts w:ascii="Arial" w:eastAsia="Arial" w:hAnsi="Arial" w:cs="Arial"/>
      <w:b w:val="0"/>
      <w:bCs w:val="0"/>
      <w:i w:val="0"/>
      <w:iCs w:val="0"/>
      <w:smallCaps w:val="0"/>
      <w:strike w:val="0"/>
      <w:color w:val="6AA2E1"/>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png"/><Relationship Id="rId12" Type="http://schemas.openxmlformats.org/officeDocument/2006/relationships/image" Target="media/image2.png" TargetMode="External"/></Relationships>
</file>