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0"/>
      <w:bookmarkEnd w:id="1"/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Drtě určené k posypu vozovek Vysočiny</w:t>
      </w:r>
      <w:bookmarkEnd w:id="2"/>
      <w:bookmarkEnd w:id="3"/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část XV a část XVI - 0/11 a 4/8(D) pro cestmistrovství Pelhřimov</w:t>
      </w:r>
      <w:bookmarkEnd w:id="4"/>
      <w:bookmarkEnd w:id="5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 11. 06. 2010</w:t>
      </w:r>
      <w:bookmarkEnd w:id="6"/>
      <w:bookmarkEnd w:id="7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Číslo smlouvy kupujícího: </w:t>
      </w: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148/KSÚSV/PE/10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Číslo smlouvy prodávajícího</w:t>
      </w: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: 47012626</w:t>
      </w:r>
    </w:p>
    <w:tbl>
      <w:tblPr>
        <w:tblOverlap w:val="never"/>
        <w:jc w:val="center"/>
        <w:tblLayout w:type="fixed"/>
      </w:tblPr>
      <w:tblGrid>
        <w:gridCol w:w="1982"/>
        <w:gridCol w:w="6960"/>
      </w:tblGrid>
      <w:tr>
        <w:trPr>
          <w:trHeight w:val="61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1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tbl>
      <w:tblPr>
        <w:tblOverlap w:val="never"/>
        <w:jc w:val="center"/>
        <w:tblLayout w:type="fixed"/>
      </w:tblPr>
      <w:tblGrid>
        <w:gridCol w:w="1982"/>
        <w:gridCol w:w="6960"/>
      </w:tblGrid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 organizace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tbl>
      <w:tblPr>
        <w:tblOverlap w:val="never"/>
        <w:jc w:val="center"/>
        <w:tblLayout w:type="fixed"/>
      </w:tblPr>
      <w:tblGrid>
        <w:gridCol w:w="1982"/>
        <w:gridCol w:w="6965"/>
      </w:tblGrid>
      <w:tr>
        <w:trPr>
          <w:trHeight w:val="6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Prodávající: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Českomoravský štěrk, a.s.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Mokrá 359, 664 04 Mokrá-Horákov</w:t>
            </w:r>
          </w:p>
        </w:tc>
      </w:tr>
      <w:tr>
        <w:trPr>
          <w:trHeight w:val="12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Prodávající je na základě plné moci zastoupen společností Českomoravský cement, a.s., se sídlem Mokrá 359, 664 04, Mokrá-Horákov, IČO: 26209578, zapsanou v obchodním rejstříku vedeném Krajským soudem v Brně, odd. B, vložce 5528,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 výkonu zastoupení jsou oprávněni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25502247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CZ25502247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8"/>
      <w:bookmarkEnd w:id="9"/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vzájemně dohodly na změně stávající smlouvy číslo kupujícího 148/KSÚSV/PE/10, číslo prodávajícího 47012626, ze dne 11. 06. 2010, spočívající ve změně ceny plnění v souladu s odst. 11.2.,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11. Závěrečná ustanovení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 naplnění podmínek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9 Inflační doložka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 na základě ročního růstu indexu spotřebitelských cen vyhlášených Českým statistickým úřadem za roky 2018, 2019,2020 a 2021.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Zároveň se smluvní strany dohodly na změně kupní ceny z důvodu vysokého nárůstu nákladů souvisejících s těžbou a výrobou kameniva (energie, vrtací a trhací práce apod.) převyšující inflaci vyjádřenou přírůstkem průměrného ročního indexu spotřebitelských cen, především v letech 2020-2021, a které prodávající nemohl ovlivnit.</w:t>
      </w:r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ve znění platných dodatků se mění o průměrnou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míru inflace v roce 2018, tj. +2,1 %; roce 2019, tj. +2,8 %; roce 2020, tj. +3,2 %; roce 2021, tj. +3,8 %; celkem tedy 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+11,9 %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platných cen aktualizovaných Dodatkem č. 1.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souvislosti s dalšími náklady dochází k navýšení ceny v souladu s § 222 odst. 4 ZZVZ 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10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% z platných cen aktualizovaných Dodatkem č. 1. Celkové navýšení kupních cen činí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21,9 %.</w:t>
      </w:r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Ceny plnění sjednané v odstavci 3.1.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Cena za plnění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ve znění platných dodatků se nahrazují novými cenami takto:</w:t>
      </w:r>
    </w:p>
    <w:tbl>
      <w:tblPr>
        <w:tblOverlap w:val="never"/>
        <w:jc w:val="center"/>
        <w:tblLayout w:type="fixed"/>
      </w:tblPr>
      <w:tblGrid>
        <w:gridCol w:w="1776"/>
        <w:gridCol w:w="1987"/>
        <w:gridCol w:w="2021"/>
      </w:tblGrid>
      <w:tr>
        <w:trPr>
          <w:trHeight w:val="384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Drť frakce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1 tunu v Kč bez DPH</w:t>
            </w:r>
          </w:p>
        </w:tc>
      </w:tr>
      <w:tr>
        <w:trPr>
          <w:trHeight w:val="360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dopravy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0/11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138,-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4/8 (D)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234,-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272,-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souhlasí s Ceníkem drtí dle odst. 2.3. dodatku č. 2 od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01.02.2022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ještě před platností a účinností tohoto Dodatku.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10"/>
      <w:bookmarkEnd w:id="11"/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nedotčené Dodatkem č. 2 ve znění platných dodatků se nemění a zůstávají v platnosti.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smlouvy v aktuálním znění.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 elektronické podobě, přičemž obě smluvní strany obdrží jeho elektronický originál.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 o zvláštních podmínkách účinnosti některých smluv, uveřejňování těchto smluv a o registru smluv (zákon o registru smluv), v platném a účinném znění.</w:t>
      </w:r>
      <w:r>
        <w:br w:type="page"/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7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825" w:left="1378" w:right="1383" w:bottom="181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25" w:left="0" w:right="0" w:bottom="594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Mokré dne: viz podpis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25" w:left="1488" w:right="3250" w:bottom="5948" w:header="0" w:footer="3" w:gutter="0"/>
          <w:cols w:num="2" w:space="263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 viz podpis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3" w:after="1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25" w:left="0" w:right="0" w:bottom="18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4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0</wp:posOffset>
                </wp:positionV>
                <wp:extent cx="996950" cy="26225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Ondřej Matějka, na základě plné moci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4.400000000000006pt;margin-top:0;width:78.5pt;height:20.6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Ondřej Matějka, na základě plné moci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1640" w:line="240" w:lineRule="auto"/>
        <w:ind w:left="3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1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Viktor Zapletal, na základě plné moci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25" w:left="3058" w:right="1383" w:bottom="182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10019030</wp:posOffset>
              </wp:positionV>
              <wp:extent cx="600710" cy="9144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73.85000000000002pt;margin-top:788.89999999999998pt;width:47.299999999999997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9980930</wp:posOffset>
              </wp:positionV>
              <wp:extent cx="5800090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0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615950</wp:posOffset>
              </wp:positionV>
              <wp:extent cx="2700655" cy="2133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00655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Drtě určené k posypu vozovek Vysočiny, část XV a část XVI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- 0/11 a 4/8 (D) pro cestmistrovství Pelhřimov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6.099999999999994pt;margin-top:48.5pt;width:212.65000000000001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Drtě určené k posypu vozovek Vysočiny, část XV a část XVI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- 0/11 a 4/8 (D) pro cestmistrovství Pelhřimov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908685</wp:posOffset>
              </wp:positionV>
              <wp:extent cx="580009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0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1.549999999999997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2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Nadpis #3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Nadpis #4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Jiné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Základní text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Základní text (2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before="120" w:after="2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spacing w:after="1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9">
    <w:name w:val="Nadpis #3"/>
    <w:basedOn w:val="Normal"/>
    <w:link w:val="CharStyle10"/>
    <w:pPr>
      <w:widowControl w:val="0"/>
      <w:shd w:val="clear" w:color="auto" w:fill="FFFFFF"/>
      <w:spacing w:after="220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Nadpis #4"/>
    <w:basedOn w:val="Normal"/>
    <w:link w:val="CharStyle12"/>
    <w:pPr>
      <w:widowControl w:val="0"/>
      <w:shd w:val="clear" w:color="auto" w:fill="FFFFFF"/>
      <w:spacing w:after="280"/>
      <w:jc w:val="center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Základní text"/>
    <w:basedOn w:val="Normal"/>
    <w:link w:val="CharStyle23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Základní text (2)"/>
    <w:basedOn w:val="Normal"/>
    <w:link w:val="CharStyle31"/>
    <w:pPr>
      <w:widowControl w:val="0"/>
      <w:shd w:val="clear" w:color="auto" w:fill="FFFFFF"/>
      <w:ind w:left="16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Kostelecká Miluše</dc:creator>
  <cp:keywords/>
</cp:coreProperties>
</file>