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D8" w:rsidRDefault="004858D8" w:rsidP="004858D8">
      <w:pPr>
        <w:rPr>
          <w:rFonts w:ascii="Arial" w:hAnsi="Arial" w:cs="Arial"/>
          <w:b/>
        </w:rPr>
      </w:pPr>
    </w:p>
    <w:p w:rsidR="004858D8" w:rsidRPr="00996AD4" w:rsidRDefault="004858D8" w:rsidP="004858D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Příkazní smlouva</w:t>
      </w:r>
      <w:r w:rsidRPr="00996AD4">
        <w:rPr>
          <w:rFonts w:ascii="Arial" w:hAnsi="Arial" w:cs="Arial"/>
          <w:b/>
        </w:rPr>
        <w:t xml:space="preserve"> </w:t>
      </w:r>
      <w:r w:rsidR="009810DA">
        <w:rPr>
          <w:rFonts w:ascii="Arial" w:hAnsi="Arial" w:cs="Arial"/>
          <w:b/>
        </w:rPr>
        <w:t>HS 8</w:t>
      </w:r>
      <w:r w:rsidR="00463029">
        <w:rPr>
          <w:rFonts w:ascii="Arial" w:hAnsi="Arial" w:cs="Arial"/>
          <w:b/>
        </w:rPr>
        <w:t>/2022</w:t>
      </w:r>
      <w:r w:rsidRPr="00996AD4">
        <w:rPr>
          <w:rFonts w:ascii="Arial" w:hAnsi="Arial" w:cs="Arial"/>
          <w:b/>
        </w:rPr>
        <w:t xml:space="preserve">            </w:t>
      </w:r>
    </w:p>
    <w:p w:rsidR="004858D8" w:rsidRPr="00996AD4" w:rsidRDefault="004858D8" w:rsidP="004858D8">
      <w:pPr>
        <w:jc w:val="center"/>
        <w:rPr>
          <w:rFonts w:ascii="Arial" w:hAnsi="Arial" w:cs="Arial"/>
          <w:sz w:val="20"/>
          <w:szCs w:val="20"/>
        </w:rPr>
      </w:pPr>
      <w:r w:rsidRPr="00996AD4">
        <w:rPr>
          <w:rFonts w:ascii="Arial" w:hAnsi="Arial" w:cs="Arial"/>
        </w:rPr>
        <w:t xml:space="preserve">               </w:t>
      </w:r>
      <w:r>
        <w:rPr>
          <w:rFonts w:ascii="Arial" w:hAnsi="Arial" w:cs="Arial"/>
          <w:sz w:val="20"/>
          <w:szCs w:val="20"/>
        </w:rPr>
        <w:t>uzavřená podle § 2430</w:t>
      </w:r>
      <w:r w:rsidRPr="00996AD4">
        <w:rPr>
          <w:rFonts w:ascii="Arial" w:hAnsi="Arial" w:cs="Arial"/>
          <w:sz w:val="20"/>
          <w:szCs w:val="20"/>
        </w:rPr>
        <w:t xml:space="preserve"> a násl. zákona č. 89/2012 Sb.</w:t>
      </w:r>
    </w:p>
    <w:p w:rsidR="004858D8" w:rsidRPr="00996AD4" w:rsidRDefault="004858D8" w:rsidP="004858D8">
      <w:pPr>
        <w:ind w:left="360" w:right="-851" w:hanging="360"/>
        <w:jc w:val="center"/>
        <w:rPr>
          <w:rFonts w:ascii="Arial" w:hAnsi="Arial" w:cs="Arial"/>
          <w:sz w:val="20"/>
          <w:szCs w:val="20"/>
        </w:rPr>
      </w:pPr>
      <w:r w:rsidRPr="00996AD4">
        <w:rPr>
          <w:rFonts w:ascii="Arial" w:hAnsi="Arial" w:cs="Arial"/>
          <w:sz w:val="20"/>
          <w:szCs w:val="20"/>
        </w:rPr>
        <w:t>občanský zákoník</w:t>
      </w:r>
      <w:r>
        <w:rPr>
          <w:rFonts w:ascii="Arial" w:hAnsi="Arial" w:cs="Arial"/>
          <w:sz w:val="20"/>
          <w:szCs w:val="20"/>
        </w:rPr>
        <w:t>, ve znění platných předpisů, mezi těmito smluvními stranami</w:t>
      </w:r>
    </w:p>
    <w:p w:rsidR="004858D8" w:rsidRPr="00996AD4" w:rsidRDefault="004858D8" w:rsidP="004858D8">
      <w:pPr>
        <w:jc w:val="center"/>
        <w:rPr>
          <w:rFonts w:ascii="Arial" w:hAnsi="Arial" w:cs="Arial"/>
          <w:sz w:val="20"/>
          <w:szCs w:val="20"/>
        </w:rPr>
      </w:pPr>
    </w:p>
    <w:p w:rsidR="004858D8" w:rsidRPr="00EF73D4" w:rsidRDefault="004858D8" w:rsidP="004858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zajištění č</w:t>
      </w:r>
      <w:r w:rsidRPr="00996AD4">
        <w:rPr>
          <w:rFonts w:ascii="Arial" w:hAnsi="Arial" w:cs="Arial"/>
          <w:b/>
          <w:sz w:val="20"/>
          <w:szCs w:val="20"/>
        </w:rPr>
        <w:t>inn</w:t>
      </w:r>
      <w:r>
        <w:rPr>
          <w:rFonts w:ascii="Arial" w:hAnsi="Arial" w:cs="Arial"/>
          <w:b/>
          <w:sz w:val="20"/>
          <w:szCs w:val="20"/>
        </w:rPr>
        <w:t xml:space="preserve">osti technického dozoru stavby v rámci realizace investiční akce </w:t>
      </w:r>
      <w:r w:rsidRPr="00997226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„</w:t>
      </w:r>
      <w:r w:rsidRPr="00997226">
        <w:rPr>
          <w:rFonts w:ascii="Arial" w:hAnsi="Arial" w:cs="Arial"/>
          <w:b/>
          <w:sz w:val="20"/>
          <w:szCs w:val="20"/>
        </w:rPr>
        <w:t xml:space="preserve">Strážnice – NÚLK – Snížení energetické náročnosti vstupního objektu do areálu Muzea vesnice jihovýchodní Moravy, </w:t>
      </w:r>
      <w:proofErr w:type="spellStart"/>
      <w:r w:rsidRPr="00997226">
        <w:rPr>
          <w:rFonts w:ascii="Arial" w:hAnsi="Arial" w:cs="Arial"/>
          <w:b/>
          <w:sz w:val="20"/>
          <w:szCs w:val="20"/>
        </w:rPr>
        <w:t>reg</w:t>
      </w:r>
      <w:proofErr w:type="spellEnd"/>
      <w:r w:rsidRPr="00997226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997226">
        <w:rPr>
          <w:rFonts w:ascii="Arial" w:hAnsi="Arial" w:cs="Arial"/>
          <w:b/>
          <w:sz w:val="20"/>
          <w:szCs w:val="20"/>
        </w:rPr>
        <w:t>č.</w:t>
      </w:r>
      <w:proofErr w:type="gramEnd"/>
      <w:r w:rsidRPr="00997226">
        <w:rPr>
          <w:rFonts w:ascii="Arial" w:hAnsi="Arial" w:cs="Arial"/>
          <w:b/>
          <w:sz w:val="20"/>
          <w:szCs w:val="20"/>
        </w:rPr>
        <w:t xml:space="preserve"> CZ.05.5.11/0.0/0.0/20_152/0015188“</w:t>
      </w: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I.</w:t>
      </w: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Smluvní strany</w:t>
      </w: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4858D8" w:rsidRPr="00996AD4" w:rsidRDefault="004858D8" w:rsidP="0012120D">
            <w:pPr>
              <w:pStyle w:val="Obyejn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4858D8" w:rsidRPr="00996AD4" w:rsidRDefault="004858D8" w:rsidP="0012120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Zámek 672, 696 62 Strážnice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4858D8" w:rsidRPr="00996AD4" w:rsidRDefault="004858D8" w:rsidP="0012120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00094927 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4858D8" w:rsidRPr="00996AD4" w:rsidRDefault="004858D8" w:rsidP="0012120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color w:val="000000"/>
                <w:sz w:val="20"/>
                <w:szCs w:val="20"/>
                <w:shd w:val="clear" w:color="auto" w:fill="FFFFFF"/>
              </w:rPr>
              <w:t xml:space="preserve">CZ00094927 </w:t>
            </w:r>
            <w:r w:rsidRPr="00996AD4">
              <w:rPr>
                <w:sz w:val="20"/>
                <w:szCs w:val="20"/>
              </w:rPr>
              <w:t> 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4858D8" w:rsidRPr="00996AD4" w:rsidRDefault="004858D8" w:rsidP="0012120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 xml:space="preserve">Státní příspěvková organizace zřízená MK dle § 3, zák. 203/2006 Sb. Zřizovací listina </w:t>
            </w:r>
            <w:proofErr w:type="gramStart"/>
            <w:r w:rsidRPr="00996AD4">
              <w:rPr>
                <w:sz w:val="20"/>
                <w:szCs w:val="20"/>
              </w:rPr>
              <w:t>č.j.</w:t>
            </w:r>
            <w:proofErr w:type="gramEnd"/>
            <w:r w:rsidRPr="00996AD4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4858D8" w:rsidRPr="00996AD4" w:rsidRDefault="004858D8" w:rsidP="0012120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 xml:space="preserve">PhDr. Martinem </w:t>
            </w:r>
            <w:proofErr w:type="spellStart"/>
            <w:r w:rsidRPr="00996AD4">
              <w:rPr>
                <w:sz w:val="20"/>
                <w:szCs w:val="20"/>
              </w:rPr>
              <w:t>Šimšou</w:t>
            </w:r>
            <w:proofErr w:type="spellEnd"/>
            <w:r w:rsidRPr="00996AD4">
              <w:rPr>
                <w:sz w:val="20"/>
                <w:szCs w:val="20"/>
              </w:rPr>
              <w:t>, Ph.D., ředitelem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4858D8" w:rsidRPr="00996AD4" w:rsidRDefault="00DE295E" w:rsidP="0012120D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4858D8" w:rsidRPr="00996AD4" w:rsidRDefault="00DE295E" w:rsidP="0012120D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4858D8" w:rsidRPr="00996AD4" w:rsidRDefault="004858D8" w:rsidP="004858D8">
      <w:pPr>
        <w:pStyle w:val="Obyejn"/>
      </w:pPr>
    </w:p>
    <w:p w:rsidR="004858D8" w:rsidRPr="00996AD4" w:rsidRDefault="004858D8" w:rsidP="004858D8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(„</w:t>
      </w:r>
      <w:r>
        <w:rPr>
          <w:b/>
          <w:sz w:val="20"/>
          <w:szCs w:val="20"/>
        </w:rPr>
        <w:t>příkazce</w:t>
      </w:r>
      <w:r w:rsidRPr="00996AD4">
        <w:rPr>
          <w:sz w:val="20"/>
          <w:szCs w:val="20"/>
        </w:rPr>
        <w:t>“)</w:t>
      </w:r>
    </w:p>
    <w:p w:rsidR="004858D8" w:rsidRPr="00996AD4" w:rsidRDefault="004858D8" w:rsidP="004858D8">
      <w:pPr>
        <w:pStyle w:val="Obyejn"/>
        <w:rPr>
          <w:sz w:val="20"/>
          <w:szCs w:val="20"/>
        </w:rPr>
      </w:pPr>
    </w:p>
    <w:p w:rsidR="004858D8" w:rsidRPr="00996AD4" w:rsidRDefault="004858D8" w:rsidP="004858D8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a</w:t>
      </w:r>
    </w:p>
    <w:p w:rsidR="004858D8" w:rsidRPr="00996AD4" w:rsidRDefault="004858D8" w:rsidP="004858D8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4858D8" w:rsidRPr="004858D8" w:rsidRDefault="004858D8" w:rsidP="004858D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58D8">
              <w:rPr>
                <w:rFonts w:ascii="Arial" w:hAnsi="Arial" w:cs="Arial"/>
                <w:sz w:val="20"/>
                <w:szCs w:val="20"/>
              </w:rPr>
              <w:t>GEPROSTAV projekce s.r.o</w:t>
            </w:r>
            <w:r w:rsidR="009479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58D8" w:rsidRPr="004858D8" w:rsidRDefault="004858D8" w:rsidP="0012120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4858D8" w:rsidRPr="004858D8" w:rsidRDefault="004858D8" w:rsidP="0048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8D8">
              <w:rPr>
                <w:rFonts w:ascii="Arial" w:hAnsi="Arial" w:cs="Arial"/>
                <w:sz w:val="20"/>
                <w:szCs w:val="20"/>
              </w:rPr>
              <w:t>Plucárna</w:t>
            </w:r>
            <w:proofErr w:type="spellEnd"/>
            <w:r w:rsidRPr="004858D8">
              <w:rPr>
                <w:rFonts w:ascii="Arial" w:hAnsi="Arial" w:cs="Arial"/>
                <w:sz w:val="20"/>
                <w:szCs w:val="20"/>
              </w:rPr>
              <w:t xml:space="preserve"> 3832/1a, 69501 Hodonín</w:t>
            </w:r>
          </w:p>
          <w:p w:rsidR="004858D8" w:rsidRPr="004858D8" w:rsidRDefault="004858D8" w:rsidP="0012120D">
            <w:pPr>
              <w:jc w:val="both"/>
              <w:rPr>
                <w:sz w:val="20"/>
                <w:szCs w:val="20"/>
              </w:rPr>
            </w:pP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4858D8" w:rsidRPr="004858D8" w:rsidRDefault="004858D8" w:rsidP="0012120D">
            <w:pPr>
              <w:pStyle w:val="Obyejn"/>
              <w:rPr>
                <w:sz w:val="20"/>
                <w:szCs w:val="20"/>
              </w:rPr>
            </w:pPr>
            <w:r w:rsidRPr="004858D8">
              <w:rPr>
                <w:sz w:val="20"/>
                <w:szCs w:val="20"/>
              </w:rPr>
              <w:t>29221714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4858D8" w:rsidRPr="004858D8" w:rsidRDefault="004858D8" w:rsidP="0012120D">
            <w:pPr>
              <w:pStyle w:val="Obyejn"/>
              <w:rPr>
                <w:sz w:val="20"/>
                <w:szCs w:val="20"/>
              </w:rPr>
            </w:pPr>
            <w:r w:rsidRPr="004858D8">
              <w:rPr>
                <w:sz w:val="20"/>
                <w:szCs w:val="20"/>
              </w:rPr>
              <w:t>CZ29221714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4858D8" w:rsidRPr="00C31441" w:rsidRDefault="004858D8" w:rsidP="0012120D">
            <w:pPr>
              <w:pStyle w:val="Obyejn"/>
              <w:rPr>
                <w:sz w:val="20"/>
                <w:szCs w:val="20"/>
                <w:highlight w:val="yellow"/>
              </w:rPr>
            </w:pPr>
            <w:r w:rsidRPr="00B053D9">
              <w:rPr>
                <w:sz w:val="20"/>
                <w:szCs w:val="20"/>
              </w:rPr>
              <w:t>Společnost s ručením omezeným</w:t>
            </w:r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4858D8" w:rsidRPr="00C31441" w:rsidRDefault="00DE295E" w:rsidP="0012120D">
            <w:pPr>
              <w:pStyle w:val="Obyejn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4858D8" w:rsidRPr="00996AD4" w:rsidTr="0012120D">
        <w:trPr>
          <w:trHeight w:val="284"/>
        </w:trPr>
        <w:tc>
          <w:tcPr>
            <w:tcW w:w="2407" w:type="dxa"/>
            <w:vAlign w:val="center"/>
          </w:tcPr>
          <w:p w:rsidR="004858D8" w:rsidRPr="00996AD4" w:rsidRDefault="004858D8" w:rsidP="0012120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4858D8" w:rsidRPr="00C31441" w:rsidRDefault="00DE295E" w:rsidP="0012120D">
            <w:pPr>
              <w:pStyle w:val="Obyejn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4858D8" w:rsidRPr="00996AD4" w:rsidRDefault="004858D8" w:rsidP="004858D8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(„</w:t>
      </w:r>
      <w:r>
        <w:rPr>
          <w:b/>
          <w:sz w:val="20"/>
          <w:szCs w:val="20"/>
        </w:rPr>
        <w:t>příkazník</w:t>
      </w:r>
      <w:r w:rsidRPr="00996AD4">
        <w:rPr>
          <w:sz w:val="20"/>
          <w:szCs w:val="20"/>
        </w:rPr>
        <w:t>“)</w:t>
      </w:r>
    </w:p>
    <w:p w:rsidR="004858D8" w:rsidRPr="00996AD4" w:rsidRDefault="004858D8" w:rsidP="004858D8">
      <w:pPr>
        <w:rPr>
          <w:rFonts w:ascii="Arial" w:hAnsi="Arial" w:cs="Arial"/>
        </w:rPr>
      </w:pP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II.</w:t>
      </w:r>
    </w:p>
    <w:p w:rsidR="004858D8" w:rsidRPr="00996AD4" w:rsidRDefault="004858D8" w:rsidP="004858D8">
      <w:pPr>
        <w:jc w:val="center"/>
        <w:rPr>
          <w:rFonts w:ascii="Arial" w:hAnsi="Arial" w:cs="Arial"/>
          <w:b/>
          <w:sz w:val="20"/>
          <w:szCs w:val="20"/>
        </w:rPr>
      </w:pPr>
      <w:r w:rsidRPr="00996AD4">
        <w:rPr>
          <w:rFonts w:ascii="Arial" w:hAnsi="Arial" w:cs="Arial"/>
          <w:b/>
        </w:rPr>
        <w:t>Předmět díla</w:t>
      </w:r>
    </w:p>
    <w:p w:rsidR="004858D8" w:rsidRPr="00996AD4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  <w:r w:rsidRPr="00996AD4">
        <w:rPr>
          <w:rFonts w:ascii="Arial" w:hAnsi="Arial" w:cs="Arial"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FE1">
        <w:rPr>
          <w:rStyle w:val="Nadpis8Char"/>
          <w:rFonts w:ascii="Arial" w:hAnsi="Arial" w:cs="Arial"/>
          <w:i w:val="0"/>
          <w:sz w:val="20"/>
          <w:szCs w:val="20"/>
        </w:rPr>
        <w:t>Předmětem</w:t>
      </w:r>
      <w:proofErr w:type="spellEnd"/>
      <w:r w:rsidRPr="001C3FE1">
        <w:rPr>
          <w:rStyle w:val="Nadpis8Char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1C3FE1">
        <w:rPr>
          <w:rStyle w:val="Nadpis8Char"/>
          <w:rFonts w:ascii="Arial" w:hAnsi="Arial" w:cs="Arial"/>
          <w:i w:val="0"/>
          <w:sz w:val="20"/>
          <w:szCs w:val="20"/>
        </w:rPr>
        <w:t>této</w:t>
      </w:r>
      <w:proofErr w:type="spellEnd"/>
      <w:r w:rsidRPr="001C3FE1">
        <w:rPr>
          <w:rStyle w:val="Nadpis8Char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1C3FE1">
        <w:rPr>
          <w:rStyle w:val="Nadpis8Char"/>
          <w:rFonts w:ascii="Arial" w:hAnsi="Arial" w:cs="Arial"/>
          <w:i w:val="0"/>
          <w:sz w:val="20"/>
          <w:szCs w:val="20"/>
        </w:rPr>
        <w:t>smlouvy</w:t>
      </w:r>
      <w:proofErr w:type="spellEnd"/>
      <w:r w:rsidRPr="001C3FE1">
        <w:rPr>
          <w:rStyle w:val="Nadpis8Char"/>
          <w:rFonts w:ascii="Arial" w:hAnsi="Arial" w:cs="Arial"/>
          <w:i w:val="0"/>
          <w:sz w:val="20"/>
          <w:szCs w:val="20"/>
        </w:rPr>
        <w:t xml:space="preserve"> je </w:t>
      </w:r>
      <w:proofErr w:type="spellStart"/>
      <w:r>
        <w:rPr>
          <w:rStyle w:val="Nadpis8Char"/>
          <w:rFonts w:ascii="Arial" w:hAnsi="Arial" w:cs="Arial"/>
          <w:i w:val="0"/>
          <w:sz w:val="20"/>
          <w:szCs w:val="20"/>
        </w:rPr>
        <w:t>zajištění</w:t>
      </w:r>
      <w:proofErr w:type="spellEnd"/>
      <w:r>
        <w:rPr>
          <w:rStyle w:val="Nadpis8Char"/>
          <w:rFonts w:ascii="Arial" w:hAnsi="Arial" w:cs="Arial"/>
          <w:i w:val="0"/>
          <w:sz w:val="20"/>
          <w:szCs w:val="20"/>
        </w:rPr>
        <w:t xml:space="preserve"> výkonu technického dozoru stavby </w:t>
      </w:r>
      <w:r w:rsidR="00C70325">
        <w:rPr>
          <w:rStyle w:val="Nadpis8Char"/>
          <w:rFonts w:ascii="Arial" w:hAnsi="Arial" w:cs="Arial"/>
          <w:i w:val="0"/>
          <w:sz w:val="20"/>
          <w:szCs w:val="20"/>
        </w:rPr>
        <w:t>a odborné technické</w:t>
      </w:r>
      <w:r w:rsidRPr="001C3FE1">
        <w:rPr>
          <w:rStyle w:val="Nadpis8Char"/>
          <w:rFonts w:ascii="Arial" w:hAnsi="Arial" w:cs="Arial"/>
          <w:i w:val="0"/>
          <w:sz w:val="20"/>
          <w:szCs w:val="20"/>
        </w:rPr>
        <w:t xml:space="preserve"> pomoc</w:t>
      </w:r>
      <w:r w:rsidR="00C70325">
        <w:rPr>
          <w:rStyle w:val="Nadpis8Char"/>
          <w:rFonts w:ascii="Arial" w:hAnsi="Arial" w:cs="Arial"/>
          <w:i w:val="0"/>
          <w:sz w:val="20"/>
          <w:szCs w:val="20"/>
        </w:rPr>
        <w:t>i</w:t>
      </w:r>
      <w:r w:rsidRPr="001C3FE1">
        <w:rPr>
          <w:rStyle w:val="Nadpis8Char"/>
          <w:rFonts w:ascii="Arial" w:hAnsi="Arial" w:cs="Arial"/>
          <w:i w:val="0"/>
          <w:sz w:val="20"/>
          <w:szCs w:val="20"/>
        </w:rPr>
        <w:t xml:space="preserve"> pro </w:t>
      </w:r>
      <w:proofErr w:type="spellStart"/>
      <w:r w:rsidRPr="001C3FE1">
        <w:rPr>
          <w:rStyle w:val="Nadpis8Char"/>
          <w:rFonts w:ascii="Arial" w:hAnsi="Arial" w:cs="Arial"/>
          <w:i w:val="0"/>
          <w:sz w:val="20"/>
          <w:szCs w:val="20"/>
        </w:rPr>
        <w:t>příkazce</w:t>
      </w:r>
      <w:proofErr w:type="spellEnd"/>
      <w:r w:rsidRPr="001C3FE1">
        <w:rPr>
          <w:rStyle w:val="Nadpis8Char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Nadpis8Char"/>
          <w:rFonts w:ascii="Arial" w:hAnsi="Arial" w:cs="Arial"/>
          <w:i w:val="0"/>
          <w:sz w:val="20"/>
          <w:szCs w:val="20"/>
        </w:rPr>
        <w:t xml:space="preserve">v rámci </w:t>
      </w:r>
      <w:proofErr w:type="spellStart"/>
      <w:r>
        <w:rPr>
          <w:rStyle w:val="Nadpis8Char"/>
          <w:rFonts w:ascii="Arial" w:hAnsi="Arial" w:cs="Arial"/>
          <w:i w:val="0"/>
          <w:sz w:val="20"/>
          <w:szCs w:val="20"/>
        </w:rPr>
        <w:t>realizace</w:t>
      </w:r>
      <w:proofErr w:type="spellEnd"/>
      <w:r>
        <w:rPr>
          <w:rStyle w:val="Nadpis8Char"/>
          <w:rFonts w:ascii="Arial" w:hAnsi="Arial" w:cs="Arial"/>
          <w:i w:val="0"/>
          <w:sz w:val="20"/>
          <w:szCs w:val="20"/>
        </w:rPr>
        <w:t xml:space="preserve"> investiční </w:t>
      </w:r>
      <w:proofErr w:type="spellStart"/>
      <w:r>
        <w:rPr>
          <w:rStyle w:val="Nadpis8Char"/>
          <w:rFonts w:ascii="Arial" w:hAnsi="Arial" w:cs="Arial"/>
          <w:i w:val="0"/>
          <w:sz w:val="20"/>
          <w:szCs w:val="20"/>
        </w:rPr>
        <w:t>akce</w:t>
      </w:r>
      <w:proofErr w:type="spellEnd"/>
      <w:r>
        <w:rPr>
          <w:rStyle w:val="Nadpis8Char"/>
          <w:rFonts w:ascii="Arial" w:hAnsi="Arial" w:cs="Arial"/>
          <w:i w:val="0"/>
          <w:sz w:val="20"/>
          <w:szCs w:val="20"/>
        </w:rPr>
        <w:t>:</w:t>
      </w:r>
      <w:r w:rsidRPr="001C3FE1">
        <w:rPr>
          <w:rStyle w:val="FontStyle38"/>
          <w:rFonts w:ascii="Arial" w:hAnsi="Arial" w:cs="Arial"/>
          <w:sz w:val="20"/>
          <w:szCs w:val="20"/>
        </w:rPr>
        <w:t>„</w:t>
      </w:r>
      <w:r w:rsidRPr="00997226">
        <w:rPr>
          <w:rFonts w:ascii="Arial" w:hAnsi="Arial" w:cs="Arial"/>
          <w:b/>
          <w:sz w:val="20"/>
          <w:szCs w:val="20"/>
        </w:rPr>
        <w:t xml:space="preserve">Strážnice – NÚLK – Snížení energetické náročnosti vstupního objektu do areálu Muzea vesnice jihovýchodní Moravy, </w:t>
      </w:r>
      <w:proofErr w:type="spellStart"/>
      <w:r w:rsidRPr="00997226">
        <w:rPr>
          <w:rFonts w:ascii="Arial" w:hAnsi="Arial" w:cs="Arial"/>
          <w:b/>
          <w:sz w:val="20"/>
          <w:szCs w:val="20"/>
        </w:rPr>
        <w:t>reg</w:t>
      </w:r>
      <w:proofErr w:type="spellEnd"/>
      <w:r w:rsidRPr="00997226">
        <w:rPr>
          <w:rFonts w:ascii="Arial" w:hAnsi="Arial" w:cs="Arial"/>
          <w:b/>
          <w:sz w:val="20"/>
          <w:szCs w:val="20"/>
        </w:rPr>
        <w:t>. č. CZ.05.5.11/0.0/0.0/20_152/0015188</w:t>
      </w:r>
      <w:r w:rsidRPr="001C3FE1">
        <w:rPr>
          <w:rStyle w:val="FontStyle49"/>
          <w:rFonts w:ascii="Arial" w:hAnsi="Arial" w:cs="Arial"/>
          <w:sz w:val="20"/>
          <w:szCs w:val="20"/>
        </w:rPr>
        <w:t>"</w:t>
      </w:r>
      <w:r>
        <w:rPr>
          <w:rStyle w:val="FontStyle49"/>
          <w:rFonts w:ascii="Arial" w:hAnsi="Arial" w:cs="Arial"/>
          <w:sz w:val="20"/>
          <w:szCs w:val="20"/>
        </w:rPr>
        <w:t>. Při obstarávání záležitosti jedná příkazník na účet příkazce</w:t>
      </w:r>
      <w:r w:rsidR="00C70325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Pr="00996AD4" w:rsidRDefault="004858D8" w:rsidP="004858D8">
      <w:pPr>
        <w:jc w:val="both"/>
        <w:rPr>
          <w:rFonts w:ascii="Arial" w:hAnsi="Arial" w:cs="Arial"/>
          <w:sz w:val="20"/>
          <w:szCs w:val="20"/>
        </w:rPr>
      </w:pPr>
    </w:p>
    <w:p w:rsidR="004858D8" w:rsidRPr="00996AD4" w:rsidRDefault="004858D8" w:rsidP="004858D8">
      <w:pPr>
        <w:jc w:val="both"/>
        <w:rPr>
          <w:rFonts w:ascii="Arial" w:hAnsi="Arial" w:cs="Arial"/>
          <w:sz w:val="20"/>
          <w:szCs w:val="20"/>
        </w:rPr>
      </w:pPr>
      <w:r w:rsidRPr="00996AD4">
        <w:rPr>
          <w:rFonts w:ascii="Arial" w:hAnsi="Arial" w:cs="Arial"/>
          <w:sz w:val="20"/>
          <w:szCs w:val="20"/>
        </w:rPr>
        <w:t xml:space="preserve">Součástí předmětu díla jsou i práce v tomto článku smlouvy o dílo výslovně nespecifikované, které však jsou k řádnému provedení díla nezbytné a o kterých zhotovitel vzhledem ke své kvalifikaci a zkušenostem měl, nebo mohl vědět.    </w:t>
      </w:r>
    </w:p>
    <w:p w:rsidR="004858D8" w:rsidRPr="00996AD4" w:rsidRDefault="004858D8" w:rsidP="004858D8">
      <w:pPr>
        <w:jc w:val="both"/>
        <w:rPr>
          <w:rFonts w:ascii="Arial" w:hAnsi="Arial" w:cs="Arial"/>
          <w:b/>
          <w:sz w:val="20"/>
          <w:szCs w:val="20"/>
        </w:rPr>
      </w:pPr>
      <w:r w:rsidRPr="00996AD4">
        <w:rPr>
          <w:rFonts w:ascii="Arial" w:hAnsi="Arial" w:cs="Arial"/>
          <w:sz w:val="20"/>
          <w:szCs w:val="20"/>
        </w:rPr>
        <w:t>Provedení těchto prací však v žádném případě nezvyšuje touto smlouvou o dílo sjednanou cenu díla.</w:t>
      </w:r>
    </w:p>
    <w:p w:rsidR="004858D8" w:rsidRPr="00996AD4" w:rsidRDefault="004858D8" w:rsidP="004858D8">
      <w:pPr>
        <w:jc w:val="both"/>
        <w:rPr>
          <w:rFonts w:ascii="Arial" w:hAnsi="Arial" w:cs="Arial"/>
        </w:rPr>
      </w:pPr>
    </w:p>
    <w:p w:rsidR="004858D8" w:rsidRPr="00996AD4" w:rsidRDefault="004858D8" w:rsidP="004858D8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III.</w:t>
      </w:r>
    </w:p>
    <w:p w:rsidR="004858D8" w:rsidRPr="00996AD4" w:rsidRDefault="004858D8" w:rsidP="004858D8">
      <w:pPr>
        <w:jc w:val="center"/>
        <w:rPr>
          <w:rStyle w:val="FontStyle49"/>
          <w:rFonts w:ascii="Arial" w:hAnsi="Arial" w:cs="Arial"/>
        </w:rPr>
      </w:pPr>
      <w:r w:rsidRPr="00996AD4">
        <w:rPr>
          <w:rFonts w:ascii="Arial" w:hAnsi="Arial" w:cs="Arial"/>
          <w:b/>
        </w:rPr>
        <w:t>Povinnosti smluvních stran</w:t>
      </w:r>
    </w:p>
    <w:p w:rsidR="004858D8" w:rsidRPr="0022378B" w:rsidRDefault="004858D8" w:rsidP="004858D8">
      <w:pPr>
        <w:rPr>
          <w:rStyle w:val="FontStyle49"/>
          <w:rFonts w:ascii="Arial" w:hAnsi="Arial" w:cs="Arial"/>
          <w:sz w:val="20"/>
          <w:szCs w:val="20"/>
        </w:rPr>
      </w:pPr>
      <w:r w:rsidRPr="0022378B">
        <w:rPr>
          <w:rStyle w:val="FontStyle49"/>
          <w:rFonts w:ascii="Arial" w:hAnsi="Arial" w:cs="Arial"/>
          <w:sz w:val="20"/>
          <w:szCs w:val="20"/>
        </w:rPr>
        <w:t>Technický dozo</w:t>
      </w:r>
      <w:r>
        <w:rPr>
          <w:rStyle w:val="FontStyle49"/>
          <w:rFonts w:ascii="Arial" w:hAnsi="Arial" w:cs="Arial"/>
          <w:sz w:val="20"/>
          <w:szCs w:val="20"/>
        </w:rPr>
        <w:t>r se v rámci výkonu činností TDS</w:t>
      </w:r>
      <w:r w:rsidRPr="0022378B">
        <w:rPr>
          <w:rStyle w:val="FontStyle49"/>
          <w:rFonts w:ascii="Arial" w:hAnsi="Arial" w:cs="Arial"/>
          <w:sz w:val="20"/>
          <w:szCs w:val="20"/>
        </w:rPr>
        <w:t xml:space="preserve"> zavazuje</w:t>
      </w:r>
      <w:r w:rsidR="00C70325">
        <w:rPr>
          <w:rStyle w:val="FontStyle49"/>
          <w:rFonts w:ascii="Arial" w:hAnsi="Arial" w:cs="Arial"/>
          <w:sz w:val="20"/>
          <w:szCs w:val="20"/>
        </w:rPr>
        <w:t xml:space="preserve"> provádět níže uvedené činnosti</w:t>
      </w:r>
      <w:r w:rsidRPr="0022378B">
        <w:rPr>
          <w:rStyle w:val="FontStyle49"/>
          <w:rFonts w:ascii="Arial" w:hAnsi="Arial" w:cs="Arial"/>
          <w:sz w:val="20"/>
          <w:szCs w:val="20"/>
        </w:rPr>
        <w:t>:</w:t>
      </w:r>
    </w:p>
    <w:p w:rsidR="004858D8" w:rsidRPr="000F7A55" w:rsidRDefault="004858D8" w:rsidP="004858D8">
      <w:pPr>
        <w:rPr>
          <w:rStyle w:val="FontStyle49"/>
          <w:rFonts w:ascii="Arial" w:hAnsi="Arial" w:cs="Arial"/>
          <w:sz w:val="20"/>
          <w:szCs w:val="20"/>
        </w:rPr>
      </w:pP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5" w:line="240" w:lineRule="auto"/>
        <w:ind w:left="451" w:right="19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lastRenderedPageBreak/>
        <w:t>Účast při zajištění protokolárního předání staveniště zhotoviteli stavby dle PD a zabezpečení zápisu do stavebního deníku;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10" w:line="240" w:lineRule="auto"/>
        <w:ind w:left="451" w:right="14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 xml:space="preserve">Seznámení se s podklady, podle kterých se připravuje, resp. zajišťuje provádění stavby, obzvláště s projektovou dokumentací, se zadávací dokumentací díla, s obsahem příslušných smluv (zejména smlouvou o dílo mezi příkazcem a zhotovitelem díla), s časovým a finančním harmonogramem výstavby, s rozpočtem stavby, s obsahem stavebního povolení, s podmínkami, </w:t>
      </w:r>
      <w:r w:rsidR="00C70325">
        <w:rPr>
          <w:rStyle w:val="FontStyle24"/>
          <w:rFonts w:ascii="Arial" w:hAnsi="Arial" w:cs="Arial"/>
        </w:rPr>
        <w:t xml:space="preserve">s </w:t>
      </w:r>
      <w:r w:rsidRPr="00125BC5">
        <w:rPr>
          <w:rStyle w:val="FontStyle24"/>
          <w:rFonts w:ascii="Arial" w:hAnsi="Arial" w:cs="Arial"/>
        </w:rPr>
        <w:t xml:space="preserve">rozhodnutími a veškerými stanovisky veřejnoprávních orgánů a organizací a dále </w:t>
      </w:r>
      <w:r w:rsidRPr="00C70325">
        <w:rPr>
          <w:rStyle w:val="FontStyle23"/>
          <w:rFonts w:ascii="Arial" w:hAnsi="Arial" w:cs="Arial"/>
          <w:b w:val="0"/>
        </w:rPr>
        <w:t>s dotačními podmínkami</w:t>
      </w:r>
      <w:r w:rsidRPr="009407DD">
        <w:rPr>
          <w:rStyle w:val="FontStyle23"/>
          <w:rFonts w:ascii="Arial" w:hAnsi="Arial" w:cs="Arial"/>
        </w:rPr>
        <w:t xml:space="preserve"> </w:t>
      </w:r>
      <w:r w:rsidRPr="00125BC5">
        <w:rPr>
          <w:rStyle w:val="FontStyle24"/>
          <w:rFonts w:ascii="Arial" w:hAnsi="Arial" w:cs="Arial"/>
        </w:rPr>
        <w:t>stanovenými subjektem poskytujícím dotaci pro spolufinancování stavby;</w:t>
      </w:r>
    </w:p>
    <w:p w:rsidR="004858D8" w:rsidRPr="00125BC5" w:rsidRDefault="00C70325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10" w:line="240" w:lineRule="auto"/>
        <w:ind w:left="451" w:right="14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Provádění</w:t>
      </w:r>
      <w:r w:rsidR="004858D8" w:rsidRPr="00125BC5">
        <w:rPr>
          <w:rStyle w:val="FontStyle24"/>
          <w:rFonts w:ascii="Arial" w:hAnsi="Arial" w:cs="Arial"/>
        </w:rPr>
        <w:t xml:space="preserve"> odborn</w:t>
      </w:r>
      <w:r>
        <w:rPr>
          <w:rStyle w:val="FontStyle24"/>
          <w:rFonts w:ascii="Arial" w:hAnsi="Arial" w:cs="Arial"/>
        </w:rPr>
        <w:t>ého</w:t>
      </w:r>
      <w:r w:rsidR="004858D8" w:rsidRPr="00125BC5">
        <w:rPr>
          <w:rStyle w:val="FontStyle24"/>
          <w:rFonts w:ascii="Arial" w:hAnsi="Arial" w:cs="Arial"/>
        </w:rPr>
        <w:t xml:space="preserve"> dohled</w:t>
      </w:r>
      <w:r>
        <w:rPr>
          <w:rStyle w:val="FontStyle24"/>
          <w:rFonts w:ascii="Arial" w:hAnsi="Arial" w:cs="Arial"/>
        </w:rPr>
        <w:t>u</w:t>
      </w:r>
      <w:r w:rsidR="004858D8" w:rsidRPr="00125BC5">
        <w:rPr>
          <w:rStyle w:val="FontStyle24"/>
          <w:rFonts w:ascii="Arial" w:hAnsi="Arial" w:cs="Arial"/>
        </w:rPr>
        <w:t xml:space="preserve"> nad průběhem provádění díla v souladu se smlouvou o dílo mezi </w:t>
      </w:r>
      <w:r w:rsidR="004858D8">
        <w:rPr>
          <w:rStyle w:val="FontStyle24"/>
          <w:rFonts w:ascii="Arial" w:hAnsi="Arial" w:cs="Arial"/>
        </w:rPr>
        <w:t>příkazcem</w:t>
      </w:r>
      <w:r w:rsidR="004858D8" w:rsidRPr="00125BC5">
        <w:rPr>
          <w:rStyle w:val="FontStyle24"/>
          <w:rFonts w:ascii="Arial" w:hAnsi="Arial" w:cs="Arial"/>
        </w:rPr>
        <w:t xml:space="preserve"> a zhotovitelem stavby, zejména z hlediska dodržení sjednaného rozsahu díla a způsobu jeho provádění (kvalita, technické parametry, termíny apod.) a předkládání návrhů sankcí vůči zhotoviteli díla včetně písemného zdůvodnění;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plnění časového a finančního harmonogramu stavby;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10" w:line="240" w:lineRule="auto"/>
        <w:ind w:left="451" w:right="5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O</w:t>
      </w:r>
      <w:r w:rsidRPr="00125BC5">
        <w:rPr>
          <w:rStyle w:val="FontStyle24"/>
          <w:rFonts w:ascii="Arial" w:hAnsi="Arial" w:cs="Arial"/>
        </w:rPr>
        <w:t xml:space="preserve">sobní přítomnost příkazníka na stavbě </w:t>
      </w:r>
      <w:r>
        <w:rPr>
          <w:rStyle w:val="FontStyle24"/>
          <w:rFonts w:ascii="Arial" w:hAnsi="Arial" w:cs="Arial"/>
        </w:rPr>
        <w:t xml:space="preserve">min. 3 x týdně </w:t>
      </w:r>
      <w:r w:rsidRPr="00125BC5">
        <w:rPr>
          <w:rStyle w:val="FontStyle24"/>
          <w:rFonts w:ascii="Arial" w:hAnsi="Arial" w:cs="Arial"/>
        </w:rPr>
        <w:t>(není-li dohodnuto s</w:t>
      </w:r>
      <w:r>
        <w:rPr>
          <w:rStyle w:val="FontStyle24"/>
          <w:rFonts w:ascii="Arial" w:hAnsi="Arial" w:cs="Arial"/>
        </w:rPr>
        <w:t> </w:t>
      </w:r>
      <w:r w:rsidRPr="00125BC5">
        <w:rPr>
          <w:rStyle w:val="FontStyle24"/>
          <w:rFonts w:ascii="Arial" w:hAnsi="Arial" w:cs="Arial"/>
        </w:rPr>
        <w:t>příkazcem</w:t>
      </w:r>
      <w:r>
        <w:rPr>
          <w:rStyle w:val="FontStyle24"/>
          <w:rFonts w:ascii="Arial" w:hAnsi="Arial" w:cs="Arial"/>
        </w:rPr>
        <w:t xml:space="preserve"> </w:t>
      </w:r>
      <w:r w:rsidRPr="00125BC5">
        <w:rPr>
          <w:rStyle w:val="FontStyle24"/>
          <w:rFonts w:ascii="Arial" w:hAnsi="Arial" w:cs="Arial"/>
        </w:rPr>
        <w:t xml:space="preserve">a zhotovitelem stavby </w:t>
      </w:r>
      <w:r w:rsidRPr="00C70325">
        <w:rPr>
          <w:rStyle w:val="FontStyle23"/>
          <w:rFonts w:ascii="Arial" w:hAnsi="Arial" w:cs="Arial"/>
          <w:b w:val="0"/>
        </w:rPr>
        <w:t>písemně</w:t>
      </w:r>
      <w:r w:rsidRPr="00C70325">
        <w:rPr>
          <w:rStyle w:val="FontStyle23"/>
          <w:rFonts w:ascii="Arial" w:hAnsi="Arial" w:cs="Arial"/>
        </w:rPr>
        <w:t xml:space="preserve"> </w:t>
      </w:r>
      <w:r w:rsidRPr="00C70325">
        <w:rPr>
          <w:rStyle w:val="FontStyle24"/>
          <w:rFonts w:ascii="Arial" w:hAnsi="Arial" w:cs="Arial"/>
        </w:rPr>
        <w:t>jinak</w:t>
      </w:r>
      <w:r w:rsidR="00C70325">
        <w:rPr>
          <w:rStyle w:val="FontStyle24"/>
          <w:rFonts w:ascii="Arial" w:hAnsi="Arial" w:cs="Arial"/>
        </w:rPr>
        <w:t>)</w:t>
      </w:r>
      <w:r w:rsidR="00C70325" w:rsidRPr="00125BC5">
        <w:rPr>
          <w:rStyle w:val="FontStyle24"/>
          <w:rFonts w:ascii="Arial" w:hAnsi="Arial" w:cs="Arial"/>
        </w:rPr>
        <w:t>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5" w:line="240" w:lineRule="auto"/>
        <w:ind w:left="451" w:right="24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Dohled na dodržování podmínek stavebního povolení a opatření státního stavebního dohledu po dobu realizace stavby;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5" w:line="240" w:lineRule="auto"/>
        <w:ind w:left="451" w:right="14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Svolávání kontrolních dnů, jejich vedení a pořízení zápisů, včetně zajištění podpisů všech přítomných a zajištění distribuce zápisů všem ú</w:t>
      </w:r>
      <w:r w:rsidR="00C70325">
        <w:rPr>
          <w:rStyle w:val="FontStyle24"/>
          <w:rFonts w:ascii="Arial" w:hAnsi="Arial" w:cs="Arial"/>
        </w:rPr>
        <w:t>častníkům kontrolního dne a jejich</w:t>
      </w:r>
      <w:r w:rsidRPr="00125BC5">
        <w:rPr>
          <w:rStyle w:val="FontStyle24"/>
          <w:rFonts w:ascii="Arial" w:hAnsi="Arial" w:cs="Arial"/>
        </w:rPr>
        <w:t xml:space="preserve"> archivace v listinné a elektronické podobě;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10" w:line="240" w:lineRule="auto"/>
        <w:ind w:left="451" w:right="19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Zabezpečení, organizace a účast na veškerých jednáních s dotčenými veřejnoprávními orgány a organizacemi, která souvisí s realizací vlastního díla;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10" w:line="240" w:lineRule="auto"/>
        <w:ind w:left="451" w:right="14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 xml:space="preserve">Provádět kontrolu dodržování PD ze strany zhotovitele stavby (včetně subdodavatelů) po stránce kvality, úplnosti díla, dodržení projektovaných parametrů díla a technických předpisů a norem a dodržení podmínek stanovených ve stavebním povolení a závazných posudcích a podmínek vyplývajících ze </w:t>
      </w:r>
      <w:proofErr w:type="spellStart"/>
      <w:r w:rsidRPr="00125BC5">
        <w:rPr>
          <w:rStyle w:val="FontStyle24"/>
          <w:rFonts w:ascii="Arial" w:hAnsi="Arial" w:cs="Arial"/>
        </w:rPr>
        <w:t>SoD</w:t>
      </w:r>
      <w:proofErr w:type="spellEnd"/>
      <w:r w:rsidRPr="00125BC5">
        <w:rPr>
          <w:rStyle w:val="FontStyle24"/>
          <w:rFonts w:ascii="Arial" w:hAnsi="Arial" w:cs="Arial"/>
        </w:rPr>
        <w:t xml:space="preserve"> se zhotovitelem stavby a to až do konečného odstranění vad a nedodělků;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vedení stavebního deníku v souladu s podmínkami uvedenými v příslušné smlouvě;</w:t>
      </w:r>
    </w:p>
    <w:p w:rsidR="004858D8" w:rsidRPr="00AD7724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125" w:right="17" w:firstLine="0"/>
        <w:jc w:val="left"/>
        <w:rPr>
          <w:rStyle w:val="FontStyle24"/>
          <w:rFonts w:ascii="Arial" w:hAnsi="Arial" w:cs="Arial"/>
        </w:rPr>
      </w:pPr>
      <w:r w:rsidRPr="00AD7724">
        <w:rPr>
          <w:rStyle w:val="FontStyle24"/>
          <w:rFonts w:ascii="Arial" w:hAnsi="Arial" w:cs="Arial"/>
        </w:rPr>
        <w:t xml:space="preserve">Kontrola subdodavatelských subjektů na stavbě, včetně kontroly plnění podmínek stanovených </w:t>
      </w:r>
      <w:r>
        <w:rPr>
          <w:rStyle w:val="FontStyle24"/>
          <w:rFonts w:ascii="Arial" w:hAnsi="Arial" w:cs="Arial"/>
        </w:rPr>
        <w:t xml:space="preserve">  </w:t>
      </w:r>
      <w:r w:rsidR="00DE295E">
        <w:rPr>
          <w:rStyle w:val="FontStyle24"/>
          <w:rFonts w:ascii="Arial" w:hAnsi="Arial" w:cs="Arial"/>
        </w:rPr>
        <w:t xml:space="preserve">  </w:t>
      </w:r>
      <w:r w:rsidRPr="00AD7724">
        <w:rPr>
          <w:rStyle w:val="FontStyle24"/>
          <w:rFonts w:ascii="Arial" w:hAnsi="Arial" w:cs="Arial"/>
        </w:rPr>
        <w:t>pro subdodávky v zadávací dokumentaci;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5" w:line="240" w:lineRule="auto"/>
        <w:ind w:left="451" w:right="19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Sledování provádění předepsaných nebo dohodnutých zkoušek materiálů, konstrukcí a prací; kontrola výsledků předepsaných zkoušek stavebních konstrukcí, včetně atestů na zabudovaný materiál;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before="10" w:line="240" w:lineRule="auto"/>
        <w:ind w:left="451" w:right="24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Zápisy stanoviska TDS</w:t>
      </w:r>
      <w:r w:rsidRPr="00125BC5">
        <w:rPr>
          <w:rStyle w:val="FontStyle24"/>
          <w:rFonts w:ascii="Arial" w:hAnsi="Arial" w:cs="Arial"/>
        </w:rPr>
        <w:t xml:space="preserve"> k zápisům zhotovitele stavby rozhodných pro hladký průběh stavby a případným změnám stavby;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 xml:space="preserve">Věcná, cenová a formální kontrola oceňovacích podkladů a fakturace - potvrzování věcné, cenové a formální správnosti soupisů prací předložených zhotovitelem díla za příslušné fakturační období (odsouhlasení rozsahu a úplnosti dílčích faktur), včetně kontroly souladu provedených a fakturovaných prací s rozpočtem stavby a uzavřenou </w:t>
      </w:r>
      <w:proofErr w:type="spellStart"/>
      <w:r w:rsidRPr="00125BC5">
        <w:rPr>
          <w:rStyle w:val="FontStyle24"/>
          <w:rFonts w:ascii="Arial" w:hAnsi="Arial" w:cs="Arial"/>
        </w:rPr>
        <w:t>SoD</w:t>
      </w:r>
      <w:proofErr w:type="spellEnd"/>
      <w:r w:rsidRPr="00125BC5">
        <w:rPr>
          <w:rStyle w:val="FontStyle24"/>
          <w:rFonts w:ascii="Arial" w:hAnsi="Arial" w:cs="Arial"/>
        </w:rPr>
        <w:t>, a to vždy ve lhůtě sjednané příkazcem a zhotovitelem díla ve smlouvě o dílo a jejich včasné předkládání k úhradě příkazci;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721" w:right="24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Posouzení potřeby víceprací/</w:t>
      </w:r>
      <w:proofErr w:type="spellStart"/>
      <w:r w:rsidRPr="00125BC5">
        <w:rPr>
          <w:rStyle w:val="FontStyle24"/>
          <w:rFonts w:ascii="Arial" w:hAnsi="Arial" w:cs="Arial"/>
        </w:rPr>
        <w:t>méněprací</w:t>
      </w:r>
      <w:proofErr w:type="spellEnd"/>
      <w:r w:rsidRPr="00125BC5">
        <w:rPr>
          <w:rStyle w:val="FontStyle24"/>
          <w:rFonts w:ascii="Arial" w:hAnsi="Arial" w:cs="Arial"/>
        </w:rPr>
        <w:t xml:space="preserve"> navržených zhotovitelem nebo příkazcem a kontrola věcné a cenové správnosti a úplnosti ocenění víceprací/</w:t>
      </w:r>
      <w:proofErr w:type="spellStart"/>
      <w:r w:rsidRPr="00125BC5">
        <w:rPr>
          <w:rStyle w:val="FontStyle24"/>
          <w:rFonts w:ascii="Arial" w:hAnsi="Arial" w:cs="Arial"/>
        </w:rPr>
        <w:t>méněprací</w:t>
      </w:r>
      <w:proofErr w:type="spellEnd"/>
      <w:r w:rsidRPr="00125BC5">
        <w:rPr>
          <w:rStyle w:val="FontStyle24"/>
          <w:rFonts w:ascii="Arial" w:hAnsi="Arial" w:cs="Arial"/>
        </w:rPr>
        <w:t>, které upravují sjednanou cenu díla, upravují sjednanou lhůtu výstavby nebo upravují parametry díla, včetně posouzení jejich vlivu na sjednaný termín dle příslušné smlouvy, zajištění písemných stanovisek k takovým vícepracím/</w:t>
      </w:r>
      <w:proofErr w:type="spellStart"/>
      <w:r w:rsidRPr="00125BC5">
        <w:rPr>
          <w:rStyle w:val="FontStyle24"/>
          <w:rFonts w:ascii="Arial" w:hAnsi="Arial" w:cs="Arial"/>
        </w:rPr>
        <w:t>méněpracím</w:t>
      </w:r>
      <w:proofErr w:type="spellEnd"/>
      <w:r w:rsidRPr="00125BC5">
        <w:rPr>
          <w:rStyle w:val="FontStyle24"/>
          <w:rFonts w:ascii="Arial" w:hAnsi="Arial" w:cs="Arial"/>
        </w:rPr>
        <w:t xml:space="preserve"> pro příkazce a účast při projednávání event. dodatků dodavatelských smluv v termínech stanovených příkazcem;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5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věcné a cenové správnosti změnových listů vypracovaných zhotovitelem díla v případě nutnosti realizovat vícepráce/</w:t>
      </w:r>
      <w:proofErr w:type="spellStart"/>
      <w:r w:rsidRPr="00125BC5">
        <w:rPr>
          <w:rStyle w:val="FontStyle24"/>
          <w:rFonts w:ascii="Arial" w:hAnsi="Arial" w:cs="Arial"/>
        </w:rPr>
        <w:t>méněpráce</w:t>
      </w:r>
      <w:proofErr w:type="spellEnd"/>
      <w:r w:rsidRPr="00125BC5">
        <w:rPr>
          <w:rStyle w:val="FontStyle24"/>
          <w:rFonts w:ascii="Arial" w:hAnsi="Arial" w:cs="Arial"/>
        </w:rPr>
        <w:t xml:space="preserve"> na stavbě, včetně odsouhlasení jejich věcné a cenové správnosti podpisem, a to vždy do 3 dnů od jejich předložení zhotovitelem díla a jejich včasné předkládání k úhradě příkazci;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Vedení evidence o čerpání rozpočtu díla a v souvislosti s tím vypracovávání návrhů na zpracování doplňků rozpočtu zhotovitelem díla a jejich předklá</w:t>
      </w:r>
      <w:r>
        <w:rPr>
          <w:rStyle w:val="FontStyle24"/>
          <w:rFonts w:ascii="Arial" w:hAnsi="Arial" w:cs="Arial"/>
        </w:rPr>
        <w:t>dání se svým vyjádřením objednateli</w:t>
      </w:r>
      <w:r w:rsidRPr="00125BC5">
        <w:rPr>
          <w:rStyle w:val="FontStyle24"/>
          <w:rFonts w:ascii="Arial" w:hAnsi="Arial" w:cs="Arial"/>
        </w:rPr>
        <w:t>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skutečně provedených prací ve vazbě na zpracovaný harmonogram výstavby a navržení opatření při jeho eventuálním neplnění ze strany zhotovitele stavby, včetně pomoci při návrhu na řešení případných sankcí;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Zajištění kontroly použitých materiálů dle PD; kontrola dodržování standardů u materiálů dodávaných zhotovitelem podle technických parametrů uvedených v projektové dokumentaci a kontrola dodržování technologických postupů předepsaných výrobci materiálů a výrobků použitých zhotovitelem při realizaci díla;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14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lastRenderedPageBreak/>
        <w:t>Projednávání případných požadavků na provedení změn některé části díla, včetně návrhů na zhospodárnění výstavby bez snížení kvalitativních parametrů stavby;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Péče o systematické doplňování veškeré dokumentace, podle které se stavba realizuje;</w:t>
      </w:r>
    </w:p>
    <w:p w:rsidR="004858D8" w:rsidRPr="00125BC5" w:rsidRDefault="00C70325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14" w:hanging="360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Vyžadovat</w:t>
      </w:r>
      <w:r w:rsidR="004858D8" w:rsidRPr="00125BC5">
        <w:rPr>
          <w:rStyle w:val="FontStyle24"/>
          <w:rFonts w:ascii="Arial" w:hAnsi="Arial" w:cs="Arial"/>
        </w:rPr>
        <w:t xml:space="preserve"> dodržování požadavků na bezpečnost práce a na požární ochranu ze strany zhotovitele podle zvláštních právních předpisů</w:t>
      </w:r>
    </w:p>
    <w:p w:rsidR="004858D8" w:rsidRPr="00125BC5" w:rsidRDefault="00C70325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Kontrolovat</w:t>
      </w:r>
      <w:r w:rsidR="004858D8" w:rsidRPr="00125BC5">
        <w:rPr>
          <w:rStyle w:val="FontStyle24"/>
          <w:rFonts w:ascii="Arial" w:hAnsi="Arial" w:cs="Arial"/>
        </w:rPr>
        <w:t xml:space="preserve"> dodržování čistoty a pořádku na stavbě a v přilehlých plochách a komunikacích;</w:t>
      </w:r>
    </w:p>
    <w:p w:rsidR="004858D8" w:rsidRPr="00125BC5" w:rsidRDefault="00C70325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5" w:hanging="360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Sledovat</w:t>
      </w:r>
      <w:r w:rsidR="004858D8" w:rsidRPr="00125BC5">
        <w:rPr>
          <w:rStyle w:val="FontStyle24"/>
          <w:rFonts w:ascii="Arial" w:hAnsi="Arial" w:cs="Arial"/>
        </w:rPr>
        <w:t xml:space="preserve"> stavební připravenost pro jiné zhotovitele (přímé dodávky pro investora - techn</w:t>
      </w:r>
      <w:r>
        <w:rPr>
          <w:rStyle w:val="FontStyle24"/>
          <w:rFonts w:ascii="Arial" w:hAnsi="Arial" w:cs="Arial"/>
        </w:rPr>
        <w:t>ologie a vybavení) a zabezpečovat</w:t>
      </w:r>
      <w:r w:rsidR="004858D8" w:rsidRPr="00125BC5">
        <w:rPr>
          <w:rStyle w:val="FontStyle24"/>
          <w:rFonts w:ascii="Arial" w:hAnsi="Arial" w:cs="Arial"/>
        </w:rPr>
        <w:t xml:space="preserve"> protokolární předání a převzetí pracoviště pro tyto dodávky s popisem stavu díla při předání a kontrolu eventuálních škod na díle při dokončení prací na přímé do</w:t>
      </w:r>
      <w:r>
        <w:rPr>
          <w:rStyle w:val="FontStyle24"/>
          <w:rFonts w:ascii="Arial" w:hAnsi="Arial" w:cs="Arial"/>
        </w:rPr>
        <w:t>dávce pro investora. Zabezpečovat předání a převzetí dokončené</w:t>
      </w:r>
      <w:r w:rsidR="004858D8" w:rsidRPr="00125BC5">
        <w:rPr>
          <w:rStyle w:val="FontStyle24"/>
          <w:rFonts w:ascii="Arial" w:hAnsi="Arial" w:cs="Arial"/>
        </w:rPr>
        <w:t xml:space="preserve"> přímé dodávky investorovi;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Úzce spo</w:t>
      </w:r>
      <w:r w:rsidR="00C70325">
        <w:rPr>
          <w:rStyle w:val="FontStyle24"/>
          <w:rFonts w:ascii="Arial" w:hAnsi="Arial" w:cs="Arial"/>
        </w:rPr>
        <w:t>lupracovat</w:t>
      </w:r>
      <w:r>
        <w:rPr>
          <w:rStyle w:val="FontStyle24"/>
          <w:rFonts w:ascii="Arial" w:hAnsi="Arial" w:cs="Arial"/>
        </w:rPr>
        <w:t xml:space="preserve"> s příkazcem</w:t>
      </w:r>
      <w:r w:rsidRPr="00125BC5">
        <w:rPr>
          <w:rStyle w:val="FontStyle24"/>
          <w:rFonts w:ascii="Arial" w:hAnsi="Arial" w:cs="Arial"/>
        </w:rPr>
        <w:t>.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10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Účast na projednávání event. dodatků a změn projektové dokumentace, které nezvyšují náklady díla, neprodlužují lhůtu výstavby a nezhoršují parametry díla (v ostatních případech za spoluúčasti zástupce investora);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5" w:hanging="360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Včasné a úplné informování příkazce</w:t>
      </w:r>
      <w:r w:rsidRPr="00125BC5">
        <w:rPr>
          <w:rStyle w:val="FontStyle24"/>
          <w:rFonts w:ascii="Arial" w:hAnsi="Arial" w:cs="Arial"/>
        </w:rPr>
        <w:t xml:space="preserve"> o veškerých záležitostech týkajících se provádění vlastního díla, zejména o všech skutečnostech, které mohou mít vliv na plnění </w:t>
      </w:r>
      <w:proofErr w:type="spellStart"/>
      <w:r w:rsidRPr="00125BC5">
        <w:rPr>
          <w:rStyle w:val="FontStyle24"/>
          <w:rFonts w:ascii="Arial" w:hAnsi="Arial" w:cs="Arial"/>
        </w:rPr>
        <w:t>SoD</w:t>
      </w:r>
      <w:proofErr w:type="spellEnd"/>
      <w:r w:rsidRPr="00125BC5">
        <w:rPr>
          <w:rStyle w:val="FontStyle24"/>
          <w:rFonts w:ascii="Arial" w:hAnsi="Arial" w:cs="Arial"/>
        </w:rPr>
        <w:t xml:space="preserve"> uzavřené se zhotovitelem stavby ve věcné, termínové nebo finanční části;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hanging="36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řádného uskladnění materiálů, pořádku na staveništi apod.;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10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a převzetí dílčích prací, které budou postupem dalších stavebních činností zakryty nebo se stanou nepřístupnými a zapsání výsledků kontroly do stavebního deníku;</w:t>
      </w:r>
    </w:p>
    <w:p w:rsidR="004858D8" w:rsidRPr="00125BC5" w:rsidRDefault="004858D8" w:rsidP="004858D8">
      <w:pPr>
        <w:pStyle w:val="Style11"/>
        <w:widowControl/>
        <w:numPr>
          <w:ilvl w:val="0"/>
          <w:numId w:val="8"/>
        </w:numPr>
        <w:tabs>
          <w:tab w:val="left" w:pos="331"/>
        </w:tabs>
        <w:spacing w:line="240" w:lineRule="auto"/>
        <w:ind w:left="721" w:right="14" w:hanging="360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Snaha o max. možnou eliminaci navyšování rozpočtových nákladů stavby, především při projednávání a dosažení dohod o výši nákladů a sazeb za neplánované položky prací nebo materiálů;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Ověřování správnosti všech návrhů zhotovitele stavby na změny ceny, termínů nebo jiných podmínek smlouvy;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dodržování parametrů ochrany životního prostředí zhotovitelem díla;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Pořizování digitální fotodokumentace stavebních a montážních prací v rozsahu dostatečně dokumentujícím provádění stavby, její archivace v listinné a digitální podobě a její předání po dokončení díla příkazci v listinné a digitální podobě;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right="10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Zajištění včasného upozornění zhotovitele na nedodržení termínů, vadné provádění díla, atd., včetně přípravy podkladů pro uplatnění majetkových sankcí příkazcem vůči zhotoviteli;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461" w:right="5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všech podkladů pro přejímací řízení a kolaudační řízení, včetně vypracování žádosti o vydání kolaudačního souhlasu;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461" w:right="5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Vypracování soupisů všech případných vad a nedodělků a reklamovaných částí díla s termíny jejich odstranění a pomoc při kontrole plnění těchto termínů včetně dodržení smluvního termínu vyklizení staveniště ze strany zhotovitele stavby;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všech nutných revizí a měření s následnou kontrolou odstranění zjištěných závad;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461" w:right="10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a odsouhlasení správnosti dokumentace skutečného provedení díla</w:t>
      </w:r>
      <w:r w:rsidR="00C70325" w:rsidRPr="00125BC5">
        <w:rPr>
          <w:rStyle w:val="FontStyle24"/>
          <w:rFonts w:ascii="Arial" w:hAnsi="Arial" w:cs="Arial"/>
        </w:rPr>
        <w:t>;</w:t>
      </w:r>
      <w:r w:rsidRPr="00125BC5">
        <w:rPr>
          <w:rStyle w:val="FontStyle24"/>
          <w:rFonts w:ascii="Arial" w:hAnsi="Arial" w:cs="Arial"/>
        </w:rPr>
        <w:t xml:space="preserve"> 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geodetického zaměření stavby a jejích součástí;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Účast na jednáních o odevzdání a převzetí díla nebo jeho části;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odstraňování vad a nedodělků zjištěných při předání a převzetí díla a kolaudaci díla;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Účast na kolaudaci stavby;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right="10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Zabezpečení splnění požadavků vyplývajících z kolaudačního řízení a kontrola odstranění vad zjištěných při kolaudačním řízení;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Kontrola vyklizení staveniště zhotovitelem ve stanovených termínech;</w:t>
      </w:r>
    </w:p>
    <w:p w:rsidR="004858D8" w:rsidRPr="00125BC5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Zajištění a spolupráce s příkazcem po dokončení stavby (díla) a při reklamaci vad díla;</w:t>
      </w:r>
    </w:p>
    <w:p w:rsidR="004858D8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40" w:lineRule="auto"/>
        <w:ind w:left="461" w:right="10" w:hanging="336"/>
        <w:rPr>
          <w:rStyle w:val="FontStyle24"/>
          <w:rFonts w:ascii="Arial" w:hAnsi="Arial" w:cs="Arial"/>
        </w:rPr>
      </w:pPr>
      <w:r w:rsidRPr="00125BC5">
        <w:rPr>
          <w:rStyle w:val="FontStyle24"/>
          <w:rFonts w:ascii="Arial" w:hAnsi="Arial" w:cs="Arial"/>
        </w:rPr>
        <w:t>Zajištění součinnosti a účasti při případných kontrolách ze strany dotčených orgánů státní správy;</w:t>
      </w:r>
    </w:p>
    <w:p w:rsidR="004858D8" w:rsidRPr="007E11B4" w:rsidRDefault="004858D8" w:rsidP="004858D8">
      <w:pPr>
        <w:pStyle w:val="Style11"/>
        <w:widowControl/>
        <w:numPr>
          <w:ilvl w:val="0"/>
          <w:numId w:val="9"/>
        </w:numPr>
        <w:tabs>
          <w:tab w:val="left" w:pos="461"/>
        </w:tabs>
        <w:spacing w:before="5" w:line="274" w:lineRule="exact"/>
        <w:ind w:left="461" w:right="10" w:firstLine="0"/>
        <w:rPr>
          <w:rStyle w:val="FontStyle24"/>
          <w:rFonts w:ascii="Arial" w:hAnsi="Arial" w:cs="Arial"/>
        </w:rPr>
      </w:pPr>
      <w:r w:rsidRPr="007E11B4">
        <w:rPr>
          <w:rStyle w:val="FontStyle24"/>
          <w:rFonts w:ascii="Arial" w:hAnsi="Arial" w:cs="Arial"/>
        </w:rPr>
        <w:t>Zajištění dalších činností, které vyplynou z postupu přípravy a realizace vlastního díla, ze specifických podmínek díla, jakož i z činnosti orgánů státní správy a kontrolních orgánů.</w:t>
      </w:r>
      <w:r>
        <w:rPr>
          <w:rStyle w:val="FontStyle24"/>
          <w:rFonts w:ascii="Arial" w:hAnsi="Arial" w:cs="Arial"/>
        </w:rPr>
        <w:t xml:space="preserve"> </w:t>
      </w:r>
    </w:p>
    <w:p w:rsidR="004858D8" w:rsidRPr="00996AD4" w:rsidRDefault="004858D8" w:rsidP="004858D8">
      <w:pPr>
        <w:tabs>
          <w:tab w:val="num" w:pos="360"/>
        </w:tabs>
        <w:ind w:left="426" w:hanging="426"/>
        <w:jc w:val="both"/>
        <w:rPr>
          <w:rFonts w:ascii="Arial" w:hAnsi="Arial" w:cs="Arial"/>
          <w:b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jc w:val="both"/>
        <w:rPr>
          <w:rFonts w:ascii="Arial" w:hAnsi="Arial" w:cs="Arial"/>
          <w:b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IV.</w:t>
      </w: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 xml:space="preserve">Místo plnění </w:t>
      </w:r>
    </w:p>
    <w:p w:rsidR="004858D8" w:rsidRPr="00781BAC" w:rsidRDefault="004858D8" w:rsidP="004858D8">
      <w:pPr>
        <w:pStyle w:val="Odstavecseseznamem"/>
        <w:numPr>
          <w:ilvl w:val="1"/>
          <w:numId w:val="10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781BAC">
        <w:rPr>
          <w:rStyle w:val="FontStyle49"/>
          <w:rFonts w:ascii="Arial" w:hAnsi="Arial" w:cs="Arial"/>
          <w:sz w:val="20"/>
          <w:szCs w:val="20"/>
        </w:rPr>
        <w:t>Místem výkonu činnosti TDS</w:t>
      </w:r>
      <w:r>
        <w:rPr>
          <w:rStyle w:val="FontStyle49"/>
          <w:rFonts w:ascii="Arial" w:hAnsi="Arial" w:cs="Arial"/>
          <w:sz w:val="20"/>
          <w:szCs w:val="20"/>
        </w:rPr>
        <w:t xml:space="preserve"> jsou prostory vstupního objektu do areálu Muzea vesnice jihovýchodní Moravy, Bzenecká 671 ve Strážnici</w:t>
      </w:r>
      <w:r w:rsidRPr="00781BAC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Default="004858D8" w:rsidP="004858D8">
      <w:pPr>
        <w:tabs>
          <w:tab w:val="num" w:pos="360"/>
        </w:tabs>
        <w:ind w:left="426" w:hanging="426"/>
        <w:rPr>
          <w:rFonts w:ascii="Arial" w:hAnsi="Arial" w:cs="Arial"/>
          <w:b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 xml:space="preserve">                                                                         V.</w:t>
      </w:r>
    </w:p>
    <w:p w:rsidR="004858D8" w:rsidRPr="000F7A55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sz w:val="20"/>
          <w:szCs w:val="20"/>
        </w:rPr>
      </w:pPr>
      <w:r w:rsidRPr="00996AD4">
        <w:rPr>
          <w:rFonts w:ascii="Arial" w:hAnsi="Arial" w:cs="Arial"/>
          <w:b/>
        </w:rPr>
        <w:t>Doba plnění díla</w:t>
      </w:r>
    </w:p>
    <w:p w:rsidR="004858D8" w:rsidRPr="00CB1A18" w:rsidRDefault="004858D8" w:rsidP="004858D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7A55">
        <w:rPr>
          <w:rFonts w:ascii="Arial" w:hAnsi="Arial" w:cs="Arial"/>
          <w:sz w:val="20"/>
          <w:szCs w:val="20"/>
        </w:rPr>
        <w:lastRenderedPageBreak/>
        <w:t xml:space="preserve"> </w:t>
      </w:r>
      <w:r w:rsidRPr="000F7A55">
        <w:rPr>
          <w:rStyle w:val="FontStyle49"/>
          <w:rFonts w:ascii="Arial" w:hAnsi="Arial" w:cs="Arial"/>
          <w:sz w:val="20"/>
          <w:szCs w:val="20"/>
        </w:rPr>
        <w:t xml:space="preserve">Výkon činnosti zahájí </w:t>
      </w:r>
      <w:r>
        <w:rPr>
          <w:rStyle w:val="FontStyle49"/>
          <w:rFonts w:ascii="Arial" w:hAnsi="Arial" w:cs="Arial"/>
          <w:sz w:val="20"/>
          <w:szCs w:val="20"/>
        </w:rPr>
        <w:t xml:space="preserve">TDS ihned po nabytí účinnosti smlouvy. Předpokládaný termín zahájení činnosti je 03/ 2022. Předpokládaný termín dokončení </w:t>
      </w:r>
      <w:r w:rsidR="00C70325">
        <w:rPr>
          <w:rStyle w:val="FontStyle49"/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06/2022.</w:t>
      </w:r>
    </w:p>
    <w:p w:rsidR="004858D8" w:rsidRPr="000F7A55" w:rsidRDefault="004858D8" w:rsidP="004858D8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4858D8" w:rsidRPr="003D65F5" w:rsidRDefault="004858D8" w:rsidP="004858D8">
      <w:pPr>
        <w:pStyle w:val="Odstavecseseznamem"/>
        <w:numPr>
          <w:ilvl w:val="1"/>
          <w:numId w:val="1"/>
        </w:numPr>
        <w:jc w:val="both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>Výkon činnosti TDS</w:t>
      </w:r>
      <w:r w:rsidRPr="003D65F5">
        <w:rPr>
          <w:rStyle w:val="FontStyle49"/>
          <w:rFonts w:ascii="Arial" w:hAnsi="Arial" w:cs="Arial"/>
          <w:sz w:val="20"/>
          <w:szCs w:val="20"/>
        </w:rPr>
        <w:t xml:space="preserve"> bude ukončen nejpozději do 14 dnů po předání a </w:t>
      </w:r>
      <w:r>
        <w:rPr>
          <w:rStyle w:val="FontStyle49"/>
          <w:rFonts w:ascii="Arial" w:hAnsi="Arial" w:cs="Arial"/>
          <w:sz w:val="20"/>
          <w:szCs w:val="20"/>
        </w:rPr>
        <w:t>převzetí stavby mezi příkazcem</w:t>
      </w:r>
      <w:r w:rsidRPr="003D65F5">
        <w:rPr>
          <w:rStyle w:val="FontStyle49"/>
          <w:rFonts w:ascii="Arial" w:hAnsi="Arial" w:cs="Arial"/>
          <w:sz w:val="20"/>
          <w:szCs w:val="20"/>
        </w:rPr>
        <w:t xml:space="preserve"> a zhotovitelem stavby bez vad a nedodělků, a to předáním kompletní dokumentace o průběhu výstavby a dalších dokumentů </w:t>
      </w:r>
      <w:r>
        <w:rPr>
          <w:rStyle w:val="FontStyle49"/>
          <w:rFonts w:ascii="Arial" w:hAnsi="Arial" w:cs="Arial"/>
          <w:sz w:val="20"/>
          <w:szCs w:val="20"/>
        </w:rPr>
        <w:t>příkazci</w:t>
      </w:r>
      <w:r w:rsidRPr="003D65F5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Pr="000F7A55" w:rsidRDefault="004858D8" w:rsidP="004858D8">
      <w:pPr>
        <w:pStyle w:val="Odstavecseseznamem"/>
        <w:ind w:left="360"/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Pr="007E11B4" w:rsidRDefault="004858D8" w:rsidP="004858D8">
      <w:pPr>
        <w:pStyle w:val="Odstavecseseznamem"/>
        <w:numPr>
          <w:ilvl w:val="1"/>
          <w:numId w:val="1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E11B4">
        <w:rPr>
          <w:rStyle w:val="FontStyle49"/>
          <w:rFonts w:ascii="Arial" w:hAnsi="Arial" w:cs="Arial"/>
          <w:sz w:val="20"/>
          <w:szCs w:val="20"/>
        </w:rPr>
        <w:t>Vyvstanou-li v průběhu výkonu činnosti TDS skryté překážky, které nemohl příkazce ani příkazník předjímat, zavazují se obě smluvní strany, že si dohodnou prostřednictvím dodatku ke smlouvě odpovídající řešení a učiní kroky k odstranění překážek.</w:t>
      </w:r>
      <w:r w:rsidRPr="007E11B4">
        <w:rPr>
          <w:rFonts w:ascii="Arial" w:hAnsi="Arial" w:cs="Arial"/>
          <w:sz w:val="20"/>
          <w:szCs w:val="20"/>
        </w:rPr>
        <w:t xml:space="preserve">    </w:t>
      </w:r>
    </w:p>
    <w:p w:rsidR="004858D8" w:rsidRPr="00996AD4" w:rsidRDefault="004858D8" w:rsidP="004858D8">
      <w:pPr>
        <w:tabs>
          <w:tab w:val="num" w:pos="360"/>
        </w:tabs>
        <w:ind w:left="426" w:hanging="426"/>
        <w:jc w:val="both"/>
        <w:rPr>
          <w:rFonts w:ascii="Arial" w:hAnsi="Arial" w:cs="Arial"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rPr>
          <w:rFonts w:ascii="Arial" w:hAnsi="Arial" w:cs="Arial"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VI.</w:t>
      </w: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Cena díla</w:t>
      </w:r>
    </w:p>
    <w:p w:rsidR="004858D8" w:rsidRPr="000F7A55" w:rsidRDefault="004858D8" w:rsidP="004858D8">
      <w:pPr>
        <w:pStyle w:val="Bezmezer"/>
        <w:rPr>
          <w:rStyle w:val="FontStyle49"/>
          <w:rFonts w:ascii="Arial" w:hAnsi="Arial" w:cs="Arial"/>
          <w:sz w:val="20"/>
          <w:szCs w:val="20"/>
        </w:rPr>
      </w:pPr>
      <w:r w:rsidRPr="000F7A55">
        <w:t xml:space="preserve">6.1. </w:t>
      </w:r>
      <w:r w:rsidRPr="000F7A55">
        <w:rPr>
          <w:rStyle w:val="FontStyle49"/>
          <w:rFonts w:ascii="Arial" w:hAnsi="Arial" w:cs="Arial"/>
          <w:sz w:val="20"/>
          <w:szCs w:val="20"/>
        </w:rPr>
        <w:t>Cena</w:t>
      </w:r>
      <w:r>
        <w:rPr>
          <w:rStyle w:val="FontStyle49"/>
          <w:rFonts w:ascii="Arial" w:hAnsi="Arial" w:cs="Arial"/>
          <w:sz w:val="20"/>
          <w:szCs w:val="20"/>
        </w:rPr>
        <w:t xml:space="preserve"> za výkon činnosti TDS</w:t>
      </w:r>
      <w:r w:rsidRPr="000F7A55">
        <w:rPr>
          <w:rStyle w:val="FontStyle49"/>
          <w:rFonts w:ascii="Arial" w:hAnsi="Arial" w:cs="Arial"/>
          <w:sz w:val="20"/>
          <w:szCs w:val="20"/>
        </w:rPr>
        <w:t xml:space="preserve"> dle této Smlouvy je sjednána </w:t>
      </w:r>
      <w:r>
        <w:rPr>
          <w:rStyle w:val="FontStyle49"/>
          <w:rFonts w:ascii="Arial" w:hAnsi="Arial" w:cs="Arial"/>
          <w:sz w:val="20"/>
          <w:szCs w:val="20"/>
        </w:rPr>
        <w:t xml:space="preserve">dohodou smluvních stran a činí celkem </w:t>
      </w:r>
    </w:p>
    <w:p w:rsidR="004858D8" w:rsidRPr="004858D8" w:rsidRDefault="004858D8" w:rsidP="004858D8">
      <w:pPr>
        <w:pStyle w:val="Bezmezer"/>
        <w:rPr>
          <w:rStyle w:val="FontStyle49"/>
          <w:rFonts w:ascii="Arial" w:hAnsi="Arial" w:cs="Arial"/>
          <w:sz w:val="20"/>
          <w:szCs w:val="20"/>
        </w:rPr>
      </w:pPr>
      <w:r w:rsidRPr="000F7A55">
        <w:rPr>
          <w:rStyle w:val="FontStyle49"/>
          <w:rFonts w:ascii="Arial" w:hAnsi="Arial" w:cs="Arial"/>
          <w:sz w:val="20"/>
          <w:szCs w:val="20"/>
        </w:rPr>
        <w:t xml:space="preserve">        </w:t>
      </w:r>
      <w:r w:rsidRPr="004858D8">
        <w:rPr>
          <w:rStyle w:val="FontStyle49"/>
          <w:rFonts w:ascii="Arial" w:hAnsi="Arial" w:cs="Arial"/>
          <w:sz w:val="20"/>
          <w:szCs w:val="20"/>
        </w:rPr>
        <w:t xml:space="preserve">79 000,- </w:t>
      </w:r>
      <w:proofErr w:type="gramStart"/>
      <w:r w:rsidRPr="004858D8">
        <w:rPr>
          <w:rStyle w:val="FontStyle49"/>
          <w:rFonts w:ascii="Arial" w:hAnsi="Arial" w:cs="Arial"/>
          <w:sz w:val="20"/>
          <w:szCs w:val="20"/>
        </w:rPr>
        <w:t>Kč ,bez</w:t>
      </w:r>
      <w:proofErr w:type="gramEnd"/>
      <w:r w:rsidRPr="004858D8">
        <w:rPr>
          <w:rStyle w:val="FontStyle49"/>
          <w:rFonts w:ascii="Arial" w:hAnsi="Arial" w:cs="Arial"/>
          <w:sz w:val="20"/>
          <w:szCs w:val="20"/>
        </w:rPr>
        <w:t xml:space="preserve"> DPH</w:t>
      </w:r>
    </w:p>
    <w:p w:rsidR="004858D8" w:rsidRPr="004858D8" w:rsidRDefault="004858D8" w:rsidP="004858D8">
      <w:pPr>
        <w:pStyle w:val="Bezmezer"/>
        <w:rPr>
          <w:rStyle w:val="FontStyle49"/>
          <w:rFonts w:ascii="Arial" w:hAnsi="Arial" w:cs="Arial"/>
          <w:sz w:val="20"/>
          <w:szCs w:val="20"/>
        </w:rPr>
      </w:pPr>
      <w:r w:rsidRPr="004858D8">
        <w:rPr>
          <w:rStyle w:val="FontStyle49"/>
          <w:rFonts w:ascii="Arial" w:hAnsi="Arial" w:cs="Arial"/>
          <w:sz w:val="20"/>
          <w:szCs w:val="20"/>
        </w:rPr>
        <w:t xml:space="preserve">       </w:t>
      </w:r>
    </w:p>
    <w:p w:rsidR="004858D8" w:rsidRPr="004858D8" w:rsidRDefault="004858D8" w:rsidP="004858D8">
      <w:pPr>
        <w:pStyle w:val="Bezmezer"/>
        <w:rPr>
          <w:rStyle w:val="FontStyle49"/>
          <w:rFonts w:ascii="Arial" w:hAnsi="Arial" w:cs="Arial"/>
          <w:sz w:val="20"/>
          <w:szCs w:val="20"/>
        </w:rPr>
      </w:pPr>
      <w:r w:rsidRPr="004858D8">
        <w:rPr>
          <w:rStyle w:val="FontStyle49"/>
          <w:rFonts w:ascii="Arial" w:hAnsi="Arial" w:cs="Arial"/>
          <w:sz w:val="20"/>
          <w:szCs w:val="20"/>
        </w:rPr>
        <w:t xml:space="preserve">         </w:t>
      </w:r>
      <w:proofErr w:type="gramStart"/>
      <w:r w:rsidRPr="004858D8">
        <w:rPr>
          <w:rStyle w:val="FontStyle49"/>
          <w:rFonts w:ascii="Arial" w:hAnsi="Arial" w:cs="Arial"/>
          <w:sz w:val="20"/>
          <w:szCs w:val="20"/>
        </w:rPr>
        <w:t>16 590  ,- Kč</w:t>
      </w:r>
      <w:proofErr w:type="gramEnd"/>
      <w:r w:rsidRPr="004858D8">
        <w:rPr>
          <w:rStyle w:val="FontStyle49"/>
          <w:rFonts w:ascii="Arial" w:hAnsi="Arial" w:cs="Arial"/>
          <w:sz w:val="20"/>
          <w:szCs w:val="20"/>
        </w:rPr>
        <w:t>, DPH</w:t>
      </w:r>
    </w:p>
    <w:p w:rsidR="004858D8" w:rsidRPr="004858D8" w:rsidRDefault="004858D8" w:rsidP="004858D8">
      <w:pPr>
        <w:pStyle w:val="Bezmezer"/>
        <w:rPr>
          <w:rStyle w:val="FontStyle49"/>
          <w:rFonts w:ascii="Arial" w:hAnsi="Arial" w:cs="Arial"/>
          <w:b/>
          <w:sz w:val="20"/>
          <w:szCs w:val="20"/>
        </w:rPr>
      </w:pPr>
    </w:p>
    <w:p w:rsidR="004858D8" w:rsidRPr="004858D8" w:rsidRDefault="004858D8" w:rsidP="004858D8">
      <w:pPr>
        <w:pStyle w:val="Bezmezer"/>
        <w:rPr>
          <w:rStyle w:val="FontStyle49"/>
          <w:rFonts w:ascii="Arial" w:hAnsi="Arial" w:cs="Arial"/>
          <w:b/>
          <w:sz w:val="20"/>
          <w:szCs w:val="20"/>
        </w:rPr>
      </w:pPr>
      <w:r w:rsidRPr="004858D8">
        <w:rPr>
          <w:rStyle w:val="FontStyle49"/>
          <w:rFonts w:ascii="Arial" w:hAnsi="Arial" w:cs="Arial"/>
          <w:b/>
          <w:sz w:val="20"/>
          <w:szCs w:val="20"/>
        </w:rPr>
        <w:t xml:space="preserve">          95 590,- Kč, vč. DPH         </w:t>
      </w:r>
    </w:p>
    <w:p w:rsidR="004858D8" w:rsidRDefault="004858D8" w:rsidP="004858D8">
      <w:pPr>
        <w:pStyle w:val="Bezmezer"/>
        <w:rPr>
          <w:rStyle w:val="FontStyle49"/>
          <w:rFonts w:ascii="Arial" w:hAnsi="Arial" w:cs="Arial"/>
          <w:sz w:val="20"/>
          <w:szCs w:val="20"/>
        </w:rPr>
      </w:pPr>
    </w:p>
    <w:p w:rsidR="004858D8" w:rsidRPr="000F7A55" w:rsidRDefault="004858D8" w:rsidP="004858D8">
      <w:pPr>
        <w:pStyle w:val="Bezmezer"/>
        <w:numPr>
          <w:ilvl w:val="1"/>
          <w:numId w:val="5"/>
        </w:numPr>
        <w:ind w:left="357" w:hanging="357"/>
        <w:jc w:val="both"/>
        <w:rPr>
          <w:rStyle w:val="FontStyle49"/>
          <w:rFonts w:ascii="Arial" w:hAnsi="Arial" w:cs="Arial"/>
          <w:sz w:val="20"/>
          <w:szCs w:val="20"/>
        </w:rPr>
      </w:pPr>
      <w:r w:rsidRPr="000F7A55">
        <w:rPr>
          <w:rStyle w:val="FontStyle49"/>
          <w:rFonts w:ascii="Arial" w:hAnsi="Arial" w:cs="Arial"/>
          <w:sz w:val="20"/>
          <w:szCs w:val="20"/>
        </w:rPr>
        <w:t>Cena za poskytnutí plnění dle této Smlouvy je stanovena jako nejvýše přípustná, zahrnující veškeré náklady související s řádným a úplným sp</w:t>
      </w:r>
      <w:r>
        <w:rPr>
          <w:rStyle w:val="FontStyle49"/>
          <w:rFonts w:ascii="Arial" w:hAnsi="Arial" w:cs="Arial"/>
          <w:sz w:val="20"/>
          <w:szCs w:val="20"/>
        </w:rPr>
        <w:t>lněním předmětu veřejné zakázky.</w:t>
      </w:r>
    </w:p>
    <w:p w:rsidR="004858D8" w:rsidRPr="000F7A55" w:rsidRDefault="004858D8" w:rsidP="004858D8">
      <w:pPr>
        <w:pStyle w:val="Style19"/>
        <w:widowControl/>
        <w:numPr>
          <w:ilvl w:val="1"/>
          <w:numId w:val="5"/>
        </w:numPr>
        <w:tabs>
          <w:tab w:val="left" w:pos="365"/>
        </w:tabs>
        <w:spacing w:before="322" w:line="240" w:lineRule="auto"/>
        <w:ind w:left="357" w:right="14" w:hanging="357"/>
        <w:rPr>
          <w:rStyle w:val="FontStyle49"/>
          <w:rFonts w:ascii="Arial" w:hAnsi="Arial" w:cs="Arial"/>
          <w:sz w:val="20"/>
          <w:szCs w:val="20"/>
        </w:rPr>
      </w:pPr>
      <w:r w:rsidRPr="000F7A55">
        <w:rPr>
          <w:rStyle w:val="FontStyle49"/>
          <w:rFonts w:ascii="Arial" w:hAnsi="Arial" w:cs="Arial"/>
          <w:sz w:val="20"/>
          <w:szCs w:val="20"/>
        </w:rPr>
        <w:t>Cena zahrnuje veškeré ná</w:t>
      </w:r>
      <w:r>
        <w:rPr>
          <w:rStyle w:val="FontStyle49"/>
          <w:rFonts w:ascii="Arial" w:hAnsi="Arial" w:cs="Arial"/>
          <w:sz w:val="20"/>
          <w:szCs w:val="20"/>
        </w:rPr>
        <w:t>klady související s činností TDS</w:t>
      </w:r>
      <w:r w:rsidRPr="000F7A55">
        <w:rPr>
          <w:rStyle w:val="FontStyle49"/>
          <w:rFonts w:ascii="Arial" w:hAnsi="Arial" w:cs="Arial"/>
          <w:sz w:val="20"/>
          <w:szCs w:val="20"/>
        </w:rPr>
        <w:t xml:space="preserve"> dle této smlouvy, zejména (tj. nikoliv pouze) veškeré hotové výdaje, administrativní a jiné pomocné práce, náhrada za promeškaný čas, cestovní výdaje</w:t>
      </w:r>
      <w:r>
        <w:rPr>
          <w:rStyle w:val="FontStyle49"/>
          <w:rFonts w:ascii="Arial" w:hAnsi="Arial" w:cs="Arial"/>
          <w:sz w:val="20"/>
          <w:szCs w:val="20"/>
        </w:rPr>
        <w:t>, mzdové náklady zaměstnanců TDS</w:t>
      </w:r>
      <w:r w:rsidRPr="000F7A55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Pr="000F7A55" w:rsidRDefault="004858D8" w:rsidP="004858D8">
      <w:pPr>
        <w:pStyle w:val="Style19"/>
        <w:widowControl/>
        <w:numPr>
          <w:ilvl w:val="1"/>
          <w:numId w:val="5"/>
        </w:numPr>
        <w:tabs>
          <w:tab w:val="left" w:pos="365"/>
        </w:tabs>
        <w:spacing w:before="322" w:line="240" w:lineRule="auto"/>
        <w:ind w:left="357" w:right="14" w:hanging="357"/>
        <w:rPr>
          <w:rStyle w:val="FontStyle49"/>
          <w:rFonts w:ascii="Arial" w:hAnsi="Arial" w:cs="Arial"/>
          <w:sz w:val="20"/>
          <w:szCs w:val="20"/>
        </w:rPr>
      </w:pPr>
      <w:r w:rsidRPr="000F7A55">
        <w:rPr>
          <w:rFonts w:ascii="Arial" w:hAnsi="Arial" w:cs="Arial"/>
          <w:sz w:val="20"/>
          <w:szCs w:val="20"/>
        </w:rPr>
        <w:t xml:space="preserve">Práce nad rámec předmětu plnění této smlouvy o dílo vyžadují předchozí dohodu smluvních stran formou písemného dodatku k této </w:t>
      </w:r>
      <w:r>
        <w:rPr>
          <w:rFonts w:ascii="Arial" w:hAnsi="Arial" w:cs="Arial"/>
          <w:sz w:val="20"/>
          <w:szCs w:val="20"/>
        </w:rPr>
        <w:t>smlouvě o dílo. Pokud příkazník</w:t>
      </w:r>
      <w:r w:rsidRPr="000F7A55">
        <w:rPr>
          <w:rFonts w:ascii="Arial" w:hAnsi="Arial" w:cs="Arial"/>
          <w:sz w:val="20"/>
          <w:szCs w:val="20"/>
        </w:rPr>
        <w:t xml:space="preserve"> provede tyto práce bez předchozího sjednání písemného dodatku k této smlouvě o dílo, nemá nárok na úhradu ceny takových prací ani jiného finančn</w:t>
      </w:r>
      <w:r>
        <w:rPr>
          <w:rFonts w:ascii="Arial" w:hAnsi="Arial" w:cs="Arial"/>
          <w:sz w:val="20"/>
          <w:szCs w:val="20"/>
        </w:rPr>
        <w:t>ího plnění ze strany příkazce</w:t>
      </w:r>
      <w:r w:rsidRPr="000F7A55">
        <w:rPr>
          <w:rFonts w:ascii="Arial" w:hAnsi="Arial" w:cs="Arial"/>
          <w:sz w:val="20"/>
          <w:szCs w:val="20"/>
        </w:rPr>
        <w:t xml:space="preserve"> v souvislosti s jejich provedením (bezdůvodné obohacení a podobně</w:t>
      </w:r>
      <w:r>
        <w:rPr>
          <w:rFonts w:ascii="Arial" w:hAnsi="Arial" w:cs="Arial"/>
          <w:sz w:val="20"/>
          <w:szCs w:val="20"/>
        </w:rPr>
        <w:t>).</w:t>
      </w:r>
    </w:p>
    <w:p w:rsidR="004858D8" w:rsidRPr="000F7A55" w:rsidRDefault="004858D8" w:rsidP="004858D8">
      <w:p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jc w:val="both"/>
        <w:rPr>
          <w:rFonts w:ascii="Arial" w:hAnsi="Arial" w:cs="Arial"/>
        </w:rPr>
      </w:pP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VII.</w:t>
      </w:r>
    </w:p>
    <w:p w:rsidR="004858D8" w:rsidRPr="00800609" w:rsidRDefault="004858D8" w:rsidP="004858D8">
      <w:pPr>
        <w:pStyle w:val="Bezmezer"/>
        <w:jc w:val="center"/>
        <w:rPr>
          <w:rFonts w:ascii="Arial" w:hAnsi="Arial" w:cs="Arial"/>
          <w:b/>
        </w:rPr>
      </w:pPr>
      <w:r w:rsidRPr="00800609">
        <w:rPr>
          <w:rFonts w:ascii="Arial" w:hAnsi="Arial" w:cs="Arial"/>
          <w:b/>
        </w:rPr>
        <w:t>Fakturace, Platební podmínky</w:t>
      </w:r>
    </w:p>
    <w:p w:rsidR="004858D8" w:rsidRDefault="004858D8" w:rsidP="004858D8">
      <w:pPr>
        <w:pStyle w:val="Bezmezer"/>
        <w:numPr>
          <w:ilvl w:val="1"/>
          <w:numId w:val="2"/>
        </w:numPr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>V případě plnění předmětu dle čl. 1 bude fakturace prováděna měsíčně</w:t>
      </w:r>
      <w:r>
        <w:rPr>
          <w:rStyle w:val="FontStyle49"/>
          <w:rFonts w:ascii="Arial" w:hAnsi="Arial" w:cs="Arial"/>
          <w:sz w:val="20"/>
          <w:szCs w:val="20"/>
        </w:rPr>
        <w:t>, podle provedené práce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z dohodnuté celkové ceny plnění.</w:t>
      </w:r>
    </w:p>
    <w:p w:rsidR="004858D8" w:rsidRPr="007B1B62" w:rsidRDefault="004858D8" w:rsidP="004858D8">
      <w:pPr>
        <w:pStyle w:val="Style19"/>
        <w:widowControl/>
        <w:numPr>
          <w:ilvl w:val="1"/>
          <w:numId w:val="2"/>
        </w:numPr>
        <w:tabs>
          <w:tab w:val="left" w:pos="365"/>
        </w:tabs>
        <w:spacing w:before="312" w:line="240" w:lineRule="auto"/>
        <w:ind w:left="357" w:right="17" w:hanging="357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>Podkladem pro úhradu úplaty za plnění dle čl. 5 odst. 5.1 této Smlouvy je daňový doklad - fa</w:t>
      </w:r>
      <w:r>
        <w:rPr>
          <w:rStyle w:val="FontStyle49"/>
          <w:rFonts w:ascii="Arial" w:hAnsi="Arial" w:cs="Arial"/>
          <w:sz w:val="20"/>
          <w:szCs w:val="20"/>
        </w:rPr>
        <w:t>ktura, kterou je TDS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oprávněn vysta</w:t>
      </w:r>
      <w:r>
        <w:rPr>
          <w:rStyle w:val="FontStyle49"/>
          <w:rFonts w:ascii="Arial" w:hAnsi="Arial" w:cs="Arial"/>
          <w:sz w:val="20"/>
          <w:szCs w:val="20"/>
        </w:rPr>
        <w:t>vit objednateli nejpozději do 10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dnů po skončení běžného kalendářního měsíce.</w:t>
      </w:r>
    </w:p>
    <w:p w:rsidR="004858D8" w:rsidRPr="007B1B62" w:rsidRDefault="004858D8" w:rsidP="004858D8">
      <w:pPr>
        <w:pStyle w:val="Style19"/>
        <w:widowControl/>
        <w:numPr>
          <w:ilvl w:val="1"/>
          <w:numId w:val="2"/>
        </w:numPr>
        <w:tabs>
          <w:tab w:val="left" w:pos="365"/>
        </w:tabs>
        <w:spacing w:before="312" w:line="240" w:lineRule="auto"/>
        <w:ind w:left="357" w:right="17" w:hanging="357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>Objednatel neposkytuje zálohy.</w:t>
      </w:r>
    </w:p>
    <w:p w:rsidR="004858D8" w:rsidRPr="00E8011E" w:rsidRDefault="004858D8" w:rsidP="004858D8">
      <w:pPr>
        <w:pStyle w:val="Style19"/>
        <w:widowControl/>
        <w:numPr>
          <w:ilvl w:val="1"/>
          <w:numId w:val="2"/>
        </w:numPr>
        <w:tabs>
          <w:tab w:val="left" w:pos="365"/>
        </w:tabs>
        <w:spacing w:before="312" w:line="240" w:lineRule="auto"/>
        <w:ind w:left="357" w:right="17" w:hanging="357"/>
        <w:rPr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 xml:space="preserve"> </w:t>
      </w:r>
      <w:r>
        <w:rPr>
          <w:rStyle w:val="FontStyle49"/>
          <w:rFonts w:ascii="Arial" w:hAnsi="Arial" w:cs="Arial"/>
          <w:sz w:val="20"/>
          <w:szCs w:val="20"/>
        </w:rPr>
        <w:t xml:space="preserve">Faktura 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musí obsahovat veškeré náležitosti stanovené zákonem č. 563/1991 Sb., o účetnictví, ve znění pozdějších předpisů, </w:t>
      </w:r>
      <w:r>
        <w:rPr>
          <w:rStyle w:val="FontStyle49"/>
          <w:rFonts w:ascii="Arial" w:hAnsi="Arial" w:cs="Arial"/>
          <w:sz w:val="20"/>
          <w:szCs w:val="20"/>
        </w:rPr>
        <w:t>uvedení údajů bankovního spojení zhotovitele, označení názvu veřejné zakázky „</w:t>
      </w:r>
      <w:r w:rsidRPr="00E23F93">
        <w:rPr>
          <w:rFonts w:ascii="Arial" w:hAnsi="Arial" w:cs="Arial"/>
          <w:sz w:val="20"/>
          <w:szCs w:val="20"/>
        </w:rPr>
        <w:t>Strážnice – NÚLK – Snížení energetické náročnosti vstupního objektu do areálu Muzea vesnice jihovýchodní Moravy</w:t>
      </w:r>
      <w:r>
        <w:rPr>
          <w:rFonts w:ascii="Arial" w:hAnsi="Arial" w:cs="Arial"/>
          <w:sz w:val="20"/>
          <w:szCs w:val="20"/>
        </w:rPr>
        <w:t xml:space="preserve">“, </w:t>
      </w:r>
      <w:r w:rsidRPr="00CD3DBE">
        <w:rPr>
          <w:rStyle w:val="FontStyle49"/>
          <w:rFonts w:ascii="Arial" w:hAnsi="Arial" w:cs="Arial"/>
          <w:sz w:val="20"/>
          <w:szCs w:val="20"/>
        </w:rPr>
        <w:t>registrační číslo projektu, evidenční číslo smlouvy a pořadové číslo daňového dokladu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Pr="007B1B62" w:rsidRDefault="004858D8" w:rsidP="004858D8">
      <w:pPr>
        <w:pStyle w:val="Style19"/>
        <w:widowControl/>
        <w:numPr>
          <w:ilvl w:val="1"/>
          <w:numId w:val="2"/>
        </w:numPr>
        <w:tabs>
          <w:tab w:val="left" w:pos="365"/>
        </w:tabs>
        <w:spacing w:before="312" w:line="240" w:lineRule="auto"/>
        <w:ind w:left="357" w:right="17" w:hanging="357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>Splatnost faktury se sjednává v délce 30 dn</w:t>
      </w:r>
      <w:r>
        <w:rPr>
          <w:rStyle w:val="FontStyle49"/>
          <w:rFonts w:ascii="Arial" w:hAnsi="Arial" w:cs="Arial"/>
          <w:sz w:val="20"/>
          <w:szCs w:val="20"/>
        </w:rPr>
        <w:t>ů od jejího doručení příkazci</w:t>
      </w:r>
      <w:r w:rsidRPr="007B1B62">
        <w:rPr>
          <w:rStyle w:val="FontStyle49"/>
          <w:rFonts w:ascii="Arial" w:hAnsi="Arial" w:cs="Arial"/>
          <w:sz w:val="20"/>
          <w:szCs w:val="20"/>
        </w:rPr>
        <w:t>. Za den doručení se pokládá den uvedený na otisku doručovací</w:t>
      </w:r>
      <w:r>
        <w:rPr>
          <w:rStyle w:val="FontStyle49"/>
          <w:rFonts w:ascii="Arial" w:hAnsi="Arial" w:cs="Arial"/>
          <w:sz w:val="20"/>
          <w:szCs w:val="20"/>
        </w:rPr>
        <w:t>ho razítka podatelny příkazce</w:t>
      </w:r>
      <w:r w:rsidRPr="007B1B62">
        <w:rPr>
          <w:rStyle w:val="FontStyle49"/>
          <w:rFonts w:ascii="Arial" w:hAnsi="Arial" w:cs="Arial"/>
          <w:sz w:val="20"/>
          <w:szCs w:val="20"/>
        </w:rPr>
        <w:t>. Datem úhrady se rozumí datum odepsání čá</w:t>
      </w:r>
      <w:r>
        <w:rPr>
          <w:rStyle w:val="FontStyle49"/>
          <w:rFonts w:ascii="Arial" w:hAnsi="Arial" w:cs="Arial"/>
          <w:sz w:val="20"/>
          <w:szCs w:val="20"/>
        </w:rPr>
        <w:t>stky k úhradě z účtu příkazce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ve </w:t>
      </w:r>
      <w:r>
        <w:rPr>
          <w:rStyle w:val="FontStyle49"/>
          <w:rFonts w:ascii="Arial" w:hAnsi="Arial" w:cs="Arial"/>
          <w:sz w:val="20"/>
          <w:szCs w:val="20"/>
        </w:rPr>
        <w:t>prospěch účtu TDS</w:t>
      </w:r>
      <w:r w:rsidRPr="007B1B62">
        <w:rPr>
          <w:rStyle w:val="FontStyle49"/>
          <w:rFonts w:ascii="Arial" w:hAnsi="Arial" w:cs="Arial"/>
          <w:sz w:val="20"/>
          <w:szCs w:val="20"/>
        </w:rPr>
        <w:t>. Připadne-li datum splatnosti daňového dokladu na den pracovního volna nebo pracovního klidu, posouvá se termín splatnosti na nejbližší pracovní den po tomto dni.</w:t>
      </w:r>
    </w:p>
    <w:p w:rsidR="004858D8" w:rsidRPr="00CD3DBE" w:rsidRDefault="004858D8" w:rsidP="004858D8">
      <w:pPr>
        <w:pStyle w:val="Style19"/>
        <w:widowControl/>
        <w:numPr>
          <w:ilvl w:val="1"/>
          <w:numId w:val="2"/>
        </w:numPr>
        <w:tabs>
          <w:tab w:val="left" w:pos="365"/>
        </w:tabs>
        <w:spacing w:before="312" w:line="240" w:lineRule="auto"/>
        <w:ind w:right="19"/>
        <w:rPr>
          <w:rStyle w:val="FontStyle49"/>
          <w:rFonts w:ascii="Arial" w:hAnsi="Arial" w:cs="Arial"/>
          <w:sz w:val="20"/>
          <w:szCs w:val="20"/>
        </w:rPr>
      </w:pPr>
      <w:r w:rsidRPr="00CD3DBE">
        <w:rPr>
          <w:rStyle w:val="FontStyle49"/>
          <w:rFonts w:ascii="Arial" w:hAnsi="Arial" w:cs="Arial"/>
          <w:sz w:val="20"/>
          <w:szCs w:val="20"/>
        </w:rPr>
        <w:lastRenderedPageBreak/>
        <w:t xml:space="preserve">V případě, že faktura nebude obsahovat povinné náležitosti nebo bude obsahovat jiné nedostatečnosti nebo nesprávnosti, vrátí příkazce příkazníkovi fakturu k přepracování či doplnění náležitostí s uvedením, v čem spatřuje vady dokladu, a to nejpozději do pěti dnů po jejím obdržení. Souhlasí-li příkazník s námitkami příkazce, vystaví neprodleně fakturu v požadovaném znění s uvedením nové lhůty pro zaplacení faktury. Příkazník bere na vědomí, </w:t>
      </w:r>
      <w:r w:rsidR="000A6F23">
        <w:rPr>
          <w:rStyle w:val="FontStyle49"/>
          <w:rFonts w:ascii="Arial" w:hAnsi="Arial" w:cs="Arial"/>
          <w:sz w:val="20"/>
          <w:szCs w:val="20"/>
        </w:rPr>
        <w:t>že v případě oprávněně vrácené</w:t>
      </w:r>
      <w:r w:rsidRPr="00CD3DBE">
        <w:rPr>
          <w:rStyle w:val="FontStyle49"/>
          <w:rFonts w:ascii="Arial" w:hAnsi="Arial" w:cs="Arial"/>
          <w:sz w:val="20"/>
          <w:szCs w:val="20"/>
        </w:rPr>
        <w:t xml:space="preserve"> faktury nemá nárok na úrok z prodlení ve smyslu Smlouvy.</w:t>
      </w:r>
    </w:p>
    <w:p w:rsidR="004858D8" w:rsidRPr="00CD3DBE" w:rsidRDefault="004858D8" w:rsidP="004858D8">
      <w:pPr>
        <w:pStyle w:val="Style19"/>
        <w:widowControl/>
        <w:numPr>
          <w:ilvl w:val="1"/>
          <w:numId w:val="2"/>
        </w:numPr>
        <w:tabs>
          <w:tab w:val="left" w:pos="365"/>
        </w:tabs>
        <w:spacing w:before="312" w:line="240" w:lineRule="auto"/>
        <w:ind w:right="19"/>
        <w:rPr>
          <w:rStyle w:val="FontStyle49"/>
          <w:rFonts w:ascii="Arial" w:hAnsi="Arial" w:cs="Arial"/>
          <w:sz w:val="20"/>
          <w:szCs w:val="20"/>
        </w:rPr>
      </w:pPr>
      <w:r w:rsidRPr="00CD3DBE">
        <w:rPr>
          <w:rStyle w:val="FontStyle49"/>
          <w:rFonts w:ascii="Arial" w:hAnsi="Arial" w:cs="Arial"/>
          <w:sz w:val="20"/>
          <w:szCs w:val="20"/>
        </w:rPr>
        <w:t>Vrátí-li příkazce fakturu neoprávněně, zašle příkazník fakturu zpět příkazci, a to nejpozději do tří dnů od doručení TDS, s uvedením důvodu opětovného zaslání a původním datem splatnosti.</w:t>
      </w:r>
    </w:p>
    <w:p w:rsidR="004858D8" w:rsidRPr="00CD3DBE" w:rsidRDefault="004858D8" w:rsidP="004858D8">
      <w:pPr>
        <w:pStyle w:val="Style19"/>
        <w:widowControl/>
        <w:numPr>
          <w:ilvl w:val="1"/>
          <w:numId w:val="2"/>
        </w:numPr>
        <w:tabs>
          <w:tab w:val="left" w:pos="384"/>
        </w:tabs>
        <w:spacing w:before="312" w:line="240" w:lineRule="auto"/>
        <w:ind w:left="426" w:right="10" w:hanging="426"/>
        <w:rPr>
          <w:rStyle w:val="FontStyle49"/>
          <w:rFonts w:ascii="Arial" w:hAnsi="Arial" w:cs="Arial"/>
          <w:sz w:val="20"/>
          <w:szCs w:val="20"/>
        </w:rPr>
      </w:pPr>
      <w:r w:rsidRPr="00CD3DBE">
        <w:rPr>
          <w:rStyle w:val="FontStyle49"/>
          <w:rFonts w:ascii="Arial" w:hAnsi="Arial" w:cs="Arial"/>
          <w:sz w:val="20"/>
          <w:szCs w:val="20"/>
        </w:rPr>
        <w:t>Úplata dle této Smlouvy bude hrazena v korunách českých, a to bezhotovostním převodem na účet příkazníka.</w:t>
      </w:r>
    </w:p>
    <w:p w:rsidR="004858D8" w:rsidRPr="00CD3DBE" w:rsidRDefault="004858D8" w:rsidP="004858D8">
      <w:p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D3DBE">
        <w:rPr>
          <w:rFonts w:ascii="Arial" w:hAnsi="Arial" w:cs="Arial"/>
          <w:sz w:val="20"/>
          <w:szCs w:val="20"/>
        </w:rPr>
        <w:t xml:space="preserve">  </w:t>
      </w: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VIII</w:t>
      </w:r>
    </w:p>
    <w:p w:rsidR="004858D8" w:rsidRPr="00996AD4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Pojištění</w:t>
      </w:r>
    </w:p>
    <w:p w:rsidR="004858D8" w:rsidRPr="007B1B62" w:rsidRDefault="004858D8" w:rsidP="004858D8">
      <w:pPr>
        <w:pStyle w:val="Bezmezer"/>
        <w:numPr>
          <w:ilvl w:val="1"/>
          <w:numId w:val="3"/>
        </w:numPr>
        <w:jc w:val="both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>Příkazník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se zavazuje mít po celou dobu trvání této Smlouvy uzavřenu v postavení pojištěného pojistnou smlouvu s pojišťovnou na pojištění odpovědnosti za škody způsobené při výkonu činnosti dle této Smlouvy s jednorázovým pojist</w:t>
      </w:r>
      <w:r>
        <w:rPr>
          <w:rStyle w:val="FontStyle49"/>
          <w:rFonts w:ascii="Arial" w:hAnsi="Arial" w:cs="Arial"/>
          <w:sz w:val="20"/>
          <w:szCs w:val="20"/>
        </w:rPr>
        <w:t xml:space="preserve">ným plněním minimálně ve výši 1 </w:t>
      </w:r>
      <w:r w:rsidRPr="00CD3DBE">
        <w:rPr>
          <w:rStyle w:val="FontStyle49"/>
          <w:rFonts w:ascii="Arial" w:hAnsi="Arial" w:cs="Arial"/>
          <w:sz w:val="20"/>
          <w:szCs w:val="20"/>
        </w:rPr>
        <w:t>mil. Kč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za jednu škodnou událost.</w:t>
      </w:r>
    </w:p>
    <w:p w:rsidR="004858D8" w:rsidRPr="007B1B62" w:rsidRDefault="004858D8" w:rsidP="004858D8">
      <w:pPr>
        <w:pStyle w:val="Style19"/>
        <w:widowControl/>
        <w:numPr>
          <w:ilvl w:val="1"/>
          <w:numId w:val="3"/>
        </w:numPr>
        <w:tabs>
          <w:tab w:val="left" w:pos="389"/>
        </w:tabs>
        <w:spacing w:before="298" w:line="240" w:lineRule="auto"/>
        <w:ind w:left="357" w:hanging="357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 xml:space="preserve">V případě změn v pojištění je </w:t>
      </w:r>
      <w:r>
        <w:rPr>
          <w:rStyle w:val="FontStyle49"/>
          <w:rFonts w:ascii="Arial" w:hAnsi="Arial" w:cs="Arial"/>
          <w:sz w:val="20"/>
          <w:szCs w:val="20"/>
        </w:rPr>
        <w:t>příkazník povinen bezodkladně předložit příkazc</w:t>
      </w:r>
      <w:r w:rsidRPr="007B1B62">
        <w:rPr>
          <w:rStyle w:val="FontStyle49"/>
          <w:rFonts w:ascii="Arial" w:hAnsi="Arial" w:cs="Arial"/>
          <w:sz w:val="20"/>
          <w:szCs w:val="20"/>
        </w:rPr>
        <w:t>i originál nebo ověřenou kopii dokladu o uzavření nové pojistné smlouvy, případně jejího dodatku.</w:t>
      </w:r>
    </w:p>
    <w:p w:rsidR="004858D8" w:rsidRPr="007B1B62" w:rsidRDefault="004858D8" w:rsidP="004858D8">
      <w:pPr>
        <w:pStyle w:val="Style19"/>
        <w:widowControl/>
        <w:numPr>
          <w:ilvl w:val="1"/>
          <w:numId w:val="3"/>
        </w:numPr>
        <w:tabs>
          <w:tab w:val="left" w:pos="389"/>
        </w:tabs>
        <w:spacing w:before="298" w:line="240" w:lineRule="auto"/>
        <w:ind w:left="357" w:hanging="357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>Porušení povinnosti dle odst. 8.1 a/nebo 8</w:t>
      </w:r>
      <w:r w:rsidRPr="007B1B62">
        <w:rPr>
          <w:rStyle w:val="FontStyle49"/>
          <w:rFonts w:ascii="Arial" w:hAnsi="Arial" w:cs="Arial"/>
          <w:sz w:val="20"/>
          <w:szCs w:val="20"/>
        </w:rPr>
        <w:t>.2 se považuje za podstatné porušení smlouvy na straně</w:t>
      </w:r>
      <w:r>
        <w:rPr>
          <w:rStyle w:val="FontStyle49"/>
          <w:rFonts w:ascii="Arial" w:hAnsi="Arial" w:cs="Arial"/>
          <w:sz w:val="20"/>
          <w:szCs w:val="20"/>
        </w:rPr>
        <w:t xml:space="preserve"> příkazníka</w:t>
      </w:r>
      <w:r w:rsidRPr="007B1B62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Pr="007B1B62" w:rsidRDefault="004858D8" w:rsidP="004858D8">
      <w:pPr>
        <w:pStyle w:val="Style19"/>
        <w:widowControl/>
        <w:numPr>
          <w:ilvl w:val="1"/>
          <w:numId w:val="3"/>
        </w:numPr>
        <w:tabs>
          <w:tab w:val="left" w:pos="389"/>
        </w:tabs>
        <w:spacing w:before="298" w:line="240" w:lineRule="auto"/>
        <w:ind w:left="357" w:hanging="357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 xml:space="preserve">Náklady na pojištění nese </w:t>
      </w:r>
      <w:r>
        <w:rPr>
          <w:rStyle w:val="FontStyle49"/>
          <w:rFonts w:ascii="Arial" w:hAnsi="Arial" w:cs="Arial"/>
          <w:sz w:val="20"/>
          <w:szCs w:val="20"/>
        </w:rPr>
        <w:t>příkazník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a má je zahrnuty ve sjednané ceně za splnění předmětu smlouvy.</w:t>
      </w:r>
    </w:p>
    <w:p w:rsidR="004858D8" w:rsidRDefault="004858D8" w:rsidP="004858D8">
      <w:pPr>
        <w:pStyle w:val="Style19"/>
        <w:widowControl/>
        <w:numPr>
          <w:ilvl w:val="1"/>
          <w:numId w:val="3"/>
        </w:numPr>
        <w:tabs>
          <w:tab w:val="left" w:pos="389"/>
        </w:tabs>
        <w:spacing w:before="298" w:line="240" w:lineRule="auto"/>
        <w:ind w:hanging="357"/>
        <w:rPr>
          <w:rStyle w:val="FontStyle49"/>
          <w:rFonts w:ascii="Arial" w:hAnsi="Arial" w:cs="Arial"/>
          <w:sz w:val="20"/>
          <w:szCs w:val="20"/>
        </w:rPr>
      </w:pPr>
      <w:r w:rsidRPr="00B24984">
        <w:rPr>
          <w:rStyle w:val="FontStyle49"/>
          <w:rFonts w:ascii="Arial" w:hAnsi="Arial" w:cs="Arial"/>
          <w:sz w:val="20"/>
          <w:szCs w:val="20"/>
        </w:rPr>
        <w:t>Příkazník se zavazuje uplatnit veškeré pojistné události související s poskytováním plnění dle této Smlouvy u pojišťovny bez zbytečného odkladu.</w:t>
      </w:r>
    </w:p>
    <w:p w:rsidR="004858D8" w:rsidRPr="00B24984" w:rsidRDefault="004858D8" w:rsidP="004858D8">
      <w:pPr>
        <w:pStyle w:val="Style19"/>
        <w:widowControl/>
        <w:tabs>
          <w:tab w:val="left" w:pos="389"/>
        </w:tabs>
        <w:spacing w:before="298" w:line="240" w:lineRule="auto"/>
        <w:ind w:left="360"/>
        <w:rPr>
          <w:rStyle w:val="FontStyle49"/>
          <w:rFonts w:ascii="Arial" w:hAnsi="Arial" w:cs="Arial"/>
          <w:sz w:val="20"/>
          <w:szCs w:val="20"/>
        </w:rPr>
      </w:pPr>
    </w:p>
    <w:p w:rsidR="004858D8" w:rsidRPr="0041761C" w:rsidRDefault="004858D8" w:rsidP="004858D8">
      <w:pPr>
        <w:pStyle w:val="Bezmezer"/>
        <w:jc w:val="center"/>
        <w:rPr>
          <w:rStyle w:val="FontStyle49"/>
          <w:rFonts w:ascii="Arial" w:hAnsi="Arial" w:cs="Arial"/>
          <w:b/>
          <w:sz w:val="24"/>
          <w:szCs w:val="24"/>
        </w:rPr>
      </w:pPr>
      <w:r w:rsidRPr="0041761C">
        <w:rPr>
          <w:rStyle w:val="FontStyle49"/>
          <w:rFonts w:ascii="Arial" w:hAnsi="Arial" w:cs="Arial"/>
          <w:b/>
          <w:sz w:val="24"/>
          <w:szCs w:val="24"/>
        </w:rPr>
        <w:t>IX.</w:t>
      </w:r>
    </w:p>
    <w:p w:rsidR="004858D8" w:rsidRPr="0041761C" w:rsidRDefault="004858D8" w:rsidP="004858D8">
      <w:pPr>
        <w:pStyle w:val="Bezmezer"/>
        <w:jc w:val="center"/>
        <w:rPr>
          <w:rStyle w:val="FontStyle49"/>
          <w:rFonts w:ascii="Arial" w:hAnsi="Arial" w:cs="Arial"/>
          <w:b/>
          <w:sz w:val="24"/>
          <w:szCs w:val="24"/>
        </w:rPr>
      </w:pPr>
      <w:r w:rsidRPr="0041761C">
        <w:rPr>
          <w:rStyle w:val="FontStyle49"/>
          <w:rFonts w:ascii="Arial" w:hAnsi="Arial" w:cs="Arial"/>
          <w:b/>
          <w:sz w:val="24"/>
          <w:szCs w:val="24"/>
        </w:rPr>
        <w:t>Sankce</w:t>
      </w:r>
    </w:p>
    <w:p w:rsidR="004858D8" w:rsidRDefault="004858D8" w:rsidP="004858D8">
      <w:pPr>
        <w:pStyle w:val="Bezmezer"/>
        <w:numPr>
          <w:ilvl w:val="1"/>
          <w:numId w:val="6"/>
        </w:numPr>
        <w:ind w:left="0" w:firstLine="0"/>
        <w:contextualSpacing/>
        <w:jc w:val="both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 xml:space="preserve">Bude-li </w:t>
      </w:r>
      <w:r>
        <w:rPr>
          <w:rStyle w:val="FontStyle49"/>
          <w:rFonts w:ascii="Arial" w:hAnsi="Arial" w:cs="Arial"/>
          <w:sz w:val="20"/>
          <w:szCs w:val="20"/>
        </w:rPr>
        <w:t xml:space="preserve">příkazce 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v prodlení s úhradou řádně vystavené faktury, je </w:t>
      </w:r>
      <w:r>
        <w:rPr>
          <w:rStyle w:val="FontStyle49"/>
          <w:rFonts w:ascii="Arial" w:hAnsi="Arial" w:cs="Arial"/>
          <w:sz w:val="20"/>
          <w:szCs w:val="20"/>
        </w:rPr>
        <w:t xml:space="preserve">příkazník 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oprávněn účtovat </w:t>
      </w:r>
      <w:r>
        <w:rPr>
          <w:rStyle w:val="FontStyle49"/>
          <w:rFonts w:ascii="Arial" w:hAnsi="Arial" w:cs="Arial"/>
          <w:sz w:val="20"/>
          <w:szCs w:val="20"/>
        </w:rPr>
        <w:t>příkazci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úrok z prodlení ve výši 0,05 % z dlužné částky za každý den prodlení po termínu splatnosti faktury, a to až do doby zaplacení dlužné částky a </w:t>
      </w:r>
      <w:r>
        <w:rPr>
          <w:rStyle w:val="FontStyle49"/>
          <w:rFonts w:ascii="Arial" w:hAnsi="Arial" w:cs="Arial"/>
          <w:sz w:val="20"/>
          <w:szCs w:val="20"/>
        </w:rPr>
        <w:t>příkazce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je povinen takto účtovaný úrok z prodlení zaplatit.</w:t>
      </w:r>
    </w:p>
    <w:p w:rsidR="004858D8" w:rsidRDefault="004858D8" w:rsidP="004858D8">
      <w:pPr>
        <w:pStyle w:val="Bezmezer"/>
        <w:contextualSpacing/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Bezmezer"/>
        <w:numPr>
          <w:ilvl w:val="1"/>
          <w:numId w:val="6"/>
        </w:numPr>
        <w:ind w:left="0" w:firstLine="0"/>
        <w:contextualSpacing/>
        <w:jc w:val="both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 xml:space="preserve">Příkazník 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odpovídá za řádné plnění svých povinností stanovených touto Smlouvou. V případě porušení povinností </w:t>
      </w:r>
      <w:r>
        <w:rPr>
          <w:rStyle w:val="FontStyle49"/>
          <w:rFonts w:ascii="Arial" w:hAnsi="Arial" w:cs="Arial"/>
          <w:sz w:val="20"/>
          <w:szCs w:val="20"/>
        </w:rPr>
        <w:t>TDS stanovených touto Smlouvou, je příkazce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oprávněn požadovat na </w:t>
      </w:r>
      <w:r>
        <w:rPr>
          <w:rStyle w:val="FontStyle49"/>
          <w:rFonts w:ascii="Arial" w:hAnsi="Arial" w:cs="Arial"/>
          <w:sz w:val="20"/>
          <w:szCs w:val="20"/>
        </w:rPr>
        <w:t xml:space="preserve">TDS 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zaplacení smluvní pokuty ve výši 1.000,- Kč za každý zjištěný případ takového porušení povinností a </w:t>
      </w:r>
      <w:r>
        <w:rPr>
          <w:rStyle w:val="FontStyle49"/>
          <w:rFonts w:ascii="Arial" w:hAnsi="Arial" w:cs="Arial"/>
          <w:sz w:val="20"/>
          <w:szCs w:val="20"/>
        </w:rPr>
        <w:t xml:space="preserve">TDS </w:t>
      </w:r>
      <w:r w:rsidRPr="007B1B62">
        <w:rPr>
          <w:rStyle w:val="FontStyle49"/>
          <w:rFonts w:ascii="Arial" w:hAnsi="Arial" w:cs="Arial"/>
          <w:sz w:val="20"/>
          <w:szCs w:val="20"/>
        </w:rPr>
        <w:t>se zavazuje takto požado</w:t>
      </w:r>
      <w:r>
        <w:rPr>
          <w:rStyle w:val="FontStyle49"/>
          <w:rFonts w:ascii="Arial" w:hAnsi="Arial" w:cs="Arial"/>
          <w:sz w:val="20"/>
          <w:szCs w:val="20"/>
        </w:rPr>
        <w:t xml:space="preserve">vanou smluvní pokutu příkazci </w:t>
      </w:r>
      <w:r w:rsidRPr="007B1B62">
        <w:rPr>
          <w:rStyle w:val="FontStyle49"/>
          <w:rFonts w:ascii="Arial" w:hAnsi="Arial" w:cs="Arial"/>
          <w:sz w:val="20"/>
          <w:szCs w:val="20"/>
        </w:rPr>
        <w:t>zaplatit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Default="004858D8" w:rsidP="004858D8">
      <w:pPr>
        <w:pStyle w:val="Odstavecseseznamem"/>
        <w:ind w:left="0"/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Bezmezer"/>
        <w:numPr>
          <w:ilvl w:val="1"/>
          <w:numId w:val="6"/>
        </w:numPr>
        <w:ind w:left="0" w:firstLine="0"/>
        <w:contextualSpacing/>
        <w:jc w:val="both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>Zaplacením sm</w:t>
      </w:r>
      <w:r>
        <w:rPr>
          <w:rStyle w:val="FontStyle49"/>
          <w:rFonts w:ascii="Arial" w:hAnsi="Arial" w:cs="Arial"/>
          <w:sz w:val="20"/>
          <w:szCs w:val="20"/>
        </w:rPr>
        <w:t>luvní pokuty není dotčen nárok příkazce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 na náhradu škody vzniklou v příčinné souvislosti s porušením povinnosti</w:t>
      </w:r>
      <w:r>
        <w:rPr>
          <w:rStyle w:val="FontStyle49"/>
          <w:rFonts w:ascii="Arial" w:hAnsi="Arial" w:cs="Arial"/>
          <w:sz w:val="20"/>
          <w:szCs w:val="20"/>
        </w:rPr>
        <w:t xml:space="preserve"> TDS</w:t>
      </w:r>
      <w:r w:rsidRPr="007B1B62">
        <w:rPr>
          <w:rStyle w:val="FontStyle49"/>
          <w:rFonts w:ascii="Arial" w:hAnsi="Arial" w:cs="Arial"/>
          <w:sz w:val="20"/>
          <w:szCs w:val="20"/>
        </w:rPr>
        <w:t>, s nímž je spojena smluvní pokuta dle této Smlouvy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Default="004858D8" w:rsidP="004858D8">
      <w:pPr>
        <w:pStyle w:val="Odstavecseseznamem"/>
        <w:ind w:left="0"/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Bezmezer"/>
        <w:numPr>
          <w:ilvl w:val="1"/>
          <w:numId w:val="6"/>
        </w:numPr>
        <w:ind w:left="0" w:firstLine="0"/>
        <w:contextualSpacing/>
        <w:jc w:val="both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 xml:space="preserve">Smluvní pokuty, úroky z prodlení a náhrady škody jsou splatné do 15 dnů ode dne, kdy je povinné straně doručena písemná výzva oprávněné strany k jejich zaplacení. Výzva k zaplacení se považuje za doručenou, kdy se písemný úkon obsahující výzvu dostane do dispozice povinné strany. V případě úkonů činěných poštou se má za to, že písemný úkon obsahující výzvu k zaplacení se dostal do dispozice povinné strany okamžikem doručení listovní zásilky povinné straně, přičemž za doručení se považuje i stav, kdy povinná strana nebyla při doručování listovní zásilky držitelem poštovní licence zastižena a listovní zásilka je uložena k vyzvednutí na místně příslušné provozovně držitele poštovní licence, a to uplynutím 3 dnů ode dne, kdy listovní zásilka s tímto úkonem byla uložena k vyzvednutí. Sankce případně náhrada škody musí být ve výzvě vyčíslena v požadované výši, včetně uvedení </w:t>
      </w:r>
      <w:r w:rsidRPr="007B1B62">
        <w:rPr>
          <w:rStyle w:val="FontStyle49"/>
          <w:rFonts w:ascii="Arial" w:hAnsi="Arial" w:cs="Arial"/>
          <w:sz w:val="20"/>
          <w:szCs w:val="20"/>
        </w:rPr>
        <w:lastRenderedPageBreak/>
        <w:t>důvodu, pro který je smluvní pokuta požadována, a popisu skutečností, ve kterých je spatřováno porušení sankcionovaných povinností ze strany povinné strany</w:t>
      </w:r>
    </w:p>
    <w:p w:rsidR="004858D8" w:rsidRDefault="004858D8" w:rsidP="004858D8">
      <w:pPr>
        <w:pStyle w:val="Odstavecseseznamem"/>
        <w:ind w:left="0"/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Bezmezer"/>
        <w:numPr>
          <w:ilvl w:val="1"/>
          <w:numId w:val="6"/>
        </w:numPr>
        <w:ind w:left="0" w:firstLine="0"/>
        <w:contextualSpacing/>
        <w:jc w:val="both"/>
        <w:rPr>
          <w:rStyle w:val="FontStyle49"/>
          <w:rFonts w:ascii="Arial" w:hAnsi="Arial" w:cs="Arial"/>
          <w:sz w:val="20"/>
          <w:szCs w:val="20"/>
        </w:rPr>
      </w:pPr>
      <w:r w:rsidRPr="007B1B62">
        <w:rPr>
          <w:rStyle w:val="FontStyle49"/>
          <w:rFonts w:ascii="Arial" w:hAnsi="Arial" w:cs="Arial"/>
          <w:sz w:val="20"/>
          <w:szCs w:val="20"/>
        </w:rPr>
        <w:t xml:space="preserve">V případě porušení povinností </w:t>
      </w:r>
      <w:r>
        <w:rPr>
          <w:rStyle w:val="FontStyle49"/>
          <w:rFonts w:ascii="Arial" w:hAnsi="Arial" w:cs="Arial"/>
          <w:sz w:val="20"/>
          <w:szCs w:val="20"/>
        </w:rPr>
        <w:t xml:space="preserve">TDS </w:t>
      </w:r>
      <w:r w:rsidRPr="007B1B62">
        <w:rPr>
          <w:rStyle w:val="FontStyle49"/>
          <w:rFonts w:ascii="Arial" w:hAnsi="Arial" w:cs="Arial"/>
          <w:sz w:val="20"/>
          <w:szCs w:val="20"/>
        </w:rPr>
        <w:t xml:space="preserve">je </w:t>
      </w:r>
      <w:r>
        <w:rPr>
          <w:rStyle w:val="FontStyle49"/>
          <w:rFonts w:ascii="Arial" w:hAnsi="Arial" w:cs="Arial"/>
          <w:sz w:val="20"/>
          <w:szCs w:val="20"/>
        </w:rPr>
        <w:t xml:space="preserve">příkazce </w:t>
      </w:r>
      <w:r w:rsidRPr="007B1B62">
        <w:rPr>
          <w:rStyle w:val="FontStyle49"/>
          <w:rFonts w:ascii="Arial" w:hAnsi="Arial" w:cs="Arial"/>
          <w:sz w:val="20"/>
          <w:szCs w:val="20"/>
        </w:rPr>
        <w:t>povinen na své náklady zajistit provedení nápravných opatření, pokud je jejich provedení možné a povede ke splnění předmětu této Smlouvy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Default="004858D8" w:rsidP="004858D8">
      <w:pPr>
        <w:pStyle w:val="Bezmezer"/>
        <w:rPr>
          <w:rStyle w:val="FontStyle49"/>
          <w:rFonts w:ascii="Arial" w:hAnsi="Arial" w:cs="Arial"/>
          <w:sz w:val="20"/>
          <w:szCs w:val="20"/>
        </w:rPr>
      </w:pPr>
    </w:p>
    <w:p w:rsidR="004858D8" w:rsidRPr="0041761C" w:rsidRDefault="004858D8" w:rsidP="004858D8">
      <w:pPr>
        <w:pStyle w:val="Obyejn"/>
        <w:jc w:val="center"/>
        <w:rPr>
          <w:rStyle w:val="FontStyle49"/>
          <w:rFonts w:ascii="Arial" w:hAnsi="Arial" w:cs="Arial"/>
          <w:b/>
          <w:sz w:val="24"/>
          <w:szCs w:val="24"/>
        </w:rPr>
      </w:pPr>
      <w:r w:rsidRPr="0041761C">
        <w:rPr>
          <w:rStyle w:val="FontStyle49"/>
          <w:rFonts w:ascii="Arial" w:hAnsi="Arial" w:cs="Arial"/>
          <w:b/>
          <w:sz w:val="24"/>
          <w:szCs w:val="24"/>
        </w:rPr>
        <w:t>X.</w:t>
      </w:r>
    </w:p>
    <w:p w:rsidR="004858D8" w:rsidRPr="0041761C" w:rsidRDefault="004858D8" w:rsidP="004858D8">
      <w:pPr>
        <w:pStyle w:val="Obyejn"/>
        <w:jc w:val="center"/>
        <w:rPr>
          <w:rStyle w:val="FontStyle49"/>
          <w:rFonts w:ascii="Arial" w:hAnsi="Arial" w:cs="Arial"/>
          <w:b/>
          <w:sz w:val="24"/>
          <w:szCs w:val="24"/>
        </w:rPr>
      </w:pPr>
      <w:r w:rsidRPr="0041761C">
        <w:rPr>
          <w:rStyle w:val="FontStyle49"/>
          <w:rFonts w:ascii="Arial" w:hAnsi="Arial" w:cs="Arial"/>
          <w:b/>
          <w:sz w:val="24"/>
          <w:szCs w:val="24"/>
        </w:rPr>
        <w:t>Ukončení smluvního vztahu</w:t>
      </w:r>
    </w:p>
    <w:p w:rsidR="004858D8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 xml:space="preserve">10.1. 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Tuto Smlouvu je možné ukončit ze strany </w:t>
      </w:r>
      <w:r>
        <w:rPr>
          <w:rStyle w:val="FontStyle49"/>
          <w:rFonts w:ascii="Arial" w:hAnsi="Arial" w:cs="Arial"/>
          <w:sz w:val="20"/>
          <w:szCs w:val="20"/>
        </w:rPr>
        <w:t xml:space="preserve">příkazce </w:t>
      </w:r>
      <w:r w:rsidRPr="00111465">
        <w:rPr>
          <w:rStyle w:val="FontStyle49"/>
          <w:rFonts w:ascii="Arial" w:hAnsi="Arial" w:cs="Arial"/>
          <w:sz w:val="20"/>
          <w:szCs w:val="20"/>
        </w:rPr>
        <w:t>nebo</w:t>
      </w:r>
      <w:r>
        <w:rPr>
          <w:rStyle w:val="FontStyle49"/>
          <w:rFonts w:ascii="Arial" w:hAnsi="Arial" w:cs="Arial"/>
          <w:sz w:val="20"/>
          <w:szCs w:val="20"/>
        </w:rPr>
        <w:t xml:space="preserve"> příkazníka</w:t>
      </w:r>
      <w:r w:rsidRPr="00111465">
        <w:rPr>
          <w:rStyle w:val="FontStyle49"/>
          <w:rFonts w:ascii="Arial" w:hAnsi="Arial" w:cs="Arial"/>
          <w:sz w:val="20"/>
          <w:szCs w:val="20"/>
        </w:rPr>
        <w:t>, a to buď dohodou smluvních stran, odstoupením některé ze smluvních stran z důvodů předpokládaných touto Smlouvou nebo ze zákonných důvodů, nebo výpovědí bez uvedení důvodu.</w:t>
      </w:r>
    </w:p>
    <w:p w:rsidR="004858D8" w:rsidRPr="00111465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>10.2. Od této Smlouvy lze odstoupit v případě podstatného porušení povinností jednou smluvní stranou, jestliže je toto porušení povinnosti označeno za podstatné touto Smlouvou nebo zákonem. Odstoupení je účinné dnem doručení písemného oznámení o odstoupení druhé smluvní straně. Odstoupení od smlouvy se považuje za doručené, když se písemný úkon obsahující odstoupení od smlouvy dostane do dispozice druhé strany. V případě úkonů činěných poštou se má za to, že písemný úkon obsahující odstoupení od smlouvy se dostal do dispozice druhé strany okamžikem doručení listovn</w:t>
      </w:r>
      <w:r w:rsidR="000A6F23">
        <w:rPr>
          <w:rStyle w:val="FontStyle49"/>
          <w:rFonts w:ascii="Arial" w:hAnsi="Arial" w:cs="Arial"/>
          <w:sz w:val="20"/>
          <w:szCs w:val="20"/>
        </w:rPr>
        <w:t>í zásilky adresátovi odstoupení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od smlouvy, přičemž za doručení se považuje i stav, kdy adresát odstoupení od smlouvy nebyl při doručování listovní zásilky držitelem poštovní licence zastižen a listovní zásilka je uložena k vyzvednutí na místně příslušné provozovně držitele poštovní licence, a to uplynutím 3 dnů ode dne, kdy listovní zásilka s tímto úkonem byla uložena k vyzvednutí. Odstoupením od smlouvy nejsou dotčena ustanovení týkající se smluvních úroků z prodlení, smluvních pokut, a ustanovení týkající se těch práv a povinností, z jejichž povahy vyplývá, že mají trvat i po odstoupení.</w:t>
      </w:r>
    </w:p>
    <w:p w:rsidR="004858D8" w:rsidRPr="00111465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Pr="00111465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>10.3. Smluvní strany se dohodly, že za podstatné porušení Smlouvy považují:</w:t>
      </w:r>
    </w:p>
    <w:p w:rsidR="004858D8" w:rsidRPr="00111465" w:rsidRDefault="004858D8" w:rsidP="004858D8">
      <w:pPr>
        <w:jc w:val="both"/>
      </w:pPr>
    </w:p>
    <w:p w:rsidR="004858D8" w:rsidRPr="000D7646" w:rsidRDefault="004858D8" w:rsidP="004858D8">
      <w:pPr>
        <w:pStyle w:val="Odstavecseseznamem"/>
        <w:numPr>
          <w:ilvl w:val="0"/>
          <w:numId w:val="7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0D7646">
        <w:rPr>
          <w:rStyle w:val="FontStyle49"/>
          <w:rFonts w:ascii="Arial" w:hAnsi="Arial" w:cs="Arial"/>
          <w:sz w:val="20"/>
          <w:szCs w:val="20"/>
        </w:rPr>
        <w:t>nedodržení dohod</w:t>
      </w:r>
      <w:r>
        <w:rPr>
          <w:rStyle w:val="FontStyle49"/>
          <w:rFonts w:ascii="Arial" w:hAnsi="Arial" w:cs="Arial"/>
          <w:sz w:val="20"/>
          <w:szCs w:val="20"/>
        </w:rPr>
        <w:t>nutého předmětu plnění TDS</w:t>
      </w:r>
      <w:r w:rsidRPr="000D7646">
        <w:rPr>
          <w:rStyle w:val="FontStyle49"/>
          <w:rFonts w:ascii="Arial" w:hAnsi="Arial" w:cs="Arial"/>
          <w:sz w:val="20"/>
          <w:szCs w:val="20"/>
        </w:rPr>
        <w:t>,</w:t>
      </w:r>
    </w:p>
    <w:p w:rsidR="004858D8" w:rsidRPr="000D7646" w:rsidRDefault="004858D8" w:rsidP="004858D8">
      <w:pPr>
        <w:pStyle w:val="Odstavecseseznamem"/>
        <w:numPr>
          <w:ilvl w:val="0"/>
          <w:numId w:val="7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0D7646">
        <w:rPr>
          <w:rStyle w:val="FontStyle49"/>
          <w:rFonts w:ascii="Arial" w:hAnsi="Arial" w:cs="Arial"/>
          <w:sz w:val="20"/>
          <w:szCs w:val="20"/>
        </w:rPr>
        <w:t>prodlení s plněním závazku vyplývajícího ze Smlouvy po dobu delší než 15 dnů</w:t>
      </w:r>
    </w:p>
    <w:p w:rsidR="004858D8" w:rsidRPr="000D7646" w:rsidRDefault="004858D8" w:rsidP="004858D8">
      <w:pPr>
        <w:pStyle w:val="Odstavecseseznamem"/>
        <w:numPr>
          <w:ilvl w:val="0"/>
          <w:numId w:val="7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0D7646">
        <w:rPr>
          <w:rStyle w:val="FontStyle49"/>
          <w:rFonts w:ascii="Arial" w:hAnsi="Arial" w:cs="Arial"/>
          <w:sz w:val="20"/>
          <w:szCs w:val="20"/>
        </w:rPr>
        <w:t>neuzavřeni poj</w:t>
      </w:r>
      <w:r>
        <w:rPr>
          <w:rStyle w:val="FontStyle49"/>
          <w:rFonts w:ascii="Arial" w:hAnsi="Arial" w:cs="Arial"/>
          <w:sz w:val="20"/>
          <w:szCs w:val="20"/>
        </w:rPr>
        <w:t>istné smlouvy TDS dle čl. 8</w:t>
      </w:r>
      <w:r w:rsidRPr="000D7646">
        <w:rPr>
          <w:rStyle w:val="FontStyle49"/>
          <w:rFonts w:ascii="Arial" w:hAnsi="Arial" w:cs="Arial"/>
          <w:sz w:val="20"/>
          <w:szCs w:val="20"/>
        </w:rPr>
        <w:t xml:space="preserve"> Smlouvy</w:t>
      </w:r>
    </w:p>
    <w:p w:rsidR="004858D8" w:rsidRPr="000D7646" w:rsidRDefault="004858D8" w:rsidP="004858D8">
      <w:pPr>
        <w:pStyle w:val="Odstavecseseznamem"/>
        <w:numPr>
          <w:ilvl w:val="0"/>
          <w:numId w:val="7"/>
        </w:numPr>
        <w:jc w:val="both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>porušení povinností TDS ve smyslu čl. 3.</w:t>
      </w:r>
    </w:p>
    <w:p w:rsidR="004858D8" w:rsidRPr="00111465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Pr="00111465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>10.4.</w:t>
      </w:r>
      <w:r w:rsidRPr="00111465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49"/>
          <w:rFonts w:ascii="Arial" w:hAnsi="Arial" w:cs="Arial"/>
          <w:sz w:val="20"/>
          <w:szCs w:val="20"/>
        </w:rPr>
        <w:t>Příkazce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je oprávněn smlouvu kdykoliv částečně nebo v celém rozsahu vypovědět bez udání důvodu. Nestanoví-li výpověď pozdější účinnost, nabývá účinnosti dnem, kdy se o ní </w:t>
      </w:r>
      <w:r>
        <w:rPr>
          <w:rStyle w:val="FontStyle49"/>
          <w:rFonts w:ascii="Arial" w:hAnsi="Arial" w:cs="Arial"/>
          <w:sz w:val="20"/>
          <w:szCs w:val="20"/>
        </w:rPr>
        <w:t>TDS</w:t>
      </w:r>
      <w:r w:rsidR="000A6F23">
        <w:rPr>
          <w:rStyle w:val="FontStyle49"/>
          <w:rFonts w:ascii="Arial" w:hAnsi="Arial" w:cs="Arial"/>
          <w:sz w:val="20"/>
          <w:szCs w:val="20"/>
        </w:rPr>
        <w:t xml:space="preserve"> dověděl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nebo dovědět mohl. Od účinnosti výpovědi je </w:t>
      </w:r>
      <w:r>
        <w:rPr>
          <w:rStyle w:val="FontStyle49"/>
          <w:rFonts w:ascii="Arial" w:hAnsi="Arial" w:cs="Arial"/>
          <w:sz w:val="20"/>
          <w:szCs w:val="20"/>
        </w:rPr>
        <w:t xml:space="preserve">TDS </w:t>
      </w:r>
      <w:r w:rsidRPr="00111465">
        <w:rPr>
          <w:rStyle w:val="FontStyle49"/>
          <w:rFonts w:ascii="Arial" w:hAnsi="Arial" w:cs="Arial"/>
          <w:sz w:val="20"/>
          <w:szCs w:val="20"/>
        </w:rPr>
        <w:t>povinen nepokračovat ve výkonu činností dle této Smlouvy, na které se v</w:t>
      </w:r>
      <w:r>
        <w:rPr>
          <w:rStyle w:val="FontStyle49"/>
          <w:rFonts w:ascii="Arial" w:hAnsi="Arial" w:cs="Arial"/>
          <w:sz w:val="20"/>
          <w:szCs w:val="20"/>
        </w:rPr>
        <w:t>ýpověď vztahuje. TDS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je vš</w:t>
      </w:r>
      <w:r>
        <w:rPr>
          <w:rStyle w:val="FontStyle49"/>
          <w:rFonts w:ascii="Arial" w:hAnsi="Arial" w:cs="Arial"/>
          <w:sz w:val="20"/>
          <w:szCs w:val="20"/>
        </w:rPr>
        <w:t>ak povinen upozornit příkazce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na opatření potřebná k tomu, aby se zabránilo vzniku škody b</w:t>
      </w:r>
      <w:r>
        <w:rPr>
          <w:rStyle w:val="FontStyle49"/>
          <w:rFonts w:ascii="Arial" w:hAnsi="Arial" w:cs="Arial"/>
          <w:sz w:val="20"/>
          <w:szCs w:val="20"/>
        </w:rPr>
        <w:t>ezprostředně hrozící příkazci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nedokončením čin</w:t>
      </w:r>
      <w:r>
        <w:rPr>
          <w:rStyle w:val="FontStyle49"/>
          <w:rFonts w:ascii="Arial" w:hAnsi="Arial" w:cs="Arial"/>
          <w:sz w:val="20"/>
          <w:szCs w:val="20"/>
        </w:rPr>
        <w:t>ností dle této Smlouvy. Za řádně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vykonané činnosti dle</w:t>
      </w:r>
      <w:r>
        <w:rPr>
          <w:rStyle w:val="FontStyle49"/>
          <w:rFonts w:ascii="Arial" w:hAnsi="Arial" w:cs="Arial"/>
          <w:sz w:val="20"/>
          <w:szCs w:val="20"/>
        </w:rPr>
        <w:t xml:space="preserve"> této Smlouvy má TDS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nárok na zaplacení úplat dle této Smlouvy.</w:t>
      </w:r>
    </w:p>
    <w:p w:rsidR="004858D8" w:rsidRPr="00111465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jc w:val="both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>10.5. Technický dozor může Smlouvu vypovědět s účinností k poslednímu dni výpovědní lhůty. Výpovědní lhůta se pro případ výpově</w:t>
      </w:r>
      <w:r w:rsidR="009810DA">
        <w:rPr>
          <w:rStyle w:val="FontStyle49"/>
          <w:rFonts w:ascii="Arial" w:hAnsi="Arial" w:cs="Arial"/>
          <w:sz w:val="20"/>
          <w:szCs w:val="20"/>
        </w:rPr>
        <w:t xml:space="preserve">di technického dozoru sjednává </w:t>
      </w:r>
      <w:r w:rsidRPr="00111465">
        <w:rPr>
          <w:rStyle w:val="FontStyle49"/>
          <w:rFonts w:ascii="Arial" w:hAnsi="Arial" w:cs="Arial"/>
          <w:sz w:val="20"/>
          <w:szCs w:val="20"/>
        </w:rPr>
        <w:t>měsíční a počíná běžet od 1. dne kalendářního měsíce následujícího po m</w:t>
      </w:r>
      <w:r>
        <w:rPr>
          <w:rStyle w:val="FontStyle49"/>
          <w:rFonts w:ascii="Arial" w:hAnsi="Arial" w:cs="Arial"/>
          <w:sz w:val="20"/>
          <w:szCs w:val="20"/>
        </w:rPr>
        <w:t>ěsíci, v němž se o ní příkazce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dověděl nebo dovědět mohl. Ke dni účinnosti výpovědi zaniká závazek technického dozoru vykonávat činnost dle této Smlouvy. Jestliže by tímto ukončením výkonu činnosti technického do</w:t>
      </w:r>
      <w:r>
        <w:rPr>
          <w:rStyle w:val="FontStyle49"/>
          <w:rFonts w:ascii="Arial" w:hAnsi="Arial" w:cs="Arial"/>
          <w:sz w:val="20"/>
          <w:szCs w:val="20"/>
        </w:rPr>
        <w:t>zoru dle této Smlouvy příkazc</w:t>
      </w:r>
      <w:r w:rsidRPr="00111465">
        <w:rPr>
          <w:rStyle w:val="FontStyle49"/>
          <w:rFonts w:ascii="Arial" w:hAnsi="Arial" w:cs="Arial"/>
          <w:sz w:val="20"/>
          <w:szCs w:val="20"/>
        </w:rPr>
        <w:t>i vznikla škoda, je tec</w:t>
      </w:r>
      <w:r>
        <w:rPr>
          <w:rStyle w:val="FontStyle49"/>
          <w:rFonts w:ascii="Arial" w:hAnsi="Arial" w:cs="Arial"/>
          <w:sz w:val="20"/>
          <w:szCs w:val="20"/>
        </w:rPr>
        <w:t>hnický dozor povinen příkazce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upozornit, jaká opatření je třeba učinit k jejímu odvrácení. J</w:t>
      </w:r>
      <w:r>
        <w:rPr>
          <w:rStyle w:val="FontStyle49"/>
          <w:rFonts w:ascii="Arial" w:hAnsi="Arial" w:cs="Arial"/>
          <w:sz w:val="20"/>
          <w:szCs w:val="20"/>
        </w:rPr>
        <w:t>estliže tato opatření příkazce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nemůže učinit ani pomocí jiných osob a požádá technický dozor, aby je učinil sám, je technický dozor k tomu povinen. Za úkony k provedení opatření dle předchozí věty náleží technickému dozoru přiměřená část úplaty dle této Smlouvy.</w:t>
      </w:r>
    </w:p>
    <w:p w:rsidR="004858D8" w:rsidRPr="00996AD4" w:rsidRDefault="004858D8" w:rsidP="004858D8">
      <w:pPr>
        <w:jc w:val="both"/>
        <w:rPr>
          <w:rStyle w:val="FontStyle49"/>
          <w:rFonts w:ascii="Arial" w:hAnsi="Arial" w:cs="Arial"/>
        </w:rPr>
      </w:pPr>
    </w:p>
    <w:p w:rsidR="004858D8" w:rsidRPr="00111465" w:rsidRDefault="004858D8" w:rsidP="004858D8">
      <w:pPr>
        <w:pStyle w:val="Style19"/>
        <w:widowControl/>
        <w:tabs>
          <w:tab w:val="left" w:pos="259"/>
        </w:tabs>
        <w:spacing w:line="302" w:lineRule="exact"/>
        <w:ind w:left="29"/>
        <w:jc w:val="center"/>
        <w:rPr>
          <w:rStyle w:val="FontStyle49"/>
          <w:rFonts w:ascii="Arial" w:hAnsi="Arial" w:cs="Arial"/>
          <w:b/>
          <w:sz w:val="22"/>
          <w:szCs w:val="22"/>
        </w:rPr>
      </w:pPr>
      <w:r w:rsidRPr="00111465">
        <w:rPr>
          <w:rStyle w:val="FontStyle49"/>
          <w:rFonts w:ascii="Arial" w:hAnsi="Arial" w:cs="Arial"/>
          <w:b/>
          <w:sz w:val="22"/>
          <w:szCs w:val="22"/>
        </w:rPr>
        <w:t>XI.</w:t>
      </w:r>
    </w:p>
    <w:p w:rsidR="004858D8" w:rsidRPr="00111465" w:rsidRDefault="004858D8" w:rsidP="004858D8">
      <w:pPr>
        <w:pStyle w:val="Style19"/>
        <w:widowControl/>
        <w:tabs>
          <w:tab w:val="left" w:pos="259"/>
        </w:tabs>
        <w:spacing w:line="302" w:lineRule="exact"/>
        <w:ind w:left="29"/>
        <w:jc w:val="center"/>
        <w:rPr>
          <w:rStyle w:val="FontStyle49"/>
          <w:rFonts w:ascii="Arial" w:hAnsi="Arial" w:cs="Arial"/>
          <w:b/>
          <w:sz w:val="22"/>
          <w:szCs w:val="22"/>
        </w:rPr>
      </w:pPr>
      <w:r w:rsidRPr="00111465">
        <w:rPr>
          <w:rStyle w:val="FontStyle49"/>
          <w:rFonts w:ascii="Arial" w:hAnsi="Arial" w:cs="Arial"/>
          <w:b/>
          <w:sz w:val="22"/>
          <w:szCs w:val="22"/>
        </w:rPr>
        <w:t>Ostatní ujednání</w:t>
      </w: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 xml:space="preserve">Není-li ve Smlouvě stanoveno jinak, platí pro právní vztahy </w:t>
      </w:r>
      <w:r w:rsidR="00E56D5D">
        <w:rPr>
          <w:rStyle w:val="FontStyle49"/>
          <w:rFonts w:ascii="Arial" w:hAnsi="Arial" w:cs="Arial"/>
          <w:sz w:val="20"/>
          <w:szCs w:val="20"/>
        </w:rPr>
        <w:t>plynoucí ze S</w:t>
      </w:r>
      <w:r w:rsidRPr="00111465">
        <w:rPr>
          <w:rStyle w:val="FontStyle49"/>
          <w:rFonts w:ascii="Arial" w:hAnsi="Arial" w:cs="Arial"/>
          <w:sz w:val="20"/>
          <w:szCs w:val="20"/>
        </w:rPr>
        <w:t>mlouvy ustanovení Občanského zákoníku.</w:t>
      </w:r>
    </w:p>
    <w:p w:rsidR="004858D8" w:rsidRPr="00111465" w:rsidRDefault="004858D8" w:rsidP="004858D8">
      <w:pPr>
        <w:pStyle w:val="Style19"/>
        <w:widowControl/>
        <w:tabs>
          <w:tab w:val="left" w:pos="470"/>
        </w:tabs>
        <w:spacing w:line="240" w:lineRule="auto"/>
        <w:ind w:left="405" w:right="10"/>
        <w:rPr>
          <w:rStyle w:val="FontStyle49"/>
          <w:rFonts w:ascii="Arial" w:hAnsi="Arial" w:cs="Arial"/>
          <w:sz w:val="20"/>
          <w:szCs w:val="20"/>
        </w:rPr>
      </w:pPr>
    </w:p>
    <w:p w:rsidR="004858D8" w:rsidRPr="00BF7874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BF7874">
        <w:rPr>
          <w:rStyle w:val="FontStyle49"/>
          <w:rFonts w:ascii="Arial" w:hAnsi="Arial" w:cs="Arial"/>
          <w:sz w:val="20"/>
          <w:szCs w:val="20"/>
        </w:rPr>
        <w:t xml:space="preserve"> Spory vzniklé z této Smlouvy nebo v souvislosti s ní se budou smluvní strany snažit řešit dohodou. V případě, že k dohodě nedojde, pak prostřednictvím obecných soudů.</w:t>
      </w:r>
    </w:p>
    <w:p w:rsidR="004858D8" w:rsidRPr="00111465" w:rsidRDefault="004858D8" w:rsidP="004858D8">
      <w:pPr>
        <w:pStyle w:val="Style19"/>
        <w:widowControl/>
        <w:tabs>
          <w:tab w:val="left" w:pos="470"/>
        </w:tabs>
        <w:spacing w:line="240" w:lineRule="auto"/>
        <w:ind w:left="405" w:right="10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lastRenderedPageBreak/>
        <w:t xml:space="preserve">. Technický dozor </w:t>
      </w:r>
      <w:r>
        <w:rPr>
          <w:rStyle w:val="FontStyle49"/>
          <w:rFonts w:ascii="Arial" w:hAnsi="Arial" w:cs="Arial"/>
          <w:sz w:val="20"/>
          <w:szCs w:val="20"/>
        </w:rPr>
        <w:t xml:space="preserve">stavby </w:t>
      </w:r>
      <w:r w:rsidRPr="00111465">
        <w:rPr>
          <w:rStyle w:val="FontStyle49"/>
          <w:rFonts w:ascii="Arial" w:hAnsi="Arial" w:cs="Arial"/>
          <w:sz w:val="20"/>
          <w:szCs w:val="20"/>
        </w:rPr>
        <w:t>není oprávněn převést práva a povinnosti plynoucí z této Smlouvy třetí osobě be</w:t>
      </w:r>
      <w:r>
        <w:rPr>
          <w:rStyle w:val="FontStyle49"/>
          <w:rFonts w:ascii="Arial" w:hAnsi="Arial" w:cs="Arial"/>
          <w:sz w:val="20"/>
          <w:szCs w:val="20"/>
        </w:rPr>
        <w:t>z písemného souhlasu příkazce</w:t>
      </w:r>
      <w:r w:rsidRPr="00111465">
        <w:rPr>
          <w:rStyle w:val="FontStyle49"/>
          <w:rFonts w:ascii="Arial" w:hAnsi="Arial" w:cs="Arial"/>
          <w:sz w:val="20"/>
          <w:szCs w:val="20"/>
        </w:rPr>
        <w:t>. Porušení této povinnosti je pod sankcí odstoupení od smlouvy.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 xml:space="preserve"> Technický dozor </w:t>
      </w:r>
      <w:r>
        <w:rPr>
          <w:rStyle w:val="FontStyle49"/>
          <w:rFonts w:ascii="Arial" w:hAnsi="Arial" w:cs="Arial"/>
          <w:sz w:val="20"/>
          <w:szCs w:val="20"/>
        </w:rPr>
        <w:t xml:space="preserve"> stavby </w:t>
      </w:r>
      <w:r w:rsidRPr="00111465">
        <w:rPr>
          <w:rStyle w:val="FontStyle49"/>
          <w:rFonts w:ascii="Arial" w:hAnsi="Arial" w:cs="Arial"/>
          <w:sz w:val="20"/>
          <w:szCs w:val="20"/>
        </w:rPr>
        <w:t>prohlašuje, že se dostatečně seznámil se všemi podklady vyplývajícími ze Smlouvy a s podmínkami staveniště, že je považuje za dostatečné ke stanovení reálných termínů dokončení.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 xml:space="preserve"> Změny této Smlouvy jsou platné pouze formou písemných dodatků ke Smlouvě, řádně očíslovaných a datovaných, podepsaných oběma smluvními stranami.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 xml:space="preserve"> Smluvní strany se zavazují zachovávat mlčenlivost o všech skutečnostech, které se dozví v souvislosti s předmětem Smlouvy, včetně veškerých skutečností, které se v téže souvislosti dozvěděly o druhé smluvní straně. Tímto není dotčena povinnost uveřejňování informací ve smyslu zákona č. 106/1999 Sb., o svobodném přístupu k informací</w:t>
      </w:r>
      <w:r>
        <w:rPr>
          <w:rStyle w:val="FontStyle49"/>
          <w:rFonts w:ascii="Arial" w:hAnsi="Arial" w:cs="Arial"/>
          <w:sz w:val="20"/>
          <w:szCs w:val="20"/>
        </w:rPr>
        <w:t>m, ve znění pozdějších předpisů</w:t>
      </w:r>
      <w:r w:rsidRPr="00111465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 w:rsidRPr="00111465">
        <w:rPr>
          <w:rStyle w:val="FontStyle49"/>
          <w:rFonts w:ascii="Arial" w:hAnsi="Arial" w:cs="Arial"/>
          <w:sz w:val="20"/>
          <w:szCs w:val="20"/>
        </w:rPr>
        <w:t xml:space="preserve"> Technický dozor </w:t>
      </w:r>
      <w:r>
        <w:rPr>
          <w:rStyle w:val="FontStyle49"/>
          <w:rFonts w:ascii="Arial" w:hAnsi="Arial" w:cs="Arial"/>
          <w:sz w:val="20"/>
          <w:szCs w:val="20"/>
        </w:rPr>
        <w:t xml:space="preserve">stavby </w:t>
      </w:r>
      <w:r w:rsidRPr="00111465">
        <w:rPr>
          <w:rStyle w:val="FontStyle49"/>
          <w:rFonts w:ascii="Arial" w:hAnsi="Arial" w:cs="Arial"/>
          <w:sz w:val="20"/>
          <w:szCs w:val="20"/>
        </w:rPr>
        <w:t>se zavazuje umožnit výkon orgánům finanční kontroly ve smyslu zákona č. 320/2001 Sb., o finanční kontrole, ve znění pozdějších předpisů, a při výkonu jejich činnost</w:t>
      </w:r>
      <w:r>
        <w:rPr>
          <w:rStyle w:val="FontStyle49"/>
          <w:rFonts w:ascii="Arial" w:hAnsi="Arial" w:cs="Arial"/>
          <w:sz w:val="20"/>
          <w:szCs w:val="20"/>
        </w:rPr>
        <w:t>í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jim poskytnout veškerou potřebnou součinnost.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right="10" w:hanging="454"/>
        <w:rPr>
          <w:rStyle w:val="FontStyle49"/>
          <w:rFonts w:ascii="Arial" w:hAnsi="Arial" w:cs="Arial"/>
          <w:sz w:val="20"/>
          <w:szCs w:val="20"/>
        </w:rPr>
      </w:pPr>
      <w:r>
        <w:rPr>
          <w:rStyle w:val="FontStyle49"/>
          <w:rFonts w:ascii="Arial" w:hAnsi="Arial" w:cs="Arial"/>
          <w:sz w:val="20"/>
          <w:szCs w:val="20"/>
        </w:rPr>
        <w:t>Smlouva je vyhotovena ve dvou</w:t>
      </w:r>
      <w:r w:rsidRPr="00111465">
        <w:rPr>
          <w:rStyle w:val="FontStyle49"/>
          <w:rFonts w:ascii="Arial" w:hAnsi="Arial" w:cs="Arial"/>
          <w:sz w:val="20"/>
          <w:szCs w:val="20"/>
        </w:rPr>
        <w:t xml:space="preserve"> stejnopisech s platností originálu a každá z</w:t>
      </w:r>
      <w:r>
        <w:rPr>
          <w:rStyle w:val="FontStyle49"/>
          <w:rFonts w:ascii="Arial" w:hAnsi="Arial" w:cs="Arial"/>
          <w:sz w:val="20"/>
          <w:szCs w:val="20"/>
        </w:rPr>
        <w:t>e smluvních stran obdrží po jednom vyhotovení</w:t>
      </w:r>
      <w:r w:rsidRPr="00111465">
        <w:rPr>
          <w:rStyle w:val="FontStyle49"/>
          <w:rFonts w:ascii="Arial" w:hAnsi="Arial" w:cs="Arial"/>
          <w:sz w:val="20"/>
          <w:szCs w:val="20"/>
        </w:rPr>
        <w:t>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left="454" w:hanging="454"/>
        <w:rPr>
          <w:rFonts w:ascii="Arial" w:hAnsi="Arial" w:cs="Arial"/>
          <w:sz w:val="20"/>
          <w:szCs w:val="20"/>
        </w:rPr>
      </w:pPr>
      <w:r w:rsidRPr="00111465">
        <w:rPr>
          <w:rFonts w:ascii="Arial" w:hAnsi="Arial" w:cs="Arial"/>
          <w:sz w:val="20"/>
          <w:szCs w:val="20"/>
        </w:rPr>
        <w:t>Tato smlouva nabývá platnosti a účinnosti dnem jejího uzavření, nestanoví-li zvláštní právní předpis jinak. Objednatel je povinným subjektem dle § 2 o</w:t>
      </w:r>
      <w:r w:rsidR="00E56D5D">
        <w:rPr>
          <w:rFonts w:ascii="Arial" w:hAnsi="Arial" w:cs="Arial"/>
          <w:sz w:val="20"/>
          <w:szCs w:val="20"/>
        </w:rPr>
        <w:t>dst. 1 zákona č. 340/2016 Sb., o</w:t>
      </w:r>
      <w:r w:rsidRPr="00111465">
        <w:rPr>
          <w:rFonts w:ascii="Arial" w:hAnsi="Arial" w:cs="Arial"/>
          <w:sz w:val="20"/>
          <w:szCs w:val="20"/>
        </w:rPr>
        <w:t xml:space="preserve"> registru smluv, ve znění pozdějších předpisů. Smluvní strany souhlasí bez výhrad s obsahem a údaji smlouvy pro účel zveřejnění a dohodly se, že smlouvu v registru smluv uveřejní objednatel.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left="454" w:hanging="454"/>
        <w:rPr>
          <w:rFonts w:ascii="Arial" w:hAnsi="Arial" w:cs="Arial"/>
          <w:sz w:val="20"/>
          <w:szCs w:val="20"/>
        </w:rPr>
      </w:pPr>
      <w:r w:rsidRPr="00111465">
        <w:rPr>
          <w:rFonts w:ascii="Arial" w:hAnsi="Arial" w:cs="Arial"/>
          <w:sz w:val="20"/>
          <w:szCs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4858D8" w:rsidRDefault="004858D8" w:rsidP="004858D8">
      <w:pPr>
        <w:pStyle w:val="Odstavecseseznamem"/>
        <w:rPr>
          <w:rStyle w:val="FontStyle49"/>
          <w:rFonts w:ascii="Arial" w:hAnsi="Arial" w:cs="Arial"/>
          <w:sz w:val="20"/>
          <w:szCs w:val="20"/>
        </w:rPr>
      </w:pPr>
    </w:p>
    <w:p w:rsidR="004858D8" w:rsidRPr="00111465" w:rsidRDefault="004858D8" w:rsidP="004858D8">
      <w:pPr>
        <w:pStyle w:val="Style19"/>
        <w:widowControl/>
        <w:numPr>
          <w:ilvl w:val="1"/>
          <w:numId w:val="4"/>
        </w:numPr>
        <w:tabs>
          <w:tab w:val="left" w:pos="470"/>
        </w:tabs>
        <w:spacing w:line="240" w:lineRule="auto"/>
        <w:ind w:left="360" w:right="14" w:hanging="454"/>
        <w:rPr>
          <w:rFonts w:ascii="Arial" w:hAnsi="Arial" w:cs="Arial"/>
          <w:sz w:val="20"/>
          <w:szCs w:val="20"/>
        </w:rPr>
      </w:pPr>
      <w:r w:rsidRPr="00111465">
        <w:rPr>
          <w:rFonts w:ascii="Arial" w:hAnsi="Arial" w:cs="Arial"/>
          <w:sz w:val="20"/>
          <w:szCs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111465">
          <w:rPr>
            <w:rStyle w:val="Hypertextovodkaz"/>
            <w:rFonts w:ascii="Arial" w:hAnsi="Arial" w:cs="Arial"/>
            <w:sz w:val="20"/>
            <w:szCs w:val="20"/>
          </w:rPr>
          <w:t>www.nulk.cz</w:t>
        </w:r>
      </w:hyperlink>
      <w:r w:rsidRPr="00111465">
        <w:rPr>
          <w:rFonts w:ascii="Arial" w:hAnsi="Arial" w:cs="Arial"/>
          <w:sz w:val="20"/>
          <w:szCs w:val="20"/>
        </w:rPr>
        <w:t>. Subjekt údajů podpisem smlouvy potvrzuje, že mu výše uvedené informace byly řádně poskytnuty a bere je na vědomí.</w:t>
      </w:r>
    </w:p>
    <w:p w:rsidR="004858D8" w:rsidRPr="00111465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4858D8" w:rsidRPr="00111465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4858D8" w:rsidRPr="00111465" w:rsidRDefault="004858D8" w:rsidP="004858D8">
      <w:pPr>
        <w:tabs>
          <w:tab w:val="num" w:pos="360"/>
        </w:tabs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4858D8" w:rsidRPr="00111465" w:rsidRDefault="004858D8" w:rsidP="004858D8">
      <w:pPr>
        <w:pStyle w:val="Zkladntextodsazen"/>
        <w:tabs>
          <w:tab w:val="num" w:pos="360"/>
        </w:tabs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11146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Ve Strážnici</w:t>
      </w:r>
      <w:r w:rsidR="00DE295E">
        <w:rPr>
          <w:rFonts w:ascii="Arial" w:hAnsi="Arial" w:cs="Arial"/>
          <w:sz w:val="20"/>
          <w:szCs w:val="20"/>
        </w:rPr>
        <w:t xml:space="preserve"> </w:t>
      </w:r>
      <w:r w:rsidRPr="0011146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DE295E">
        <w:rPr>
          <w:rFonts w:ascii="Arial" w:hAnsi="Arial" w:cs="Arial"/>
          <w:sz w:val="20"/>
          <w:szCs w:val="20"/>
        </w:rPr>
        <w:t xml:space="preserve">10. 2. 2022 </w:t>
      </w:r>
      <w:r>
        <w:rPr>
          <w:rFonts w:ascii="Arial" w:hAnsi="Arial" w:cs="Arial"/>
          <w:sz w:val="20"/>
          <w:szCs w:val="20"/>
        </w:rPr>
        <w:t xml:space="preserve">  </w:t>
      </w:r>
      <w:r w:rsidR="00DE295E">
        <w:rPr>
          <w:rFonts w:ascii="Arial" w:hAnsi="Arial" w:cs="Arial"/>
          <w:sz w:val="20"/>
          <w:szCs w:val="20"/>
        </w:rPr>
        <w:t xml:space="preserve">                           </w:t>
      </w:r>
      <w:r w:rsidR="00DE295E">
        <w:rPr>
          <w:rFonts w:ascii="Arial" w:hAnsi="Arial" w:cs="Arial"/>
          <w:sz w:val="20"/>
          <w:szCs w:val="20"/>
        </w:rPr>
        <w:tab/>
      </w:r>
      <w:r w:rsidR="00DE295E">
        <w:rPr>
          <w:rFonts w:ascii="Arial" w:hAnsi="Arial" w:cs="Arial"/>
          <w:sz w:val="20"/>
          <w:szCs w:val="20"/>
        </w:rPr>
        <w:tab/>
        <w:t xml:space="preserve">Ve Strážnici </w:t>
      </w:r>
      <w:r>
        <w:rPr>
          <w:rFonts w:ascii="Arial" w:hAnsi="Arial" w:cs="Arial"/>
          <w:sz w:val="20"/>
          <w:szCs w:val="20"/>
        </w:rPr>
        <w:t xml:space="preserve">dne </w:t>
      </w:r>
      <w:r w:rsidR="00DE295E">
        <w:rPr>
          <w:rFonts w:ascii="Arial" w:hAnsi="Arial" w:cs="Arial"/>
          <w:sz w:val="20"/>
          <w:szCs w:val="20"/>
        </w:rPr>
        <w:t xml:space="preserve">10. 2. 2022 </w:t>
      </w:r>
      <w:r w:rsidRPr="00111465">
        <w:rPr>
          <w:rFonts w:ascii="Arial" w:hAnsi="Arial" w:cs="Arial"/>
          <w:i/>
          <w:sz w:val="20"/>
          <w:szCs w:val="20"/>
        </w:rPr>
        <w:tab/>
        <w:t xml:space="preserve">   </w:t>
      </w:r>
    </w:p>
    <w:p w:rsidR="00DE295E" w:rsidRDefault="004858D8" w:rsidP="00485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E295E" w:rsidRDefault="00DE295E" w:rsidP="004858D8">
      <w:pPr>
        <w:rPr>
          <w:rFonts w:ascii="Arial" w:hAnsi="Arial" w:cs="Arial"/>
          <w:sz w:val="20"/>
          <w:szCs w:val="20"/>
        </w:rPr>
      </w:pPr>
    </w:p>
    <w:p w:rsidR="004858D8" w:rsidRDefault="004858D8" w:rsidP="004858D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</w:t>
      </w:r>
    </w:p>
    <w:p w:rsidR="004858D8" w:rsidRDefault="004858D8" w:rsidP="00485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                                        …………………………………………..</w:t>
      </w:r>
    </w:p>
    <w:p w:rsidR="004858D8" w:rsidRDefault="004858D8" w:rsidP="004858D8">
      <w:pPr>
        <w:rPr>
          <w:rFonts w:ascii="Arial" w:hAnsi="Arial" w:cs="Arial"/>
          <w:sz w:val="20"/>
          <w:szCs w:val="20"/>
        </w:rPr>
      </w:pPr>
    </w:p>
    <w:p w:rsidR="004858D8" w:rsidRDefault="004858D8" w:rsidP="00485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PhDr. Martin Šimša, Ph.D.                                                                 příkazník</w:t>
      </w:r>
    </w:p>
    <w:p w:rsidR="004858D8" w:rsidRDefault="004858D8" w:rsidP="004858D8">
      <w:r>
        <w:rPr>
          <w:rFonts w:ascii="Arial" w:hAnsi="Arial" w:cs="Arial"/>
          <w:sz w:val="20"/>
          <w:szCs w:val="20"/>
        </w:rPr>
        <w:t xml:space="preserve">                             ředitel</w:t>
      </w:r>
      <w:r w:rsidRPr="00111465">
        <w:rPr>
          <w:rFonts w:ascii="Arial" w:hAnsi="Arial" w:cs="Arial"/>
          <w:sz w:val="20"/>
          <w:szCs w:val="20"/>
        </w:rPr>
        <w:t xml:space="preserve">   </w:t>
      </w:r>
    </w:p>
    <w:p w:rsidR="004858D8" w:rsidRDefault="004858D8" w:rsidP="004858D8"/>
    <w:p w:rsidR="00615B62" w:rsidRDefault="00615B62"/>
    <w:sectPr w:rsidR="00615B62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38A958"/>
    <w:lvl w:ilvl="0">
      <w:numFmt w:val="bullet"/>
      <w:lvlText w:val="*"/>
      <w:lvlJc w:val="left"/>
    </w:lvl>
  </w:abstractNum>
  <w:abstractNum w:abstractNumId="1" w15:restartNumberingAfterBreak="0">
    <w:nsid w:val="0ADD638F"/>
    <w:multiLevelType w:val="multilevel"/>
    <w:tmpl w:val="7D98A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727B91"/>
    <w:multiLevelType w:val="multilevel"/>
    <w:tmpl w:val="96D6FA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4D352995"/>
    <w:multiLevelType w:val="multilevel"/>
    <w:tmpl w:val="31F6260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228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817434A"/>
    <w:multiLevelType w:val="multilevel"/>
    <w:tmpl w:val="53A8E38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8AA41A4"/>
    <w:multiLevelType w:val="multilevel"/>
    <w:tmpl w:val="FE42BC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4B0A80"/>
    <w:multiLevelType w:val="multilevel"/>
    <w:tmpl w:val="276471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3D7D6C"/>
    <w:multiLevelType w:val="multilevel"/>
    <w:tmpl w:val="54EC6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D5362A"/>
    <w:multiLevelType w:val="hybridMultilevel"/>
    <w:tmpl w:val="5720DF24"/>
    <w:lvl w:ilvl="0" w:tplc="50ECC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05040"/>
    <w:multiLevelType w:val="multilevel"/>
    <w:tmpl w:val="A2CCF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Calibri" w:hAnsi="Calibri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Calibri" w:hAnsi="Calibri" w:hint="default"/>
        </w:rPr>
      </w:lvl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D8"/>
    <w:rsid w:val="000A6F23"/>
    <w:rsid w:val="001707C5"/>
    <w:rsid w:val="00463029"/>
    <w:rsid w:val="004858D8"/>
    <w:rsid w:val="00615B62"/>
    <w:rsid w:val="00947916"/>
    <w:rsid w:val="009810DA"/>
    <w:rsid w:val="00997FBF"/>
    <w:rsid w:val="00B053D9"/>
    <w:rsid w:val="00C31441"/>
    <w:rsid w:val="00C70325"/>
    <w:rsid w:val="00DE295E"/>
    <w:rsid w:val="00E22D4D"/>
    <w:rsid w:val="00E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0CA2"/>
  <w15:chartTrackingRefBased/>
  <w15:docId w15:val="{352432D8-7AA3-47C7-B45F-4F9CC111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58D8"/>
    <w:pPr>
      <w:keepNext/>
      <w:numPr>
        <w:numId w:val="11"/>
      </w:numPr>
      <w:pBdr>
        <w:bottom w:val="single" w:sz="12" w:space="1" w:color="FF0000"/>
      </w:pBdr>
      <w:spacing w:before="480" w:after="60" w:line="276" w:lineRule="auto"/>
      <w:ind w:left="0" w:firstLine="0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4858D8"/>
    <w:pPr>
      <w:keepNext/>
      <w:numPr>
        <w:ilvl w:val="1"/>
        <w:numId w:val="1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4858D8"/>
    <w:pPr>
      <w:numPr>
        <w:ilvl w:val="2"/>
        <w:numId w:val="11"/>
      </w:numPr>
      <w:spacing w:before="240" w:after="60" w:line="276" w:lineRule="auto"/>
      <w:ind w:left="720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4858D8"/>
    <w:pPr>
      <w:numPr>
        <w:ilvl w:val="3"/>
        <w:numId w:val="1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4858D8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4858D8"/>
    <w:pPr>
      <w:numPr>
        <w:ilvl w:val="5"/>
        <w:numId w:val="1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4858D8"/>
    <w:pPr>
      <w:numPr>
        <w:ilvl w:val="6"/>
        <w:numId w:val="1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4858D8"/>
    <w:pPr>
      <w:numPr>
        <w:ilvl w:val="7"/>
        <w:numId w:val="1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4858D8"/>
    <w:pPr>
      <w:numPr>
        <w:ilvl w:val="8"/>
        <w:numId w:val="1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58D8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4858D8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58D8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858D8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858D8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858D8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4858D8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4858D8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4858D8"/>
    <w:rPr>
      <w:rFonts w:ascii="Cambria" w:eastAsia="Times New Roman" w:hAnsi="Cambria" w:cs="Times New Roman"/>
      <w:lang w:val="sk-SK"/>
    </w:rPr>
  </w:style>
  <w:style w:type="paragraph" w:styleId="Zkladntextodsazen">
    <w:name w:val="Body Text Indent"/>
    <w:basedOn w:val="Normln"/>
    <w:link w:val="ZkladntextodsazenChar"/>
    <w:rsid w:val="004858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858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858D8"/>
    <w:rPr>
      <w:color w:val="0000FF"/>
      <w:u w:val="single"/>
    </w:rPr>
  </w:style>
  <w:style w:type="table" w:styleId="Mkatabulky">
    <w:name w:val="Table Grid"/>
    <w:basedOn w:val="Normlntabulka"/>
    <w:uiPriority w:val="59"/>
    <w:rsid w:val="004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4858D8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4858D8"/>
    <w:rPr>
      <w:rFonts w:ascii="Arial" w:eastAsia="Times New Roman" w:hAnsi="Arial" w:cs="Arial"/>
      <w:lang w:eastAsia="cs-CZ"/>
    </w:rPr>
  </w:style>
  <w:style w:type="character" w:customStyle="1" w:styleId="FontStyle38">
    <w:name w:val="Font Style38"/>
    <w:basedOn w:val="Standardnpsmoodstavce"/>
    <w:uiPriority w:val="99"/>
    <w:rsid w:val="004858D8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4858D8"/>
    <w:rPr>
      <w:rFonts w:ascii="Franklin Gothic Medium" w:hAnsi="Franklin Gothic Medium" w:cs="Franklin Gothic Medium"/>
      <w:sz w:val="18"/>
      <w:szCs w:val="18"/>
    </w:rPr>
  </w:style>
  <w:style w:type="character" w:customStyle="1" w:styleId="FontStyle23">
    <w:name w:val="Font Style23"/>
    <w:basedOn w:val="Standardnpsmoodstavce"/>
    <w:uiPriority w:val="99"/>
    <w:rsid w:val="004858D8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4858D8"/>
    <w:rPr>
      <w:rFonts w:ascii="Calibri" w:hAnsi="Calibri" w:cs="Calibri"/>
      <w:sz w:val="20"/>
      <w:szCs w:val="20"/>
    </w:rPr>
  </w:style>
  <w:style w:type="paragraph" w:customStyle="1" w:styleId="Style11">
    <w:name w:val="Style11"/>
    <w:basedOn w:val="Normln"/>
    <w:uiPriority w:val="99"/>
    <w:rsid w:val="004858D8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ascii="Calibri" w:eastAsiaTheme="minorEastAsia" w:hAnsi="Calibri" w:cstheme="minorBidi"/>
    </w:rPr>
  </w:style>
  <w:style w:type="paragraph" w:styleId="Odstavecseseznamem">
    <w:name w:val="List Paragraph"/>
    <w:basedOn w:val="Normln"/>
    <w:uiPriority w:val="34"/>
    <w:qFormat/>
    <w:rsid w:val="004858D8"/>
    <w:pPr>
      <w:ind w:left="720"/>
      <w:contextualSpacing/>
    </w:pPr>
  </w:style>
  <w:style w:type="paragraph" w:customStyle="1" w:styleId="Style19">
    <w:name w:val="Style19"/>
    <w:basedOn w:val="Normln"/>
    <w:uiPriority w:val="99"/>
    <w:rsid w:val="004858D8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Franklin Gothic Medium" w:eastAsiaTheme="minorEastAsia" w:hAnsi="Franklin Gothic Medium" w:cstheme="minorBidi"/>
    </w:rPr>
  </w:style>
  <w:style w:type="paragraph" w:styleId="Bezmezer">
    <w:name w:val="No Spacing"/>
    <w:uiPriority w:val="1"/>
    <w:qFormat/>
    <w:rsid w:val="0048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7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3371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Marie Sýkorová</cp:lastModifiedBy>
  <cp:revision>2</cp:revision>
  <cp:lastPrinted>2022-02-10T08:51:00Z</cp:lastPrinted>
  <dcterms:created xsi:type="dcterms:W3CDTF">2022-02-10T13:04:00Z</dcterms:created>
  <dcterms:modified xsi:type="dcterms:W3CDTF">2022-02-10T13:04:00Z</dcterms:modified>
</cp:coreProperties>
</file>