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after="380" w:line="329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2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poskytování úklidových služeb, ze dne 04. 04. 2019</w:t>
        <w:br/>
        <w:t>středisko Polná</w:t>
      </w:r>
      <w:bookmarkEnd w:id="0"/>
      <w:bookmarkEnd w:id="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N-SL-2-2019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2"/>
      <w:bookmarkEnd w:id="3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1041400</wp:posOffset>
                </wp:positionV>
                <wp:extent cx="5828030" cy="1587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1587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Komerční banka, a.s.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99999999999997pt;margin-top:82.pt;width:458.89999999999998pt;height:12.5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0" distL="120650" distR="114300" simplePos="0" relativeHeight="125829380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1296035</wp:posOffset>
                </wp:positionV>
                <wp:extent cx="5828030" cy="3289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3289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350000000000001pt;margin-top:102.05pt;width:458.89999999999998pt;height:25.899999999999999pt;z-index:-125829373;mso-wrap-distance-left:9.5pt;mso-wrap-distance-top:11.050000000000001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1155700</wp:posOffset>
                </wp:positionV>
                <wp:extent cx="643255" cy="1708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7.850000000000001pt;margin-top:91.pt;width:50.649999999999999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Zřizovatel: Kraj Vysočina 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 - servis s.r.o.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Hraniční 2805/6, České Budějovice, 370 06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Radimem Marzem, jednatelem společnosti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Českých Budějovicích, oddíl C, vložka 638 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Republic, a.s.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14502283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CZ14502283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45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8"/>
      <w:bookmarkEnd w:id="9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ceny plnění v souladu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odst. 3.6. smlouvy na základě ročního růstu indexu spotřebitelských cen vyhlášených Českým statistickým úřadem za rok 2021.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průměrnou míru inflace v roce 2021, tj. +3,8% z 20% podílu cen úklidových služeb uvedených ve smlouvě.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odst.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služby za měsíc za základní úklid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35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dodatku č. 1 ze dne 9. 3. 2021 bez DPH</w:t>
        <w:tab/>
        <w:t>5 434,-- Kč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dodatku č. 1 ze dne 9. 3. 2021,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1 086,--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underscore" w:pos="7135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ceny o 3,8 % inflace z r. 2021</w:t>
        <w:tab/>
        <w:t>+ 41,--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35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bez DPH</w:t>
        <w:tab/>
        <w:t>5 475,--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35" w:val="left"/>
        </w:tabs>
        <w:bidi w:val="0"/>
        <w:spacing w:before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  <w:tab/>
        <w:t xml:space="preserve">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35" w:val="left"/>
        </w:tabs>
        <w:bidi w:val="0"/>
        <w:spacing w:before="0" w:after="46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včetně DPH</w:t>
        <w:tab/>
        <w:t>6 625,-- Kč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dále dohodly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ceny ve výši 5 475,--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01. 02. 2022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2 ve znění platných dodatků se nemění a zůstávají v platnosti.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23" w:lineRule="auto"/>
        <w:ind w:left="0" w:right="0" w:firstLine="74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měsíční paušální ceny smlouvy č. N-SL-2-2019 - středisko Polná - (22/112)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553" w:val="left"/>
        </w:tabs>
        <w:bidi w:val="0"/>
        <w:spacing w:before="0" w:after="1600" w:line="240" w:lineRule="auto"/>
        <w:ind w:left="0" w:right="0" w:firstLine="82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1155700</wp:posOffset>
                </wp:positionV>
                <wp:extent cx="1520825" cy="1460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08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Radim Marz, 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0.55pt;margin-top:91.pt;width:119.75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Radim Marz, 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Českých Budějovicích</w:t>
        <w:tab/>
        <w:t>V Jihlavě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152" w:left="1142" w:right="724" w:bottom="14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59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 1122/16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59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59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České Budějovice, 18.1. 2022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měsíční paušální ceny smlouvy č, N-SL-2-2019 - středisko Polná - (22/112)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40" w:line="298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odvoláním na odst. 3.6. Článku 3 smlouvy o provádění úklidových a údržbářských prací na Vašem pracovišti navyšujeme cenu smlouvy o míru inflace za rok 2021 vyhlášenou Českým statistickým úřadem ve výši 3,8 %.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smlouvy k 31.12. 2021 byla 5 434,-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20% ceny smlouvy k 31.12. 2021 je 1 086,-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ceny z r. 2021 o inflaci 3,8 % je 41,-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smlouvy navýšené o inflaci bude s účinností od 1. 2. 2022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5 475,- bez DPH.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Milan Márz</w:t>
        <w:br/>
        <w:t>jednatel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0" w:h="16840"/>
      <w:pgMar w:top="2190" w:left="1139" w:right="387" w:bottom="2190" w:header="1762" w:footer="176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90.89999999999998pt;margin-top:751.89999999999998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9505315</wp:posOffset>
              </wp:positionV>
              <wp:extent cx="657733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4500000000000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289560</wp:posOffset>
              </wp:positionV>
              <wp:extent cx="2749550" cy="21018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955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Úklidové služby pro Krajskou správu a údržbu silnic Vysočiny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- středisko Polná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9.5pt;margin-top:22.800000000000001pt;width:216.5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Úklidové služby pro Krajskou správu a údržbu silnic Vysočiny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středisko Polná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583565</wp:posOffset>
              </wp:positionV>
              <wp:extent cx="65773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45.950000000000003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tabulky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ind w:left="5600" w:hanging="17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