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68"/>
      </w:tblGrid>
      <w:tr w:rsidR="002554FE" w:rsidRPr="002554FE" w14:paraId="727DA596" w14:textId="77777777" w:rsidTr="00797EFA">
        <w:tc>
          <w:tcPr>
            <w:tcW w:w="2410" w:type="dxa"/>
          </w:tcPr>
          <w:p w14:paraId="44CB4DF7" w14:textId="77777777" w:rsidR="002554FE" w:rsidRPr="002554FE" w:rsidRDefault="002554FE" w:rsidP="00255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554F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14:paraId="467ADD03" w14:textId="5B7F19A0" w:rsidR="002554FE" w:rsidRPr="002554FE" w:rsidRDefault="002554FE" w:rsidP="002554F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2554FE">
              <w:rPr>
                <w:b/>
                <w:sz w:val="20"/>
                <w:szCs w:val="20"/>
                <w:lang w:eastAsia="cs-CZ"/>
              </w:rPr>
              <w:t>LINET spol. s r. o.</w:t>
            </w:r>
          </w:p>
        </w:tc>
      </w:tr>
      <w:tr w:rsidR="002554FE" w:rsidRPr="002554FE" w14:paraId="1C3D7380" w14:textId="77777777" w:rsidTr="00797EFA">
        <w:tc>
          <w:tcPr>
            <w:tcW w:w="2410" w:type="dxa"/>
          </w:tcPr>
          <w:p w14:paraId="5946621A" w14:textId="77777777" w:rsidR="002554FE" w:rsidRPr="002554FE" w:rsidRDefault="002554FE" w:rsidP="00255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554FE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14:paraId="7C2E6DF6" w14:textId="3606E73E" w:rsidR="002554FE" w:rsidRPr="002554FE" w:rsidRDefault="002554FE" w:rsidP="00255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554FE">
              <w:rPr>
                <w:sz w:val="20"/>
                <w:szCs w:val="20"/>
                <w:lang w:eastAsia="cs-CZ"/>
              </w:rPr>
              <w:t>00507814</w:t>
            </w:r>
          </w:p>
        </w:tc>
      </w:tr>
      <w:tr w:rsidR="002554FE" w:rsidRPr="002554FE" w14:paraId="4FAC9812" w14:textId="77777777" w:rsidTr="00797EFA">
        <w:tc>
          <w:tcPr>
            <w:tcW w:w="2410" w:type="dxa"/>
          </w:tcPr>
          <w:p w14:paraId="7C84B629" w14:textId="77777777" w:rsidR="002554FE" w:rsidRPr="002554FE" w:rsidRDefault="002554FE" w:rsidP="00255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554FE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14:paraId="0A4D39BC" w14:textId="41E20061" w:rsidR="002554FE" w:rsidRPr="002554FE" w:rsidRDefault="002554FE" w:rsidP="00255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554FE">
              <w:rPr>
                <w:sz w:val="20"/>
                <w:szCs w:val="20"/>
                <w:lang w:eastAsia="cs-CZ"/>
              </w:rPr>
              <w:t>CZ00507814</w:t>
            </w:r>
          </w:p>
        </w:tc>
      </w:tr>
      <w:tr w:rsidR="002554FE" w:rsidRPr="002554FE" w14:paraId="31169C64" w14:textId="77777777" w:rsidTr="00797EFA">
        <w:tc>
          <w:tcPr>
            <w:tcW w:w="2410" w:type="dxa"/>
          </w:tcPr>
          <w:p w14:paraId="2B52BBEA" w14:textId="77777777" w:rsidR="002554FE" w:rsidRPr="002554FE" w:rsidRDefault="002554FE" w:rsidP="00255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554FE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14:paraId="1FFFBD87" w14:textId="16354E53" w:rsidR="002554FE" w:rsidRPr="002554FE" w:rsidRDefault="002554FE" w:rsidP="00255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554FE">
              <w:rPr>
                <w:sz w:val="20"/>
                <w:szCs w:val="20"/>
                <w:lang w:eastAsia="cs-CZ"/>
              </w:rPr>
              <w:t>Želevčice 5, 274 01 Slaný</w:t>
            </w:r>
          </w:p>
        </w:tc>
      </w:tr>
      <w:tr w:rsidR="002554FE" w:rsidRPr="002554FE" w14:paraId="66FD7660" w14:textId="77777777" w:rsidTr="00797EFA">
        <w:tc>
          <w:tcPr>
            <w:tcW w:w="2410" w:type="dxa"/>
          </w:tcPr>
          <w:p w14:paraId="4B7A7295" w14:textId="77777777" w:rsidR="002554FE" w:rsidRPr="002554FE" w:rsidRDefault="002554FE" w:rsidP="00255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554FE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14:paraId="338A9832" w14:textId="160A8BC3" w:rsidR="002554FE" w:rsidRPr="002554FE" w:rsidRDefault="002554FE" w:rsidP="00255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554FE">
              <w:rPr>
                <w:sz w:val="20"/>
                <w:szCs w:val="20"/>
                <w:lang w:eastAsia="cs-CZ"/>
              </w:rPr>
              <w:t>Bc. Zdeněk Grimm, ředitel obchodu na základě plné moci</w:t>
            </w:r>
          </w:p>
        </w:tc>
      </w:tr>
      <w:tr w:rsidR="002554FE" w:rsidRPr="002554FE" w14:paraId="4681AE46" w14:textId="77777777" w:rsidTr="00797EFA">
        <w:tc>
          <w:tcPr>
            <w:tcW w:w="2410" w:type="dxa"/>
          </w:tcPr>
          <w:p w14:paraId="24B33444" w14:textId="77777777" w:rsidR="002554FE" w:rsidRPr="002554FE" w:rsidRDefault="002554FE" w:rsidP="00255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554FE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14:paraId="09E8E40E" w14:textId="2DA087DD" w:rsidR="002554FE" w:rsidRPr="002554FE" w:rsidRDefault="002554FE" w:rsidP="00255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554FE">
              <w:rPr>
                <w:sz w:val="20"/>
                <w:szCs w:val="20"/>
                <w:lang w:eastAsia="cs-CZ"/>
              </w:rPr>
              <w:t>Komerční banka a.s.</w:t>
            </w:r>
          </w:p>
        </w:tc>
      </w:tr>
      <w:tr w:rsidR="002554FE" w:rsidRPr="002554FE" w14:paraId="6E633384" w14:textId="77777777" w:rsidTr="00797EFA">
        <w:tc>
          <w:tcPr>
            <w:tcW w:w="2410" w:type="dxa"/>
          </w:tcPr>
          <w:p w14:paraId="78078E51" w14:textId="77777777" w:rsidR="002554FE" w:rsidRPr="002554FE" w:rsidRDefault="002554FE" w:rsidP="00255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554FE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14:paraId="54EB9FED" w14:textId="028902D4" w:rsidR="002554FE" w:rsidRPr="002554FE" w:rsidRDefault="002554FE" w:rsidP="00255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554FE">
              <w:rPr>
                <w:sz w:val="20"/>
                <w:szCs w:val="20"/>
                <w:lang w:eastAsia="cs-CZ"/>
              </w:rPr>
              <w:t>58242141/0100</w:t>
            </w:r>
          </w:p>
        </w:tc>
      </w:tr>
      <w:tr w:rsidR="002554FE" w:rsidRPr="00797EFA" w14:paraId="48412E58" w14:textId="77777777" w:rsidTr="00797EFA">
        <w:tc>
          <w:tcPr>
            <w:tcW w:w="9178" w:type="dxa"/>
            <w:gridSpan w:val="2"/>
          </w:tcPr>
          <w:p w14:paraId="6EBC48C9" w14:textId="641E141B" w:rsidR="002554FE" w:rsidRPr="002554FE" w:rsidRDefault="002554FE" w:rsidP="002554F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2554FE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Městského</w:t>
            </w:r>
            <w:r w:rsidRPr="002554FE">
              <w:rPr>
                <w:rFonts w:eastAsia="Times New Roman"/>
                <w:sz w:val="20"/>
                <w:szCs w:val="20"/>
                <w:lang w:eastAsia="cs-CZ"/>
              </w:rPr>
              <w:t xml:space="preserve"> soudu v 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2554FE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C</w:t>
            </w:r>
            <w:r w:rsidRPr="002554FE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163</w:t>
            </w:r>
          </w:p>
        </w:tc>
      </w:tr>
    </w:tbl>
    <w:p w14:paraId="25A2BA5C" w14:textId="77777777" w:rsidR="00056F49" w:rsidRPr="00F378EB" w:rsidRDefault="00056F49" w:rsidP="00AB5999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FE319CB" w14:textId="77777777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46618E49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79C6502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35DBB314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4871C654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4FD269F8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563826AF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4330EE60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4735BACE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734C5A2F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532CA5C0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72DF8725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045092D4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21D7036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E668D00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F3C1A7C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675F4387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9719209" w14:textId="299D9A05" w:rsidR="00056F49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2FF71EFF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66CF833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0D7A9505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32B3A826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14690A6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7B27F7C8" w14:textId="695A2F41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5C6DF8" w:rsidRPr="005C6DF8">
        <w:rPr>
          <w:rFonts w:ascii="Verdana" w:hAnsi="Verdana"/>
          <w:sz w:val="20"/>
          <w:lang w:eastAsia="cs-CZ"/>
        </w:rPr>
        <w:t xml:space="preserve">zařízení </w:t>
      </w:r>
      <w:r w:rsidR="00142830">
        <w:rPr>
          <w:rFonts w:ascii="Verdana" w:hAnsi="Verdana"/>
          <w:sz w:val="20"/>
          <w:lang w:eastAsia="cs-CZ"/>
        </w:rPr>
        <w:t xml:space="preserve">1 kus stretcheru Sprint 100 s matrací Standard a příslušenstvím </w:t>
      </w:r>
      <w:r w:rsidR="005C6DF8" w:rsidRPr="005C6DF8">
        <w:rPr>
          <w:rFonts w:ascii="Verdana" w:hAnsi="Verdana"/>
          <w:sz w:val="20"/>
          <w:lang w:eastAsia="cs-CZ"/>
        </w:rPr>
        <w:t xml:space="preserve">(dále jen </w:t>
      </w:r>
      <w:r w:rsidR="005C6DF8" w:rsidRPr="002554FE">
        <w:rPr>
          <w:rFonts w:ascii="Verdana" w:hAnsi="Verdana"/>
          <w:sz w:val="20"/>
          <w:lang w:eastAsia="cs-CZ"/>
        </w:rPr>
        <w:t>jako „zařízení“).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4759BECC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58F97DC9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lastRenderedPageBreak/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765B7483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2D91C665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C74CD75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37FAE742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2F869C14" w14:textId="77777777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„Rozvoj a modernizace Oblastní nemocnice Mladá Boleslav, a.s. lůžka včetně příslušenství“</w:t>
      </w:r>
      <w:r>
        <w:rPr>
          <w:rFonts w:ascii="Verdana" w:hAnsi="Verdana"/>
          <w:sz w:val="20"/>
          <w:lang w:eastAsia="cs-CZ"/>
        </w:rPr>
        <w:t xml:space="preserve"> 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46AFF047" w14:textId="4C8FE851" w:rsidR="00056F49" w:rsidRPr="00142830" w:rsidRDefault="006C2178" w:rsidP="00056F4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5F5E148F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37478D36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4F013399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7C254C65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3DF0BA66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572BB0B2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42268E1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>přepravu, dopravu, likvidaci obalů a odpadu.</w:t>
      </w:r>
    </w:p>
    <w:p w14:paraId="5C267BC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817C3D">
        <w:rPr>
          <w:rFonts w:ascii="Verdana" w:hAnsi="Verdana"/>
          <w:b/>
          <w:sz w:val="20"/>
          <w:lang w:eastAsia="cs-CZ"/>
        </w:rPr>
        <w:t>sídlo objednatele</w:t>
      </w:r>
      <w:r w:rsidR="00817C3D">
        <w:rPr>
          <w:rFonts w:ascii="Verdana" w:hAnsi="Verdana"/>
          <w:sz w:val="20"/>
          <w:lang w:eastAsia="cs-CZ"/>
        </w:rPr>
        <w:t>.</w:t>
      </w:r>
    </w:p>
    <w:p w14:paraId="4B6820B8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74BC03FD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BF1F63F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3C80BA1C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4BDF2BC4" w14:textId="551B3C80" w:rsidR="00056F49" w:rsidRPr="00142830" w:rsidRDefault="001E7D85" w:rsidP="00056F4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48032F6B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3D3EF02A" w14:textId="55328A7F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2554FE">
        <w:rPr>
          <w:rFonts w:ascii="Verdana" w:hAnsi="Verdana"/>
          <w:sz w:val="20"/>
          <w:lang w:eastAsia="cs-CZ"/>
        </w:rPr>
        <w:t xml:space="preserve"> </w:t>
      </w:r>
      <w:r w:rsidR="00142830">
        <w:rPr>
          <w:rFonts w:ascii="Verdana" w:hAnsi="Verdana"/>
          <w:sz w:val="20"/>
          <w:lang w:eastAsia="cs-CZ"/>
        </w:rPr>
        <w:t>514</w:t>
      </w:r>
      <w:r w:rsidR="00362E04">
        <w:rPr>
          <w:rFonts w:ascii="Verdana" w:hAnsi="Verdana"/>
          <w:sz w:val="20"/>
          <w:lang w:eastAsia="cs-CZ"/>
        </w:rPr>
        <w:t>,-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3290625C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81A3ADC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5151092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2CD8E0FB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173BBF6C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6A2B5B96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1C658307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7D606ED8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6155CB21" w14:textId="54461650" w:rsidR="00056F49" w:rsidRPr="00142830" w:rsidRDefault="006B556A" w:rsidP="00056F49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</w:t>
      </w:r>
      <w:r w:rsidRPr="006B556A">
        <w:rPr>
          <w:rFonts w:ascii="Verdana" w:hAnsi="Verdana"/>
          <w:sz w:val="20"/>
          <w:lang w:eastAsia="cs-CZ"/>
        </w:rPr>
        <w:lastRenderedPageBreak/>
        <w:t xml:space="preserve">fakturované platby zadržet daň z přidané hodnoty a </w:t>
      </w:r>
      <w:r w:rsidR="002554FE" w:rsidRPr="006B556A">
        <w:rPr>
          <w:rFonts w:ascii="Verdana" w:hAnsi="Verdana"/>
          <w:sz w:val="20"/>
          <w:lang w:eastAsia="cs-CZ"/>
        </w:rPr>
        <w:t>tuto,</w:t>
      </w:r>
      <w:r w:rsidRPr="006B556A">
        <w:rPr>
          <w:rFonts w:ascii="Verdana" w:hAnsi="Verdana"/>
          <w:sz w:val="20"/>
          <w:lang w:eastAsia="cs-CZ"/>
        </w:rPr>
        <w:t xml:space="preserve">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67EA1A07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1AF57741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55ECC3F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7727B6C5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499B990E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714B80BB" w14:textId="5174CC1F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</w:t>
      </w:r>
      <w:r w:rsidR="002554FE" w:rsidRPr="00C04E91">
        <w:rPr>
          <w:rFonts w:ascii="Verdana" w:hAnsi="Verdana"/>
          <w:sz w:val="20"/>
          <w:lang w:eastAsia="cs-CZ"/>
        </w:rPr>
        <w:t>jevy – přepětí</w:t>
      </w:r>
      <w:r w:rsidR="00C04E91" w:rsidRPr="00C04E91">
        <w:rPr>
          <w:rFonts w:ascii="Verdana" w:hAnsi="Verdana"/>
          <w:sz w:val="20"/>
          <w:lang w:eastAsia="cs-CZ"/>
        </w:rPr>
        <w:t xml:space="preserve">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78966D2F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28122CD3" w14:textId="0E8F46D9" w:rsidR="00056F49" w:rsidRPr="00142830" w:rsidRDefault="00C7603D" w:rsidP="00056F4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7696B794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F0D926B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16B6CAD8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7D908E3E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2DADCF32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7FF26F93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4390EC82" w14:textId="19CBA694" w:rsidR="00056F49" w:rsidRPr="00056F49" w:rsidRDefault="003656C9" w:rsidP="00056F4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6DF709AC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93B1068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29F1489D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287B78EB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23DA8698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116A4A0A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35A72CC9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696DFBF9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3B68814F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33358539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2744A729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FCDA65D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5F7408C9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01820068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4F9E26A5" w14:textId="0BCC2A60" w:rsidR="00056F49" w:rsidRPr="00142830" w:rsidRDefault="00582B37" w:rsidP="00056F49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51C0A994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673670CC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2E9240BD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3BCA6B73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5F88FDF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258472E8" w14:textId="55DE6C2D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66681F">
        <w:rPr>
          <w:rFonts w:ascii="Verdana" w:hAnsi="Verdana"/>
          <w:sz w:val="20"/>
          <w:lang w:eastAsia="cs-CZ"/>
        </w:rPr>
        <w:t>xxxx</w:t>
      </w:r>
    </w:p>
    <w:p w14:paraId="6538F742" w14:textId="30DF98D4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66681F">
        <w:rPr>
          <w:rFonts w:ascii="Verdana" w:hAnsi="Verdana"/>
          <w:sz w:val="20"/>
          <w:lang w:eastAsia="cs-CZ"/>
        </w:rPr>
        <w:t>xxxx</w:t>
      </w:r>
    </w:p>
    <w:p w14:paraId="55729C08" w14:textId="556B86C1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66681F">
        <w:rPr>
          <w:rFonts w:ascii="Verdana" w:hAnsi="Verdana"/>
          <w:sz w:val="20"/>
          <w:lang w:eastAsia="cs-CZ"/>
        </w:rPr>
        <w:t>xxxx</w:t>
      </w:r>
    </w:p>
    <w:p w14:paraId="28D8BED1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2C675096" w14:textId="30C3B778" w:rsidR="002554FE" w:rsidRPr="008F56E8" w:rsidRDefault="00B162FF" w:rsidP="002554FE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056F49">
        <w:rPr>
          <w:rFonts w:ascii="Verdana" w:hAnsi="Verdana"/>
          <w:sz w:val="20"/>
          <w:lang w:eastAsia="cs-CZ"/>
        </w:rPr>
        <w:t>Jméno a příjmení:</w:t>
      </w:r>
      <w:r w:rsidRPr="00056F49">
        <w:rPr>
          <w:rFonts w:ascii="Verdana" w:hAnsi="Verdana"/>
          <w:sz w:val="20"/>
          <w:lang w:eastAsia="cs-CZ"/>
        </w:rPr>
        <w:tab/>
      </w:r>
      <w:r w:rsidR="0066681F">
        <w:rPr>
          <w:rFonts w:ascii="Verdana" w:hAnsi="Verdana"/>
          <w:sz w:val="20"/>
          <w:lang w:eastAsia="cs-CZ"/>
        </w:rPr>
        <w:t>xxxx</w:t>
      </w:r>
    </w:p>
    <w:p w14:paraId="128B65D5" w14:textId="4AA6550C" w:rsidR="002554FE" w:rsidRPr="008F56E8" w:rsidRDefault="002554FE" w:rsidP="002554FE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F56E8">
        <w:rPr>
          <w:rFonts w:ascii="Verdana" w:hAnsi="Verdana"/>
          <w:sz w:val="20"/>
          <w:lang w:eastAsia="cs-CZ"/>
        </w:rPr>
        <w:t>tel:</w:t>
      </w:r>
      <w:r w:rsidRPr="008F56E8">
        <w:rPr>
          <w:rFonts w:ascii="Verdana" w:hAnsi="Verdana"/>
          <w:sz w:val="20"/>
          <w:lang w:eastAsia="cs-CZ"/>
        </w:rPr>
        <w:tab/>
      </w:r>
      <w:r w:rsidRPr="008F56E8">
        <w:rPr>
          <w:rFonts w:ascii="Verdana" w:hAnsi="Verdana"/>
          <w:sz w:val="20"/>
          <w:lang w:eastAsia="cs-CZ"/>
        </w:rPr>
        <w:tab/>
      </w:r>
      <w:r w:rsidRPr="008F56E8">
        <w:rPr>
          <w:rFonts w:ascii="Verdana" w:hAnsi="Verdana"/>
          <w:sz w:val="20"/>
          <w:lang w:eastAsia="cs-CZ"/>
        </w:rPr>
        <w:tab/>
      </w:r>
      <w:r w:rsidR="0066681F">
        <w:rPr>
          <w:rFonts w:ascii="Verdana" w:hAnsi="Verdana"/>
          <w:sz w:val="20"/>
          <w:lang w:eastAsia="cs-CZ"/>
        </w:rPr>
        <w:t>xxxx</w:t>
      </w:r>
    </w:p>
    <w:p w14:paraId="1E1D1E96" w14:textId="3E50CEAA" w:rsidR="00B162FF" w:rsidRPr="00142830" w:rsidRDefault="002554FE" w:rsidP="0014283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F56E8">
        <w:rPr>
          <w:rFonts w:ascii="Verdana" w:hAnsi="Verdana"/>
          <w:sz w:val="20"/>
          <w:lang w:eastAsia="cs-CZ"/>
        </w:rPr>
        <w:lastRenderedPageBreak/>
        <w:t>email:</w:t>
      </w:r>
      <w:r w:rsidRPr="008F56E8">
        <w:rPr>
          <w:rFonts w:ascii="Verdana" w:hAnsi="Verdana"/>
          <w:sz w:val="20"/>
          <w:lang w:eastAsia="cs-CZ"/>
        </w:rPr>
        <w:tab/>
      </w:r>
      <w:r w:rsidRPr="008F56E8">
        <w:rPr>
          <w:rFonts w:ascii="Verdana" w:hAnsi="Verdana"/>
          <w:sz w:val="20"/>
          <w:lang w:eastAsia="cs-CZ"/>
        </w:rPr>
        <w:tab/>
      </w:r>
      <w:r w:rsidRPr="008F56E8">
        <w:rPr>
          <w:rFonts w:ascii="Verdana" w:hAnsi="Verdana"/>
          <w:sz w:val="20"/>
          <w:lang w:eastAsia="cs-CZ"/>
        </w:rPr>
        <w:tab/>
      </w:r>
      <w:r w:rsidR="0066681F">
        <w:rPr>
          <w:rFonts w:ascii="Verdana" w:hAnsi="Verdana"/>
          <w:sz w:val="20"/>
          <w:lang w:eastAsia="cs-CZ"/>
        </w:rPr>
        <w:t>xxxx</w:t>
      </w:r>
    </w:p>
    <w:p w14:paraId="5EA8AAEB" w14:textId="2AEDF5C9" w:rsidR="00056F49" w:rsidRPr="00142830" w:rsidRDefault="00496927" w:rsidP="00056F4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4ED86D40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5FE40F68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4B2FFCD8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0B03D22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2CA2A473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768B87A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61E0BEA7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05FEFF89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696C595F" w14:textId="58768F7D" w:rsidR="00056F49" w:rsidRPr="00142830" w:rsidRDefault="00496927" w:rsidP="00056F49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001AA6E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7AF3EFDC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56F49" w:rsidRPr="00F334B9" w14:paraId="4BA0BE7A" w14:textId="77777777" w:rsidTr="00797EFA">
        <w:trPr>
          <w:jc w:val="center"/>
        </w:trPr>
        <w:tc>
          <w:tcPr>
            <w:tcW w:w="4606" w:type="dxa"/>
          </w:tcPr>
          <w:p w14:paraId="7B45CA12" w14:textId="220726B8" w:rsidR="00056F49" w:rsidRPr="00F334B9" w:rsidRDefault="00056F49" w:rsidP="00056F4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 </w:t>
            </w:r>
            <w:r>
              <w:rPr>
                <w:sz w:val="20"/>
                <w:szCs w:val="20"/>
                <w:lang w:eastAsia="cs-CZ"/>
              </w:rPr>
              <w:t>Želevčicích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3F661E2F" w14:textId="77777777" w:rsidR="00056F49" w:rsidRPr="00F334B9" w:rsidRDefault="00056F49" w:rsidP="00056F4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056F49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056F49" w:rsidRPr="00F334B9" w14:paraId="4C3ED05B" w14:textId="77777777" w:rsidTr="00797EFA">
        <w:trPr>
          <w:trHeight w:val="120"/>
          <w:jc w:val="center"/>
        </w:trPr>
        <w:tc>
          <w:tcPr>
            <w:tcW w:w="4606" w:type="dxa"/>
          </w:tcPr>
          <w:p w14:paraId="07652B07" w14:textId="77777777" w:rsidR="00056F49" w:rsidRPr="00882036" w:rsidRDefault="00056F49" w:rsidP="00056F4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CB76022" w14:textId="77777777" w:rsidR="00056F49" w:rsidRPr="00882036" w:rsidRDefault="00056F49" w:rsidP="00056F4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1EF9EA3" w14:textId="77777777" w:rsidR="00056F49" w:rsidRPr="00882036" w:rsidRDefault="00056F49" w:rsidP="00056F4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0A5CC74" w14:textId="77777777" w:rsidR="00056F49" w:rsidRDefault="00056F49" w:rsidP="00056F49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3A12DB8" w14:textId="77777777" w:rsidR="00056F49" w:rsidRDefault="00056F49" w:rsidP="00056F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LINET spol. s r.o.</w:t>
            </w:r>
          </w:p>
          <w:p w14:paraId="1963D2CC" w14:textId="77777777" w:rsidR="00056F49" w:rsidRPr="008F56E8" w:rsidRDefault="00056F49" w:rsidP="00056F4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8F56E8">
              <w:rPr>
                <w:bCs/>
                <w:sz w:val="20"/>
                <w:szCs w:val="20"/>
                <w:lang w:eastAsia="cs-CZ"/>
              </w:rPr>
              <w:t>Bc. Zdeněk Grimm</w:t>
            </w:r>
          </w:p>
          <w:p w14:paraId="259AA59E" w14:textId="77777777" w:rsidR="00056F49" w:rsidRPr="008F56E8" w:rsidRDefault="00056F49" w:rsidP="00056F4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8F56E8">
              <w:rPr>
                <w:bCs/>
                <w:sz w:val="20"/>
                <w:szCs w:val="20"/>
                <w:lang w:eastAsia="cs-CZ"/>
              </w:rPr>
              <w:t>ředitel obchodu ČR</w:t>
            </w:r>
          </w:p>
          <w:p w14:paraId="4ACEC6A7" w14:textId="38D05925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F56E8">
              <w:rPr>
                <w:bCs/>
                <w:sz w:val="20"/>
                <w:szCs w:val="20"/>
                <w:lang w:eastAsia="cs-CZ"/>
              </w:rPr>
              <w:t>na základě plné moci</w:t>
            </w:r>
          </w:p>
        </w:tc>
        <w:tc>
          <w:tcPr>
            <w:tcW w:w="4606" w:type="dxa"/>
          </w:tcPr>
          <w:p w14:paraId="378A2D4D" w14:textId="77777777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AF8BEC2" w14:textId="77777777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3BB05DF" w14:textId="77777777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DD1D57" w14:textId="77777777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5BB90EF" w14:textId="77777777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7B40442" w14:textId="77777777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70140CE0" w14:textId="77777777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056F49" w:rsidRPr="0016146E" w14:paraId="2F659431" w14:textId="77777777" w:rsidTr="00797EFA">
        <w:trPr>
          <w:trHeight w:val="120"/>
          <w:jc w:val="center"/>
        </w:trPr>
        <w:tc>
          <w:tcPr>
            <w:tcW w:w="4606" w:type="dxa"/>
          </w:tcPr>
          <w:p w14:paraId="20CC0AF4" w14:textId="77777777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4ECCE897" w14:textId="77777777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0F06D1" w14:textId="77777777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38580E0" w14:textId="77777777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3AE0271" w14:textId="77777777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5A086A3" w14:textId="77777777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A59F009" w14:textId="77777777" w:rsidR="00056F49" w:rsidRPr="00F334B9" w:rsidRDefault="00056F49" w:rsidP="00056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075A546D" w14:textId="77777777" w:rsidR="00056F49" w:rsidRPr="0016146E" w:rsidRDefault="00056F49" w:rsidP="00056F4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66F2F749" w14:textId="77777777" w:rsidR="00A57AC6" w:rsidRDefault="00A57AC6" w:rsidP="00142830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0F03" w14:textId="77777777" w:rsidR="000B64B9" w:rsidRDefault="000B64B9">
      <w:r>
        <w:separator/>
      </w:r>
    </w:p>
  </w:endnote>
  <w:endnote w:type="continuationSeparator" w:id="0">
    <w:p w14:paraId="6BECCD9D" w14:textId="77777777" w:rsidR="000B64B9" w:rsidRDefault="000B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2184" w14:textId="77777777" w:rsidR="00496927" w:rsidRDefault="0049692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30D2A5" w14:textId="77777777" w:rsidR="00496927" w:rsidRDefault="00496927" w:rsidP="00A57CF7">
    <w:pPr>
      <w:pStyle w:val="Zpat"/>
      <w:ind w:right="360"/>
    </w:pPr>
  </w:p>
  <w:p w14:paraId="680DC9FF" w14:textId="77777777" w:rsidR="00496927" w:rsidRDefault="00496927"/>
  <w:p w14:paraId="740B3578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1B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 w:rsidR="00640FD3"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66681F">
      <w:fldChar w:fldCharType="begin"/>
    </w:r>
    <w:r w:rsidR="0066681F">
      <w:instrText xml:space="preserve"> NUMPAGES  \* Arabic  \* MERGEFORMAT </w:instrText>
    </w:r>
    <w:r w:rsidR="0066681F">
      <w:fldChar w:fldCharType="separate"/>
    </w:r>
    <w:r w:rsidR="00640FD3" w:rsidRPr="00640FD3">
      <w:rPr>
        <w:rStyle w:val="slostrnky"/>
        <w:noProof/>
        <w:sz w:val="18"/>
        <w:szCs w:val="18"/>
      </w:rPr>
      <w:t>6</w:t>
    </w:r>
    <w:r w:rsidR="0066681F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2F069D83" w14:textId="16E9B40C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228B060" wp14:editId="5E031DBA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272F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8985405" wp14:editId="7AC5F234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F8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8A9E" w14:textId="77777777" w:rsidR="000B64B9" w:rsidRDefault="000B64B9">
      <w:r>
        <w:separator/>
      </w:r>
    </w:p>
  </w:footnote>
  <w:footnote w:type="continuationSeparator" w:id="0">
    <w:p w14:paraId="6A3B5DFD" w14:textId="77777777" w:rsidR="000B64B9" w:rsidRDefault="000B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27EB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68D5494" wp14:editId="16F26F0F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6D9B5C40" wp14:editId="7C2F003A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B42DC0" w14:textId="77777777" w:rsidR="00496927" w:rsidRDefault="00496927"/>
  <w:p w14:paraId="754BEE3F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7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8"/>
  </w:num>
  <w:num w:numId="17">
    <w:abstractNumId w:val="16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22"/>
  </w:num>
  <w:num w:numId="23">
    <w:abstractNumId w:val="21"/>
  </w:num>
  <w:num w:numId="24">
    <w:abstractNumId w:val="20"/>
  </w:num>
  <w:num w:numId="25">
    <w:abstractNumId w:val="14"/>
  </w:num>
  <w:num w:numId="26">
    <w:abstractNumId w:val="14"/>
  </w:num>
  <w:num w:numId="27">
    <w:abstractNumId w:val="14"/>
  </w:num>
  <w:num w:numId="28">
    <w:abstractNumId w:val="11"/>
  </w:num>
  <w:num w:numId="29">
    <w:abstractNumId w:val="19"/>
  </w:num>
  <w:num w:numId="30">
    <w:abstractNumId w:val="10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5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56F49"/>
    <w:rsid w:val="00060BEF"/>
    <w:rsid w:val="0007127C"/>
    <w:rsid w:val="0008675B"/>
    <w:rsid w:val="000931CF"/>
    <w:rsid w:val="000970D6"/>
    <w:rsid w:val="000A3E73"/>
    <w:rsid w:val="000A49D5"/>
    <w:rsid w:val="000B1196"/>
    <w:rsid w:val="000B188A"/>
    <w:rsid w:val="000B4463"/>
    <w:rsid w:val="000B64B9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2830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A049E"/>
    <w:rsid w:val="001A4C80"/>
    <w:rsid w:val="001B65FE"/>
    <w:rsid w:val="001C0964"/>
    <w:rsid w:val="001E0551"/>
    <w:rsid w:val="001E49CD"/>
    <w:rsid w:val="001E7D85"/>
    <w:rsid w:val="001F08F4"/>
    <w:rsid w:val="001F0FC9"/>
    <w:rsid w:val="00201642"/>
    <w:rsid w:val="00205C95"/>
    <w:rsid w:val="0021114D"/>
    <w:rsid w:val="0021272F"/>
    <w:rsid w:val="0021485A"/>
    <w:rsid w:val="00215C5A"/>
    <w:rsid w:val="00216062"/>
    <w:rsid w:val="00224C59"/>
    <w:rsid w:val="002269F7"/>
    <w:rsid w:val="00236C81"/>
    <w:rsid w:val="0024026F"/>
    <w:rsid w:val="002416DF"/>
    <w:rsid w:val="00251AB1"/>
    <w:rsid w:val="0025211B"/>
    <w:rsid w:val="002554FE"/>
    <w:rsid w:val="0026484B"/>
    <w:rsid w:val="00266895"/>
    <w:rsid w:val="00266B68"/>
    <w:rsid w:val="0026761F"/>
    <w:rsid w:val="002801D5"/>
    <w:rsid w:val="00282B6F"/>
    <w:rsid w:val="00284C41"/>
    <w:rsid w:val="00296858"/>
    <w:rsid w:val="002B5AA8"/>
    <w:rsid w:val="002B7AC2"/>
    <w:rsid w:val="002C1A09"/>
    <w:rsid w:val="002C7744"/>
    <w:rsid w:val="002C7F1E"/>
    <w:rsid w:val="002D58E7"/>
    <w:rsid w:val="002E37B0"/>
    <w:rsid w:val="002F274A"/>
    <w:rsid w:val="0030346A"/>
    <w:rsid w:val="003101C8"/>
    <w:rsid w:val="0031047A"/>
    <w:rsid w:val="00310AA3"/>
    <w:rsid w:val="003113D3"/>
    <w:rsid w:val="0031755C"/>
    <w:rsid w:val="00317851"/>
    <w:rsid w:val="00320EE9"/>
    <w:rsid w:val="003319C2"/>
    <w:rsid w:val="00335A6B"/>
    <w:rsid w:val="00336529"/>
    <w:rsid w:val="00342C52"/>
    <w:rsid w:val="003559F0"/>
    <w:rsid w:val="00362A5B"/>
    <w:rsid w:val="00362E04"/>
    <w:rsid w:val="00364F1E"/>
    <w:rsid w:val="003656C9"/>
    <w:rsid w:val="00375F1F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15B20"/>
    <w:rsid w:val="00426974"/>
    <w:rsid w:val="00434835"/>
    <w:rsid w:val="00440036"/>
    <w:rsid w:val="00443C86"/>
    <w:rsid w:val="00453D66"/>
    <w:rsid w:val="004544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A1A73"/>
    <w:rsid w:val="005A5998"/>
    <w:rsid w:val="005A70E1"/>
    <w:rsid w:val="005B702E"/>
    <w:rsid w:val="005C03CA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6681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7E44"/>
    <w:rsid w:val="007D0972"/>
    <w:rsid w:val="007D7359"/>
    <w:rsid w:val="007E43D8"/>
    <w:rsid w:val="007F5D1D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5B6C"/>
    <w:rsid w:val="00AF0DDD"/>
    <w:rsid w:val="00AF7591"/>
    <w:rsid w:val="00B007F7"/>
    <w:rsid w:val="00B0382B"/>
    <w:rsid w:val="00B04F14"/>
    <w:rsid w:val="00B162FF"/>
    <w:rsid w:val="00B2028F"/>
    <w:rsid w:val="00B32A18"/>
    <w:rsid w:val="00B354AD"/>
    <w:rsid w:val="00B36A3F"/>
    <w:rsid w:val="00B504B0"/>
    <w:rsid w:val="00B5511A"/>
    <w:rsid w:val="00B61A21"/>
    <w:rsid w:val="00B63188"/>
    <w:rsid w:val="00B65EB9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D0687"/>
    <w:rsid w:val="00BD4A63"/>
    <w:rsid w:val="00BE09F9"/>
    <w:rsid w:val="00BE3C72"/>
    <w:rsid w:val="00BF1136"/>
    <w:rsid w:val="00BF2F7D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1988"/>
    <w:rsid w:val="00CA4E08"/>
    <w:rsid w:val="00CB0F3D"/>
    <w:rsid w:val="00CB268A"/>
    <w:rsid w:val="00CB63DD"/>
    <w:rsid w:val="00CC3BEB"/>
    <w:rsid w:val="00CD6739"/>
    <w:rsid w:val="00CE561B"/>
    <w:rsid w:val="00CE6C49"/>
    <w:rsid w:val="00CF2F26"/>
    <w:rsid w:val="00CF597B"/>
    <w:rsid w:val="00CF6DF4"/>
    <w:rsid w:val="00D049EB"/>
    <w:rsid w:val="00D04C54"/>
    <w:rsid w:val="00D11CFD"/>
    <w:rsid w:val="00D13F38"/>
    <w:rsid w:val="00D14B78"/>
    <w:rsid w:val="00D1615F"/>
    <w:rsid w:val="00D22DCE"/>
    <w:rsid w:val="00D3138C"/>
    <w:rsid w:val="00D31870"/>
    <w:rsid w:val="00D32194"/>
    <w:rsid w:val="00D3262F"/>
    <w:rsid w:val="00D402E0"/>
    <w:rsid w:val="00D44964"/>
    <w:rsid w:val="00D547BB"/>
    <w:rsid w:val="00DA3039"/>
    <w:rsid w:val="00DB44C2"/>
    <w:rsid w:val="00DC0E87"/>
    <w:rsid w:val="00DC3250"/>
    <w:rsid w:val="00DC4184"/>
    <w:rsid w:val="00DE3DAD"/>
    <w:rsid w:val="00DE58FD"/>
    <w:rsid w:val="00DF1F28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7518C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04D"/>
    <w:rsid w:val="00F96161"/>
    <w:rsid w:val="00F97900"/>
    <w:rsid w:val="00FA3172"/>
    <w:rsid w:val="00FB40D5"/>
    <w:rsid w:val="00FC4067"/>
    <w:rsid w:val="00FD184B"/>
    <w:rsid w:val="00FD47BE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2626AA0"/>
  <w15:docId w15:val="{931F5995-2D25-47AE-B4EA-173E1161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1B07-1EDC-4626-B5F0-C74B04E6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2357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4</cp:revision>
  <cp:lastPrinted>2021-12-22T15:05:00Z</cp:lastPrinted>
  <dcterms:created xsi:type="dcterms:W3CDTF">2021-12-22T14:13:00Z</dcterms:created>
  <dcterms:modified xsi:type="dcterms:W3CDTF">2022-02-09T10:24:00Z</dcterms:modified>
</cp:coreProperties>
</file>