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AF5BC" w14:textId="3C6F049B" w:rsidR="00FE587C" w:rsidRDefault="00FE587C" w:rsidP="00FE587C">
      <w:r>
        <w:t>Smluvní strany</w:t>
      </w:r>
    </w:p>
    <w:p w14:paraId="0A10817C" w14:textId="77777777" w:rsidR="00F15CB4" w:rsidRDefault="00F15CB4" w:rsidP="00FE587C"/>
    <w:p w14:paraId="7A520C87" w14:textId="77777777" w:rsidR="00FE587C" w:rsidRDefault="00FE587C" w:rsidP="00FE587C">
      <w:r>
        <w:t xml:space="preserve">Název: </w:t>
      </w:r>
      <w:r>
        <w:tab/>
      </w:r>
      <w:r>
        <w:tab/>
      </w:r>
      <w:r>
        <w:tab/>
      </w:r>
      <w:r w:rsidRPr="008F2E3A">
        <w:rPr>
          <w:b/>
        </w:rPr>
        <w:t>MECAS ESI s.r.o.</w:t>
      </w:r>
    </w:p>
    <w:p w14:paraId="38B79213" w14:textId="77777777" w:rsidR="00FE587C" w:rsidRDefault="00FE587C" w:rsidP="00FE587C">
      <w:r>
        <w:t>Se sídlem:</w:t>
      </w:r>
      <w:r>
        <w:tab/>
      </w:r>
      <w:r>
        <w:tab/>
        <w:t>Brojova 2113/16, Východní předměstí, 326 00 Plzeň</w:t>
      </w:r>
    </w:p>
    <w:p w14:paraId="756BC6A1" w14:textId="77777777" w:rsidR="00FE587C" w:rsidRDefault="00FE587C" w:rsidP="00FE587C">
      <w:r>
        <w:t>IČ:</w:t>
      </w:r>
      <w:r>
        <w:tab/>
      </w:r>
      <w:r>
        <w:tab/>
      </w:r>
      <w:r>
        <w:tab/>
        <w:t>61778966</w:t>
      </w:r>
    </w:p>
    <w:p w14:paraId="42B005A0" w14:textId="77777777" w:rsidR="00FE587C" w:rsidRDefault="00FE587C" w:rsidP="00FE587C">
      <w:r>
        <w:t>DIČ:</w:t>
      </w:r>
      <w:r>
        <w:tab/>
      </w:r>
      <w:r>
        <w:tab/>
      </w:r>
      <w:r>
        <w:tab/>
        <w:t>CZ61778966</w:t>
      </w:r>
    </w:p>
    <w:p w14:paraId="75D49DC5" w14:textId="77777777" w:rsidR="00FE587C" w:rsidRDefault="00FE587C" w:rsidP="00FE587C">
      <w:r>
        <w:t>Bankovní spojení:</w:t>
      </w:r>
      <w:r>
        <w:tab/>
        <w:t>Československá obchodní banka a.s., Americká 60, 305 55 Plzeň</w:t>
      </w:r>
    </w:p>
    <w:p w14:paraId="78B575D1" w14:textId="12D02A3C" w:rsidR="00FE587C" w:rsidRDefault="00FE587C" w:rsidP="00FE587C">
      <w:r>
        <w:t xml:space="preserve">Č. účtu: </w:t>
      </w:r>
      <w:r>
        <w:tab/>
      </w:r>
      <w:r>
        <w:tab/>
      </w:r>
      <w:r w:rsidR="000E4FA7">
        <w:tab/>
      </w:r>
      <w:r>
        <w:t>277457935/0300</w:t>
      </w:r>
    </w:p>
    <w:p w14:paraId="6475B874" w14:textId="77777777" w:rsidR="00FE587C" w:rsidRDefault="00FE587C" w:rsidP="00FE587C">
      <w:r>
        <w:t xml:space="preserve">Zastoupena: </w:t>
      </w:r>
      <w:r>
        <w:tab/>
      </w:r>
      <w:r>
        <w:tab/>
        <w:t>Dr. Ing. Karlem Luňáčkem, jednatelem</w:t>
      </w:r>
    </w:p>
    <w:p w14:paraId="133218C7" w14:textId="77777777" w:rsidR="00FE587C" w:rsidRDefault="00FE587C" w:rsidP="00FE587C">
      <w:r>
        <w:t>Zapsána v obchodním rejstříku vedeném Krajským soudem v Plzni, oddíl C, vložka 5947</w:t>
      </w:r>
    </w:p>
    <w:p w14:paraId="03ED4D95" w14:textId="77777777" w:rsidR="00FE587C" w:rsidRDefault="00FE587C" w:rsidP="00FE587C">
      <w:r>
        <w:t>(dále jen „Příjemce“ nebo „MECAS ESI“)</w:t>
      </w:r>
    </w:p>
    <w:p w14:paraId="41C604F3" w14:textId="77777777" w:rsidR="00FE587C" w:rsidRDefault="00FE587C" w:rsidP="00FE587C"/>
    <w:p w14:paraId="64B8C47A" w14:textId="77777777" w:rsidR="00FE587C" w:rsidRDefault="00FE587C" w:rsidP="00FE587C">
      <w:r>
        <w:t>a</w:t>
      </w:r>
    </w:p>
    <w:p w14:paraId="1F56733C" w14:textId="77777777" w:rsidR="00FE587C" w:rsidRDefault="00FE587C" w:rsidP="00FE587C"/>
    <w:p w14:paraId="528F8263" w14:textId="65A06146" w:rsidR="00FE587C" w:rsidRDefault="00FE587C" w:rsidP="00FE587C">
      <w:r>
        <w:t xml:space="preserve">Název: </w:t>
      </w:r>
      <w:r>
        <w:tab/>
      </w:r>
      <w:r>
        <w:tab/>
      </w:r>
      <w:r>
        <w:tab/>
      </w:r>
      <w:r w:rsidR="00DD6AE7">
        <w:t>České vysoké učení technické v Praze</w:t>
      </w:r>
    </w:p>
    <w:p w14:paraId="6689F5A4" w14:textId="5D03C062" w:rsidR="00FE587C" w:rsidRDefault="00FE587C" w:rsidP="00FE587C">
      <w:r>
        <w:t>Se sídlem:</w:t>
      </w:r>
      <w:r>
        <w:tab/>
      </w:r>
      <w:r>
        <w:tab/>
      </w:r>
      <w:r w:rsidR="00DD6AE7">
        <w:t>Jugoslávských partyzánů 1580/3</w:t>
      </w:r>
      <w:r>
        <w:t>, 1</w:t>
      </w:r>
      <w:r w:rsidR="00DD6AE7">
        <w:t>60</w:t>
      </w:r>
      <w:r>
        <w:t xml:space="preserve"> 00 Praha </w:t>
      </w:r>
      <w:r w:rsidR="00DD6AE7">
        <w:t>6</w:t>
      </w:r>
    </w:p>
    <w:p w14:paraId="55A18113" w14:textId="2D35E831" w:rsidR="00FE587C" w:rsidRDefault="00FE587C" w:rsidP="00FE587C">
      <w:r>
        <w:t>IČ:</w:t>
      </w:r>
      <w:r>
        <w:tab/>
      </w:r>
      <w:r>
        <w:tab/>
      </w:r>
      <w:r>
        <w:tab/>
      </w:r>
      <w:r w:rsidR="00DD6AE7">
        <w:t>68407700</w:t>
      </w:r>
    </w:p>
    <w:p w14:paraId="2FE19058" w14:textId="0778C720" w:rsidR="00FE587C" w:rsidRDefault="00FE587C" w:rsidP="00FE587C">
      <w:r>
        <w:t>DIČ:</w:t>
      </w:r>
      <w:r>
        <w:tab/>
      </w:r>
      <w:r>
        <w:tab/>
      </w:r>
      <w:r>
        <w:tab/>
        <w:t>CZ</w:t>
      </w:r>
      <w:r w:rsidR="00DD6AE7">
        <w:t>68407700</w:t>
      </w:r>
    </w:p>
    <w:p w14:paraId="7B6B3CA8" w14:textId="6A5A941D" w:rsidR="00FE587C" w:rsidRPr="00FE587C" w:rsidRDefault="00FE587C" w:rsidP="00FE587C">
      <w:r w:rsidRPr="00FE587C">
        <w:t>Bankovní spojení:</w:t>
      </w:r>
      <w:r w:rsidRPr="00FE587C">
        <w:tab/>
        <w:t>Komerční banka, a.s.</w:t>
      </w:r>
    </w:p>
    <w:p w14:paraId="5C02FE2D" w14:textId="51F71C1C" w:rsidR="00FE587C" w:rsidRDefault="00FE587C" w:rsidP="00FE587C">
      <w:r w:rsidRPr="00FE587C">
        <w:t>Č. účtu:</w:t>
      </w:r>
      <w:r>
        <w:t xml:space="preserve"> </w:t>
      </w:r>
      <w:r>
        <w:tab/>
      </w:r>
      <w:r>
        <w:tab/>
      </w:r>
      <w:r>
        <w:tab/>
        <w:t>1</w:t>
      </w:r>
      <w:r w:rsidR="00DD6AE7">
        <w:t>9</w:t>
      </w:r>
      <w:r>
        <w:t>-</w:t>
      </w:r>
      <w:r w:rsidR="00DD6AE7">
        <w:t>5504540257</w:t>
      </w:r>
      <w:r>
        <w:t>/0100</w:t>
      </w:r>
    </w:p>
    <w:p w14:paraId="79DDFC01" w14:textId="1B9B36B8" w:rsidR="00FE587C" w:rsidRDefault="00FE587C" w:rsidP="00FE587C">
      <w:r>
        <w:t xml:space="preserve">Zastoupena: </w:t>
      </w:r>
      <w:r>
        <w:tab/>
      </w:r>
      <w:r>
        <w:tab/>
      </w:r>
      <w:r w:rsidR="00DD6AE7" w:rsidRPr="009F2D16">
        <w:t>doc</w:t>
      </w:r>
      <w:r w:rsidRPr="009F2D16">
        <w:t xml:space="preserve">. </w:t>
      </w:r>
      <w:r w:rsidR="00DD6AE7" w:rsidRPr="009F2D16">
        <w:t>RNDr. Vojtěchem Petráčkem, CSc, rektor</w:t>
      </w:r>
      <w:r w:rsidR="00574A50">
        <w:t>em</w:t>
      </w:r>
    </w:p>
    <w:p w14:paraId="795A110B" w14:textId="058C23B3" w:rsidR="00FE587C" w:rsidRDefault="00DD6AE7" w:rsidP="00FE587C">
      <w:r>
        <w:t>Zřízeno dle zák. č. 111/1998 Sb., o vysokých školách, nezapisuje se do OR</w:t>
      </w:r>
    </w:p>
    <w:p w14:paraId="0F4CC33E" w14:textId="7DEBDF2C" w:rsidR="00FE587C" w:rsidRDefault="00FE587C" w:rsidP="00FE587C">
      <w:r>
        <w:t>(dále jen „Další účastník“ nebo „</w:t>
      </w:r>
      <w:r w:rsidR="00DD6AE7">
        <w:t>ČVUT</w:t>
      </w:r>
      <w:r>
        <w:t>“)</w:t>
      </w:r>
    </w:p>
    <w:p w14:paraId="0EEAD8E6" w14:textId="2308F72E" w:rsidR="00FE587C" w:rsidRDefault="00FE587C" w:rsidP="00FE587C"/>
    <w:p w14:paraId="29FF66F8" w14:textId="586A1111" w:rsidR="00DD6AE7" w:rsidRDefault="00DD6AE7" w:rsidP="00FE587C">
      <w:r>
        <w:t>a</w:t>
      </w:r>
    </w:p>
    <w:p w14:paraId="092480B3" w14:textId="77777777" w:rsidR="00DD6AE7" w:rsidRDefault="00DD6AE7" w:rsidP="00FE587C"/>
    <w:p w14:paraId="7A915199" w14:textId="6895D0DD" w:rsidR="00DD6AE7" w:rsidRDefault="00DD6AE7" w:rsidP="00DD6AE7">
      <w:r>
        <w:t xml:space="preserve">Název: </w:t>
      </w:r>
      <w:r>
        <w:tab/>
      </w:r>
      <w:r>
        <w:tab/>
      </w:r>
      <w:r>
        <w:tab/>
        <w:t>Vysoké učení technické v Brně</w:t>
      </w:r>
    </w:p>
    <w:p w14:paraId="33F46307" w14:textId="7360B37C" w:rsidR="00DD6AE7" w:rsidRDefault="00DD6AE7" w:rsidP="00DD6AE7">
      <w:r>
        <w:t>Se sídlem:</w:t>
      </w:r>
      <w:r>
        <w:tab/>
      </w:r>
      <w:r>
        <w:tab/>
        <w:t>Antonínská 548/1, 601 90 Brno</w:t>
      </w:r>
    </w:p>
    <w:p w14:paraId="4187D48A" w14:textId="05B4FBEF" w:rsidR="00DD6AE7" w:rsidRDefault="00DD6AE7" w:rsidP="00DD6AE7">
      <w:r>
        <w:t>IČ:</w:t>
      </w:r>
      <w:r>
        <w:tab/>
      </w:r>
      <w:r>
        <w:tab/>
      </w:r>
      <w:r>
        <w:tab/>
        <w:t>00</w:t>
      </w:r>
      <w:r w:rsidR="00574A50">
        <w:t>216305</w:t>
      </w:r>
    </w:p>
    <w:p w14:paraId="12F19989" w14:textId="3773C2E8" w:rsidR="00DD6AE7" w:rsidRDefault="00DD6AE7" w:rsidP="00DD6AE7">
      <w:r>
        <w:t>DIČ:</w:t>
      </w:r>
      <w:r>
        <w:tab/>
      </w:r>
      <w:r>
        <w:tab/>
      </w:r>
      <w:r>
        <w:tab/>
        <w:t>CZ</w:t>
      </w:r>
      <w:r w:rsidR="00574A50">
        <w:t>00216305</w:t>
      </w:r>
    </w:p>
    <w:p w14:paraId="599BE9B8" w14:textId="0ACE032A" w:rsidR="00DD6AE7" w:rsidRPr="00FE587C" w:rsidRDefault="00DD6AE7" w:rsidP="00DD6AE7">
      <w:r w:rsidRPr="00FE587C">
        <w:t>Bankovní spojení:</w:t>
      </w:r>
      <w:r w:rsidRPr="00FE587C">
        <w:tab/>
      </w:r>
      <w:r>
        <w:t>ČSOB</w:t>
      </w:r>
      <w:r w:rsidRPr="00FE587C">
        <w:t>, a.s.</w:t>
      </w:r>
    </w:p>
    <w:p w14:paraId="4D622696" w14:textId="619717CC" w:rsidR="00DD6AE7" w:rsidRDefault="00DD6AE7" w:rsidP="00DD6AE7">
      <w:r w:rsidRPr="00FE587C">
        <w:t>Č. účtu:</w:t>
      </w:r>
      <w:r>
        <w:t xml:space="preserve"> </w:t>
      </w:r>
      <w:r>
        <w:tab/>
      </w:r>
      <w:r>
        <w:tab/>
      </w:r>
      <w:r>
        <w:tab/>
        <w:t>11</w:t>
      </w:r>
      <w:r w:rsidR="00574A50">
        <w:t>1043273</w:t>
      </w:r>
      <w:r>
        <w:t>/0</w:t>
      </w:r>
      <w:r w:rsidR="00574A50">
        <w:t>3</w:t>
      </w:r>
      <w:r>
        <w:t>00</w:t>
      </w:r>
    </w:p>
    <w:p w14:paraId="496F342A" w14:textId="6BFF2EBB" w:rsidR="00DD6AE7" w:rsidRDefault="00DD6AE7" w:rsidP="00DD6AE7">
      <w:r>
        <w:t xml:space="preserve">Zastoupena: </w:t>
      </w:r>
      <w:r>
        <w:tab/>
      </w:r>
      <w:r>
        <w:tab/>
      </w:r>
      <w:r w:rsidR="00A509A9">
        <w:t>doc. Ing. Ladislav</w:t>
      </w:r>
      <w:r w:rsidR="00A509A9">
        <w:t>em</w:t>
      </w:r>
      <w:r w:rsidR="00A509A9">
        <w:t xml:space="preserve"> Janíč</w:t>
      </w:r>
      <w:r w:rsidR="00A509A9">
        <w:t>kem</w:t>
      </w:r>
      <w:r w:rsidR="00A509A9">
        <w:t>, Ph.D., MBA, LL.M.</w:t>
      </w:r>
      <w:r w:rsidR="00574A50" w:rsidRPr="009F2D16">
        <w:t>, rektor</w:t>
      </w:r>
      <w:r w:rsidR="00574A50">
        <w:t>em</w:t>
      </w:r>
    </w:p>
    <w:p w14:paraId="748BDA34" w14:textId="77777777" w:rsidR="00574A50" w:rsidRDefault="00574A50" w:rsidP="00574A50">
      <w:r>
        <w:t>Zřízeno dle zák. č. 111/1998 Sb., o vysokých školách, nezapisuje se do OR</w:t>
      </w:r>
    </w:p>
    <w:p w14:paraId="712CDF84" w14:textId="30ACBC7B" w:rsidR="00DD6AE7" w:rsidRDefault="00DD6AE7" w:rsidP="00DD6AE7">
      <w:r>
        <w:t>(dále jen „Další účastník“ nebo „VUT“)</w:t>
      </w:r>
    </w:p>
    <w:p w14:paraId="722FE58A" w14:textId="3285E34F" w:rsidR="00DD6AE7" w:rsidRDefault="00DD6AE7" w:rsidP="00FE587C"/>
    <w:p w14:paraId="556E110F" w14:textId="77777777" w:rsidR="00DD6AE7" w:rsidRDefault="00DD6AE7" w:rsidP="00FE587C"/>
    <w:p w14:paraId="63D11241" w14:textId="77777777" w:rsidR="002B2D50" w:rsidRDefault="002B2D50" w:rsidP="003A4812">
      <w:pPr>
        <w:pStyle w:val="Zkladntext"/>
      </w:pPr>
      <w:r>
        <w:t>uzavírají níže uvedené</w:t>
      </w:r>
      <w:r w:rsidR="00C540B5">
        <w:t>ho</w:t>
      </w:r>
      <w:r>
        <w:t xml:space="preserve"> dne, měsíce a roku tuto </w:t>
      </w:r>
    </w:p>
    <w:p w14:paraId="66B628B8" w14:textId="77777777" w:rsidR="00B910F7" w:rsidRPr="00B910F7" w:rsidRDefault="00B910F7" w:rsidP="002B2D50">
      <w:pPr>
        <w:pStyle w:val="Zkladntext"/>
        <w:jc w:val="center"/>
        <w:rPr>
          <w:b/>
          <w:sz w:val="36"/>
          <w:szCs w:val="36"/>
        </w:rPr>
      </w:pPr>
    </w:p>
    <w:p w14:paraId="75450444" w14:textId="77777777" w:rsidR="002B2D50" w:rsidRDefault="002B2D50" w:rsidP="002B2D50">
      <w:pPr>
        <w:pStyle w:val="Zkladntext"/>
        <w:jc w:val="center"/>
        <w:rPr>
          <w:b/>
          <w:sz w:val="36"/>
        </w:rPr>
      </w:pPr>
      <w:r>
        <w:rPr>
          <w:b/>
          <w:sz w:val="36"/>
        </w:rPr>
        <w:t xml:space="preserve">Smlouvu o využití výsledků </w:t>
      </w:r>
    </w:p>
    <w:p w14:paraId="73C19458" w14:textId="77777777" w:rsidR="002B2D50" w:rsidRDefault="002B2D50" w:rsidP="002B2D50">
      <w:pPr>
        <w:pStyle w:val="Zkladntext"/>
        <w:jc w:val="center"/>
        <w:rPr>
          <w:b/>
          <w:sz w:val="36"/>
        </w:rPr>
      </w:pPr>
      <w:r>
        <w:rPr>
          <w:b/>
          <w:sz w:val="36"/>
        </w:rPr>
        <w:t>dosažených při řešení projektu výzkumu a vývoje</w:t>
      </w:r>
    </w:p>
    <w:p w14:paraId="6464E6AF" w14:textId="77777777" w:rsidR="003A4812" w:rsidRDefault="003A4812" w:rsidP="006922EA">
      <w:pPr>
        <w:pStyle w:val="Zkladntext"/>
        <w:jc w:val="both"/>
      </w:pPr>
    </w:p>
    <w:p w14:paraId="0DF2A503" w14:textId="77777777" w:rsidR="009D2B69" w:rsidRDefault="009D2B69" w:rsidP="006922EA">
      <w:pPr>
        <w:pStyle w:val="Zkladntext"/>
        <w:jc w:val="center"/>
        <w:rPr>
          <w:b/>
        </w:rPr>
      </w:pPr>
      <w:r>
        <w:rPr>
          <w:b/>
        </w:rPr>
        <w:t>I.</w:t>
      </w:r>
    </w:p>
    <w:p w14:paraId="30B12AF9" w14:textId="77777777" w:rsidR="009D2B69" w:rsidRDefault="009D2B69">
      <w:pPr>
        <w:pStyle w:val="Zkladntext"/>
        <w:jc w:val="center"/>
        <w:rPr>
          <w:b/>
        </w:rPr>
      </w:pPr>
      <w:r>
        <w:rPr>
          <w:b/>
          <w:bCs/>
        </w:rPr>
        <w:t>Základní údaje o projektu</w:t>
      </w:r>
    </w:p>
    <w:p w14:paraId="17CA65DB" w14:textId="77777777" w:rsidR="002B2D50" w:rsidRDefault="002B2D50" w:rsidP="002B2D50">
      <w:pPr>
        <w:pStyle w:val="Zkladntextodsazen"/>
        <w:ind w:firstLine="0"/>
      </w:pPr>
    </w:p>
    <w:p w14:paraId="4AB23C67" w14:textId="4F57C719" w:rsidR="002B2D50" w:rsidRDefault="00A22B2A" w:rsidP="00084483">
      <w:pPr>
        <w:pStyle w:val="Zkladntextodsazen"/>
        <w:numPr>
          <w:ilvl w:val="0"/>
          <w:numId w:val="21"/>
        </w:numPr>
      </w:pPr>
      <w:r>
        <w:t>Příjemce řeší</w:t>
      </w:r>
      <w:r w:rsidR="00B910F7">
        <w:t xml:space="preserve"> s d</w:t>
      </w:r>
      <w:r w:rsidR="00CF7ADF">
        <w:t>alším</w:t>
      </w:r>
      <w:r w:rsidR="00DD6AE7">
        <w:t>i</w:t>
      </w:r>
      <w:r w:rsidR="00B910F7">
        <w:t xml:space="preserve"> účastník</w:t>
      </w:r>
      <w:r w:rsidR="00DD6AE7">
        <w:t>y</w:t>
      </w:r>
      <w:r w:rsidR="005558AB">
        <w:t xml:space="preserve"> projektu</w:t>
      </w:r>
      <w:r>
        <w:t xml:space="preserve"> na základě výsledků veřejné soutěže vyhlášené </w:t>
      </w:r>
      <w:r w:rsidR="00144E61">
        <w:t>TAČR</w:t>
      </w:r>
      <w:r>
        <w:t xml:space="preserve"> (dále jen „</w:t>
      </w:r>
      <w:r w:rsidR="00CF7ADF" w:rsidRPr="0065282D">
        <w:t>poskytovatel</w:t>
      </w:r>
      <w:r>
        <w:t>“)</w:t>
      </w:r>
      <w:r w:rsidR="0099272E">
        <w:t xml:space="preserve"> v rámci programu </w:t>
      </w:r>
      <w:r w:rsidR="00144E61">
        <w:t>„</w:t>
      </w:r>
      <w:r w:rsidR="00FE587C">
        <w:t>EPSILON</w:t>
      </w:r>
      <w:r w:rsidR="00144E61" w:rsidRPr="00144E61">
        <w:t>“</w:t>
      </w:r>
      <w:r>
        <w:t xml:space="preserve"> </w:t>
      </w:r>
      <w:r w:rsidR="00CF7ADF" w:rsidRPr="008A733E">
        <w:t>projekt výzkumu a vývoje s názvem: „</w:t>
      </w:r>
      <w:r w:rsidR="00DD6AE7" w:rsidRPr="00DD6AE7">
        <w:t>Virtuální prototypování a validace elektromagnetických systémů</w:t>
      </w:r>
      <w:r w:rsidR="00DD6AE7">
        <w:t>“</w:t>
      </w:r>
      <w:r w:rsidR="00CF7ADF" w:rsidRPr="008A733E">
        <w:t xml:space="preserve">, ev. č. </w:t>
      </w:r>
      <w:r w:rsidR="00FE587C">
        <w:rPr>
          <w:rFonts w:ascii="Cambria" w:hAnsi="Cambria" w:cs="Cambria"/>
          <w:szCs w:val="24"/>
        </w:rPr>
        <w:t>TH0</w:t>
      </w:r>
      <w:r w:rsidR="00DD6AE7">
        <w:rPr>
          <w:rFonts w:ascii="Cambria" w:hAnsi="Cambria" w:cs="Cambria"/>
          <w:szCs w:val="24"/>
        </w:rPr>
        <w:t>4</w:t>
      </w:r>
      <w:r w:rsidR="00FE587C">
        <w:rPr>
          <w:rFonts w:ascii="Cambria" w:hAnsi="Cambria" w:cs="Cambria"/>
          <w:szCs w:val="24"/>
        </w:rPr>
        <w:t>010</w:t>
      </w:r>
      <w:r w:rsidR="00DD6AE7">
        <w:rPr>
          <w:rFonts w:ascii="Cambria" w:hAnsi="Cambria" w:cs="Cambria"/>
          <w:szCs w:val="24"/>
        </w:rPr>
        <w:t>3</w:t>
      </w:r>
      <w:r w:rsidR="00FE587C">
        <w:rPr>
          <w:rFonts w:ascii="Cambria" w:hAnsi="Cambria" w:cs="Cambria"/>
          <w:szCs w:val="24"/>
        </w:rPr>
        <w:t>7</w:t>
      </w:r>
      <w:r w:rsidR="00DD6AE7">
        <w:rPr>
          <w:rFonts w:ascii="Cambria" w:hAnsi="Cambria" w:cs="Cambria"/>
          <w:szCs w:val="24"/>
        </w:rPr>
        <w:t>3</w:t>
      </w:r>
      <w:r w:rsidR="00CF7ADF" w:rsidRPr="008A733E">
        <w:t xml:space="preserve"> (dále jen „projekt“)</w:t>
      </w:r>
      <w:r w:rsidR="00D0097B">
        <w:t>.</w:t>
      </w:r>
    </w:p>
    <w:p w14:paraId="32C41DF3" w14:textId="77777777" w:rsidR="002B2D50" w:rsidRDefault="002B2D50" w:rsidP="002B2D50">
      <w:pPr>
        <w:pStyle w:val="Zkladntextodsazen"/>
        <w:ind w:left="720" w:firstLine="0"/>
      </w:pPr>
    </w:p>
    <w:p w14:paraId="28BDC7A6" w14:textId="518F6637"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144E61">
        <w:t>3</w:t>
      </w:r>
      <w:r w:rsidR="00FE587C">
        <w:t>1</w:t>
      </w:r>
      <w:r w:rsidR="00144E61">
        <w:t xml:space="preserve">. </w:t>
      </w:r>
      <w:r w:rsidR="00FE587C">
        <w:t>12</w:t>
      </w:r>
      <w:r w:rsidR="00144E61">
        <w:t>. 20</w:t>
      </w:r>
      <w:r w:rsidR="00DD6AE7">
        <w:t>21</w:t>
      </w:r>
    </w:p>
    <w:p w14:paraId="13A0F304" w14:textId="77777777" w:rsidR="002B2D50" w:rsidRDefault="002B2D50" w:rsidP="002B2D50">
      <w:pPr>
        <w:pStyle w:val="Odstavecseseznamem"/>
      </w:pPr>
    </w:p>
    <w:p w14:paraId="20978D6A" w14:textId="66810F8A" w:rsidR="002B2D50" w:rsidRDefault="00A22B2A" w:rsidP="002B2D50">
      <w:pPr>
        <w:pStyle w:val="Zkladntextodsazen"/>
        <w:numPr>
          <w:ilvl w:val="0"/>
          <w:numId w:val="21"/>
        </w:numPr>
        <w:ind w:hanging="720"/>
      </w:pPr>
      <w:r>
        <w:t xml:space="preserve">Příjemce: </w:t>
      </w:r>
      <w:r w:rsidR="00FE587C" w:rsidRPr="00FE587C">
        <w:t>MECAS ESI s.r.o.</w:t>
      </w:r>
    </w:p>
    <w:p w14:paraId="7118CE62" w14:textId="77777777" w:rsidR="002B2D50" w:rsidRDefault="002B2D50" w:rsidP="002B2D50">
      <w:pPr>
        <w:pStyle w:val="Odstavecseseznamem"/>
      </w:pPr>
    </w:p>
    <w:p w14:paraId="5FB26C40" w14:textId="278DB077" w:rsidR="002B2D50" w:rsidRDefault="002B3734" w:rsidP="002B2D50">
      <w:pPr>
        <w:pStyle w:val="Zkladntextodsazen"/>
        <w:numPr>
          <w:ilvl w:val="0"/>
          <w:numId w:val="21"/>
        </w:numPr>
        <w:ind w:hanging="720"/>
      </w:pPr>
      <w:r>
        <w:t xml:space="preserve">Na základě smlouvy o účasti na řešení projektu </w:t>
      </w:r>
      <w:r w:rsidR="00AE559E">
        <w:t>j</w:t>
      </w:r>
      <w:r w:rsidR="00FE587C">
        <w:t>e</w:t>
      </w:r>
      <w:r w:rsidR="00AE559E">
        <w:t xml:space="preserve"> dalším účastník</w:t>
      </w:r>
      <w:r w:rsidR="00FE587C">
        <w:t>em</w:t>
      </w:r>
      <w:r w:rsidR="00AE559E">
        <w:t xml:space="preserve"> projektu</w:t>
      </w:r>
      <w:r w:rsidR="00FE587C">
        <w:t xml:space="preserve">: </w:t>
      </w:r>
      <w:r w:rsidR="00574A50">
        <w:t>ČVUT a VUT</w:t>
      </w:r>
    </w:p>
    <w:p w14:paraId="5AEFCDC2" w14:textId="77777777" w:rsidR="002B2D50" w:rsidRDefault="002B2D50" w:rsidP="002B2D50">
      <w:pPr>
        <w:pStyle w:val="Odstavecseseznamem"/>
      </w:pPr>
    </w:p>
    <w:p w14:paraId="3CB564A4" w14:textId="09AB97D9" w:rsidR="002B2D50" w:rsidRDefault="009D2B69" w:rsidP="002B2D50">
      <w:pPr>
        <w:pStyle w:val="Zkladntextodsazen"/>
        <w:numPr>
          <w:ilvl w:val="0"/>
          <w:numId w:val="21"/>
        </w:numPr>
        <w:ind w:hanging="720"/>
      </w:pPr>
      <w:r w:rsidRPr="0099272E">
        <w:rPr>
          <w:spacing w:val="-8"/>
        </w:rPr>
        <w:lastRenderedPageBreak/>
        <w:t>Údaje o projektu podléhají kódu důvěrnosti údajů:</w:t>
      </w:r>
      <w:r w:rsidR="0014671A" w:rsidRPr="0099272E">
        <w:rPr>
          <w:spacing w:val="-8"/>
        </w:rPr>
        <w:t xml:space="preserve"> </w:t>
      </w:r>
      <w:r w:rsidR="00144E61">
        <w:t>C.</w:t>
      </w:r>
    </w:p>
    <w:p w14:paraId="15E2C744" w14:textId="77777777" w:rsidR="0099272E" w:rsidRDefault="0099272E" w:rsidP="0099272E">
      <w:pPr>
        <w:pStyle w:val="Zkladntextodsazen"/>
        <w:ind w:left="720" w:firstLine="0"/>
      </w:pPr>
    </w:p>
    <w:p w14:paraId="38032D75" w14:textId="0C7EEA2B" w:rsidR="00A80E49" w:rsidRDefault="009D2B69" w:rsidP="002B2D50">
      <w:pPr>
        <w:pStyle w:val="Zkladntextodsazen"/>
        <w:numPr>
          <w:ilvl w:val="0"/>
          <w:numId w:val="21"/>
        </w:numPr>
        <w:ind w:hanging="720"/>
      </w:pPr>
      <w:r>
        <w:t>Na základě smlouvy</w:t>
      </w:r>
      <w:r w:rsidR="004A783F">
        <w:t xml:space="preserve"> o poskytnutí účelové podpory</w:t>
      </w:r>
      <w:r>
        <w:t xml:space="preserve"> uzavřené mez</w:t>
      </w:r>
      <w:r w:rsidR="00ED0FD2">
        <w:t xml:space="preserve">i příjemcem a </w:t>
      </w:r>
      <w:r w:rsidR="00D0097B">
        <w:t>poskytovatelem</w:t>
      </w:r>
      <w:r w:rsidR="00ED0FD2">
        <w:t xml:space="preserve"> </w:t>
      </w:r>
      <w:r>
        <w:t xml:space="preserve">byl projekt financován z veřejných prostředků ve výši </w:t>
      </w:r>
      <w:r w:rsidR="00574A50">
        <w:t>59</w:t>
      </w:r>
      <w:r w:rsidR="000262CA" w:rsidRPr="000262CA">
        <w:t>.</w:t>
      </w:r>
      <w:r w:rsidR="00574A50">
        <w:t>8</w:t>
      </w:r>
      <w:r w:rsidR="00144E61">
        <w:t xml:space="preserve"> </w:t>
      </w:r>
      <w:r w:rsidR="00144E61" w:rsidRPr="00144E61">
        <w:t>%</w:t>
      </w:r>
      <w:r w:rsidR="00144E61">
        <w:t>.</w:t>
      </w:r>
    </w:p>
    <w:p w14:paraId="00713568" w14:textId="77777777" w:rsidR="00637DE9" w:rsidRPr="00637DE9" w:rsidRDefault="00637DE9" w:rsidP="00637DE9">
      <w:pPr>
        <w:jc w:val="center"/>
        <w:rPr>
          <w:b/>
          <w:sz w:val="24"/>
          <w:szCs w:val="24"/>
        </w:rPr>
      </w:pPr>
    </w:p>
    <w:p w14:paraId="2A27E2FD" w14:textId="03B454F4" w:rsidR="009D2B69" w:rsidRPr="00637DE9" w:rsidRDefault="009D2B69" w:rsidP="00637DE9">
      <w:pPr>
        <w:jc w:val="center"/>
        <w:rPr>
          <w:b/>
          <w:sz w:val="24"/>
          <w:szCs w:val="24"/>
        </w:rPr>
      </w:pPr>
      <w:r w:rsidRPr="00637DE9">
        <w:rPr>
          <w:b/>
          <w:sz w:val="24"/>
          <w:szCs w:val="24"/>
        </w:rPr>
        <w:t>II.</w:t>
      </w:r>
    </w:p>
    <w:p w14:paraId="573BBB82" w14:textId="7FAF3AD7" w:rsidR="009D2B69" w:rsidRDefault="009D2B69" w:rsidP="00637DE9">
      <w:pPr>
        <w:pStyle w:val="Zkladntext"/>
        <w:jc w:val="center"/>
        <w:rPr>
          <w:b/>
          <w:bCs/>
        </w:rPr>
      </w:pPr>
      <w:r w:rsidRPr="00637DE9">
        <w:rPr>
          <w:b/>
          <w:bCs/>
          <w:szCs w:val="24"/>
        </w:rPr>
        <w:t>V</w:t>
      </w:r>
      <w:r w:rsidR="00635D46" w:rsidRPr="00637DE9">
        <w:rPr>
          <w:b/>
          <w:bCs/>
          <w:szCs w:val="24"/>
        </w:rPr>
        <w:t>ymezení</w:t>
      </w:r>
      <w:r w:rsidR="00635D46">
        <w:rPr>
          <w:b/>
          <w:bCs/>
        </w:rPr>
        <w:t xml:space="preserve"> výsledků a vlastnických práv k nim</w:t>
      </w:r>
    </w:p>
    <w:p w14:paraId="29953B87" w14:textId="77777777" w:rsidR="002B2D50" w:rsidRPr="00F15CB4" w:rsidRDefault="002B2D50">
      <w:pPr>
        <w:jc w:val="both"/>
        <w:rPr>
          <w:i/>
          <w:sz w:val="24"/>
          <w:szCs w:val="24"/>
        </w:rPr>
      </w:pPr>
    </w:p>
    <w:p w14:paraId="5D196097" w14:textId="77777777" w:rsidR="009D2B69" w:rsidRPr="00F15CB4" w:rsidRDefault="00F670D1" w:rsidP="002B2D50">
      <w:pPr>
        <w:pStyle w:val="Odstavecseseznamem"/>
        <w:numPr>
          <w:ilvl w:val="0"/>
          <w:numId w:val="19"/>
        </w:numPr>
        <w:ind w:hanging="783"/>
        <w:jc w:val="both"/>
        <w:rPr>
          <w:sz w:val="24"/>
          <w:szCs w:val="24"/>
        </w:rPr>
      </w:pPr>
      <w:r w:rsidRPr="00F15CB4">
        <w:rPr>
          <w:sz w:val="24"/>
          <w:szCs w:val="24"/>
        </w:rPr>
        <w:t>Smluvní strany</w:t>
      </w:r>
      <w:r w:rsidR="009D2B69" w:rsidRPr="00F15CB4">
        <w:rPr>
          <w:sz w:val="24"/>
          <w:szCs w:val="24"/>
        </w:rPr>
        <w:t xml:space="preserve"> dosáhl</w:t>
      </w:r>
      <w:r w:rsidRPr="00F15CB4">
        <w:rPr>
          <w:sz w:val="24"/>
          <w:szCs w:val="24"/>
        </w:rPr>
        <w:t>y</w:t>
      </w:r>
      <w:r w:rsidR="009D2B69" w:rsidRPr="00F15CB4">
        <w:rPr>
          <w:sz w:val="24"/>
          <w:szCs w:val="24"/>
        </w:rPr>
        <w:t xml:space="preserve"> při řešení projektu následující</w:t>
      </w:r>
      <w:r w:rsidR="005558AB" w:rsidRPr="00F15CB4">
        <w:rPr>
          <w:sz w:val="24"/>
          <w:szCs w:val="24"/>
        </w:rPr>
        <w:t>ch výsledků</w:t>
      </w:r>
      <w:r w:rsidR="009D2B69" w:rsidRPr="00F15CB4">
        <w:rPr>
          <w:sz w:val="24"/>
          <w:szCs w:val="24"/>
        </w:rPr>
        <w:t>:</w:t>
      </w:r>
    </w:p>
    <w:p w14:paraId="319B63B0" w14:textId="77777777" w:rsidR="00EC748A" w:rsidRPr="00F15CB4" w:rsidRDefault="00EC748A">
      <w:pPr>
        <w:jc w:val="both"/>
        <w:rPr>
          <w:i/>
          <w:sz w:val="24"/>
          <w:szCs w:val="24"/>
        </w:rPr>
      </w:pPr>
    </w:p>
    <w:p w14:paraId="226CD095" w14:textId="05B13D6F" w:rsidR="009F2D16" w:rsidRPr="009F2D16" w:rsidRDefault="009F2D16" w:rsidP="009F2D16">
      <w:pPr>
        <w:pStyle w:val="Odstavecseseznamem"/>
        <w:numPr>
          <w:ilvl w:val="0"/>
          <w:numId w:val="33"/>
        </w:numPr>
        <w:jc w:val="both"/>
        <w:rPr>
          <w:b/>
          <w:bCs/>
          <w:sz w:val="24"/>
          <w:szCs w:val="24"/>
        </w:rPr>
      </w:pPr>
      <w:r w:rsidRPr="009F2D16">
        <w:rPr>
          <w:b/>
          <w:bCs/>
          <w:sz w:val="24"/>
          <w:szCs w:val="24"/>
        </w:rPr>
        <w:t>TH04010373-V1</w:t>
      </w:r>
    </w:p>
    <w:p w14:paraId="438AA9AA" w14:textId="77777777" w:rsidR="009F2D16" w:rsidRPr="009F2D16" w:rsidRDefault="009F2D16" w:rsidP="009F2D16">
      <w:pPr>
        <w:ind w:left="705"/>
        <w:jc w:val="both"/>
        <w:rPr>
          <w:sz w:val="24"/>
          <w:szCs w:val="24"/>
        </w:rPr>
      </w:pPr>
      <w:r w:rsidRPr="009F2D16">
        <w:rPr>
          <w:sz w:val="24"/>
          <w:szCs w:val="24"/>
        </w:rPr>
        <w:t>Programový nástroj pro virtuální prototypování elektromagnetických struktur a systémů v prostředí Visual CEM</w:t>
      </w:r>
    </w:p>
    <w:p w14:paraId="53F8E6E3" w14:textId="22DC2DD1" w:rsidR="00D14A81" w:rsidRPr="009F2D16" w:rsidRDefault="00D14A81" w:rsidP="00D14A81">
      <w:pPr>
        <w:ind w:left="705"/>
        <w:jc w:val="both"/>
        <w:rPr>
          <w:sz w:val="24"/>
          <w:szCs w:val="24"/>
        </w:rPr>
      </w:pPr>
      <w:r w:rsidRPr="009F2D16">
        <w:rPr>
          <w:sz w:val="24"/>
          <w:szCs w:val="24"/>
        </w:rPr>
        <w:t xml:space="preserve">Typ výsledku – </w:t>
      </w:r>
      <w:r w:rsidR="009F2D16" w:rsidRPr="009F2D16">
        <w:rPr>
          <w:sz w:val="24"/>
          <w:szCs w:val="24"/>
        </w:rPr>
        <w:t>„R</w:t>
      </w:r>
      <w:r w:rsidR="000262CA" w:rsidRPr="009F2D16">
        <w:rPr>
          <w:sz w:val="24"/>
          <w:szCs w:val="24"/>
        </w:rPr>
        <w:t xml:space="preserve"> - </w:t>
      </w:r>
      <w:r w:rsidR="009F2D16" w:rsidRPr="009F2D16">
        <w:rPr>
          <w:sz w:val="24"/>
          <w:szCs w:val="24"/>
        </w:rPr>
        <w:t>Software</w:t>
      </w:r>
      <w:r w:rsidRPr="009F2D16">
        <w:rPr>
          <w:sz w:val="24"/>
          <w:szCs w:val="24"/>
        </w:rPr>
        <w:t>“</w:t>
      </w:r>
    </w:p>
    <w:p w14:paraId="0EBE6736" w14:textId="38F72DE0" w:rsidR="00D14A81" w:rsidRPr="00933A1B" w:rsidRDefault="00D14A81" w:rsidP="00D14A81">
      <w:pPr>
        <w:ind w:left="705"/>
        <w:jc w:val="both"/>
      </w:pPr>
      <w:r w:rsidRPr="009F2D16">
        <w:rPr>
          <w:sz w:val="24"/>
          <w:szCs w:val="24"/>
        </w:rPr>
        <w:t xml:space="preserve">Vlastnictví výsledku – </w:t>
      </w:r>
      <w:r w:rsidR="009F2D16" w:rsidRPr="009F2D16">
        <w:rPr>
          <w:sz w:val="24"/>
          <w:szCs w:val="24"/>
        </w:rPr>
        <w:t>10</w:t>
      </w:r>
      <w:r w:rsidR="000262CA" w:rsidRPr="009F2D16">
        <w:rPr>
          <w:sz w:val="24"/>
          <w:szCs w:val="24"/>
        </w:rPr>
        <w:t>0</w:t>
      </w:r>
      <w:r w:rsidR="009F2D16">
        <w:rPr>
          <w:sz w:val="24"/>
          <w:szCs w:val="24"/>
        </w:rPr>
        <w:t xml:space="preserve"> </w:t>
      </w:r>
      <w:r w:rsidR="000262CA" w:rsidRPr="00933A1B">
        <w:rPr>
          <w:sz w:val="24"/>
          <w:szCs w:val="24"/>
        </w:rPr>
        <w:t>% MECAS ESI</w:t>
      </w:r>
    </w:p>
    <w:p w14:paraId="446F2C47" w14:textId="77777777" w:rsidR="00515E0D" w:rsidRDefault="00515E0D" w:rsidP="00515E0D">
      <w:pPr>
        <w:pStyle w:val="Odstavecseseznamem"/>
        <w:ind w:left="1065"/>
        <w:jc w:val="both"/>
        <w:rPr>
          <w:b/>
          <w:bCs/>
          <w:sz w:val="24"/>
          <w:szCs w:val="24"/>
        </w:rPr>
      </w:pPr>
    </w:p>
    <w:p w14:paraId="402B8D84" w14:textId="7A369A2B" w:rsidR="00515E0D" w:rsidRPr="00515E0D" w:rsidRDefault="00515E0D" w:rsidP="00515E0D">
      <w:pPr>
        <w:pStyle w:val="Odstavecseseznamem"/>
        <w:numPr>
          <w:ilvl w:val="0"/>
          <w:numId w:val="33"/>
        </w:numPr>
        <w:jc w:val="both"/>
        <w:rPr>
          <w:b/>
          <w:bCs/>
          <w:sz w:val="24"/>
          <w:szCs w:val="24"/>
        </w:rPr>
      </w:pPr>
      <w:r w:rsidRPr="00515E0D">
        <w:rPr>
          <w:b/>
          <w:bCs/>
          <w:sz w:val="24"/>
          <w:szCs w:val="24"/>
        </w:rPr>
        <w:t xml:space="preserve">TH04010373-V2 </w:t>
      </w:r>
    </w:p>
    <w:p w14:paraId="722F582A" w14:textId="14C0B6A5" w:rsidR="00515E0D" w:rsidRPr="00515E0D" w:rsidRDefault="00515E0D" w:rsidP="00515E0D">
      <w:pPr>
        <w:pStyle w:val="Odstavecseseznamem"/>
        <w:ind w:left="705"/>
        <w:jc w:val="both"/>
        <w:rPr>
          <w:sz w:val="24"/>
          <w:szCs w:val="24"/>
        </w:rPr>
      </w:pPr>
      <w:r w:rsidRPr="00515E0D">
        <w:rPr>
          <w:sz w:val="24"/>
          <w:szCs w:val="24"/>
        </w:rPr>
        <w:t>Planární kalibrační sada pro průběžnou validaci virtuálního prototypu a charakterizaci konektorů</w:t>
      </w:r>
    </w:p>
    <w:p w14:paraId="5CFE3A97" w14:textId="77777777" w:rsidR="00515E0D" w:rsidRPr="00515E0D" w:rsidRDefault="00515E0D" w:rsidP="00515E0D">
      <w:pPr>
        <w:ind w:left="705"/>
        <w:jc w:val="both"/>
        <w:rPr>
          <w:sz w:val="24"/>
          <w:szCs w:val="24"/>
        </w:rPr>
      </w:pPr>
      <w:r w:rsidRPr="00515E0D">
        <w:rPr>
          <w:sz w:val="24"/>
          <w:szCs w:val="24"/>
        </w:rPr>
        <w:t>Typ výsledku – „O – Ostatní výsledky“</w:t>
      </w:r>
    </w:p>
    <w:p w14:paraId="201A952A" w14:textId="638527D7" w:rsidR="00515E0D" w:rsidRDefault="00515E0D" w:rsidP="00515E0D">
      <w:pPr>
        <w:ind w:left="705"/>
        <w:jc w:val="both"/>
        <w:rPr>
          <w:sz w:val="24"/>
          <w:szCs w:val="24"/>
        </w:rPr>
      </w:pPr>
      <w:r w:rsidRPr="00515E0D">
        <w:rPr>
          <w:sz w:val="24"/>
          <w:szCs w:val="24"/>
        </w:rPr>
        <w:t xml:space="preserve">Vlastnictví výsledku – 100 % </w:t>
      </w:r>
      <w:r>
        <w:rPr>
          <w:sz w:val="24"/>
          <w:szCs w:val="24"/>
        </w:rPr>
        <w:t>ČVUT</w:t>
      </w:r>
    </w:p>
    <w:p w14:paraId="398A46CD" w14:textId="77777777" w:rsidR="00D14A81" w:rsidRPr="00150944" w:rsidRDefault="00D14A81" w:rsidP="00D14A81">
      <w:pPr>
        <w:ind w:left="705"/>
        <w:jc w:val="both"/>
        <w:rPr>
          <w:sz w:val="24"/>
          <w:szCs w:val="24"/>
          <w:highlight w:val="yellow"/>
        </w:rPr>
      </w:pPr>
    </w:p>
    <w:p w14:paraId="3329FA6E" w14:textId="77777777" w:rsidR="00515E0D" w:rsidRPr="009F2D16" w:rsidRDefault="00515E0D" w:rsidP="00515E0D">
      <w:pPr>
        <w:pStyle w:val="Odstavecseseznamem"/>
        <w:numPr>
          <w:ilvl w:val="0"/>
          <w:numId w:val="33"/>
        </w:numPr>
        <w:jc w:val="both"/>
        <w:rPr>
          <w:b/>
          <w:bCs/>
          <w:sz w:val="24"/>
          <w:szCs w:val="24"/>
        </w:rPr>
      </w:pPr>
      <w:r w:rsidRPr="009F2D16">
        <w:rPr>
          <w:b/>
          <w:bCs/>
          <w:sz w:val="24"/>
          <w:szCs w:val="24"/>
        </w:rPr>
        <w:t>TH04010373-V4</w:t>
      </w:r>
    </w:p>
    <w:p w14:paraId="6C791930" w14:textId="77777777" w:rsidR="00515E0D" w:rsidRPr="009F2D16" w:rsidRDefault="00515E0D" w:rsidP="00515E0D">
      <w:pPr>
        <w:ind w:left="705"/>
        <w:jc w:val="both"/>
        <w:rPr>
          <w:sz w:val="24"/>
          <w:szCs w:val="24"/>
        </w:rPr>
      </w:pPr>
      <w:r w:rsidRPr="009F2D16">
        <w:rPr>
          <w:sz w:val="24"/>
          <w:szCs w:val="24"/>
        </w:rPr>
        <w:t>Článek ve sborníku odborné konference Radioelektronika.</w:t>
      </w:r>
    </w:p>
    <w:p w14:paraId="7CC8455D" w14:textId="77777777" w:rsidR="00515E0D" w:rsidRPr="009F2D16" w:rsidRDefault="00515E0D" w:rsidP="00515E0D">
      <w:pPr>
        <w:ind w:left="705"/>
        <w:jc w:val="both"/>
        <w:rPr>
          <w:sz w:val="24"/>
          <w:szCs w:val="24"/>
        </w:rPr>
      </w:pPr>
      <w:r w:rsidRPr="009F2D16">
        <w:rPr>
          <w:sz w:val="24"/>
          <w:szCs w:val="24"/>
        </w:rPr>
        <w:t>Typ výsledku – „O – Ostatní výsledky“</w:t>
      </w:r>
    </w:p>
    <w:p w14:paraId="2A19F59A" w14:textId="58C52B21" w:rsidR="00515E0D" w:rsidRPr="00933A1B" w:rsidRDefault="00515E0D" w:rsidP="00515E0D">
      <w:pPr>
        <w:ind w:left="705"/>
        <w:jc w:val="both"/>
        <w:rPr>
          <w:sz w:val="24"/>
          <w:szCs w:val="24"/>
        </w:rPr>
      </w:pPr>
      <w:r w:rsidRPr="009F2D16">
        <w:rPr>
          <w:sz w:val="24"/>
          <w:szCs w:val="24"/>
        </w:rPr>
        <w:t xml:space="preserve">Vlastnictví výsledku – </w:t>
      </w:r>
      <w:r w:rsidR="00097D0D">
        <w:rPr>
          <w:sz w:val="24"/>
          <w:szCs w:val="24"/>
        </w:rPr>
        <w:t>8</w:t>
      </w:r>
      <w:r>
        <w:rPr>
          <w:sz w:val="24"/>
          <w:szCs w:val="24"/>
        </w:rPr>
        <w:t>0</w:t>
      </w:r>
      <w:r w:rsidRPr="00933A1B">
        <w:rPr>
          <w:sz w:val="24"/>
          <w:szCs w:val="24"/>
        </w:rPr>
        <w:t xml:space="preserve"> % VUT</w:t>
      </w:r>
      <w:r w:rsidR="00097D0D" w:rsidRPr="00933A1B">
        <w:rPr>
          <w:sz w:val="24"/>
          <w:szCs w:val="24"/>
        </w:rPr>
        <w:t>, 10 % MECAS ESI, 10 % ČVUT</w:t>
      </w:r>
    </w:p>
    <w:p w14:paraId="40EFCF51" w14:textId="77777777" w:rsidR="00515E0D" w:rsidRPr="00150944" w:rsidRDefault="00515E0D" w:rsidP="00515E0D">
      <w:pPr>
        <w:ind w:left="705"/>
        <w:jc w:val="both"/>
        <w:rPr>
          <w:highlight w:val="yellow"/>
        </w:rPr>
      </w:pPr>
    </w:p>
    <w:p w14:paraId="00321CA8" w14:textId="6B9B2989" w:rsidR="009F2D16" w:rsidRPr="009F2D16" w:rsidRDefault="009F2D16" w:rsidP="009F2D16">
      <w:pPr>
        <w:pStyle w:val="Odstavecseseznamem"/>
        <w:numPr>
          <w:ilvl w:val="0"/>
          <w:numId w:val="33"/>
        </w:numPr>
        <w:jc w:val="both"/>
        <w:rPr>
          <w:b/>
          <w:bCs/>
          <w:sz w:val="24"/>
          <w:szCs w:val="24"/>
        </w:rPr>
      </w:pPr>
      <w:r w:rsidRPr="009F2D16">
        <w:rPr>
          <w:b/>
          <w:bCs/>
          <w:sz w:val="24"/>
          <w:szCs w:val="24"/>
        </w:rPr>
        <w:t>TH04010373-V5</w:t>
      </w:r>
    </w:p>
    <w:p w14:paraId="1D81FDE6" w14:textId="77777777" w:rsidR="009F2D16" w:rsidRPr="009F2D16" w:rsidRDefault="009F2D16" w:rsidP="009F2D16">
      <w:pPr>
        <w:ind w:left="705"/>
        <w:jc w:val="both"/>
        <w:rPr>
          <w:sz w:val="24"/>
          <w:szCs w:val="24"/>
        </w:rPr>
      </w:pPr>
      <w:r w:rsidRPr="009F2D16">
        <w:rPr>
          <w:sz w:val="24"/>
          <w:szCs w:val="24"/>
        </w:rPr>
        <w:t>Uspořádání workshopu o dosažených výsledcích</w:t>
      </w:r>
    </w:p>
    <w:p w14:paraId="7086FB55" w14:textId="5BDA2B55" w:rsidR="00D14A81" w:rsidRPr="009F2D16" w:rsidRDefault="00D14A81" w:rsidP="00D14A81">
      <w:pPr>
        <w:ind w:left="705"/>
        <w:jc w:val="both"/>
        <w:rPr>
          <w:sz w:val="24"/>
          <w:szCs w:val="24"/>
        </w:rPr>
      </w:pPr>
      <w:r w:rsidRPr="009F2D16">
        <w:rPr>
          <w:sz w:val="24"/>
          <w:szCs w:val="24"/>
        </w:rPr>
        <w:t>Typ výsledku – „</w:t>
      </w:r>
      <w:r w:rsidR="009F2D16" w:rsidRPr="009F2D16">
        <w:rPr>
          <w:sz w:val="24"/>
          <w:szCs w:val="24"/>
        </w:rPr>
        <w:t>O</w:t>
      </w:r>
      <w:r w:rsidRPr="009F2D16">
        <w:rPr>
          <w:sz w:val="24"/>
          <w:szCs w:val="24"/>
        </w:rPr>
        <w:t xml:space="preserve"> </w:t>
      </w:r>
      <w:r w:rsidR="009F2D16" w:rsidRPr="009F2D16">
        <w:rPr>
          <w:sz w:val="24"/>
          <w:szCs w:val="24"/>
        </w:rPr>
        <w:t>–</w:t>
      </w:r>
      <w:r w:rsidRPr="009F2D16">
        <w:rPr>
          <w:sz w:val="24"/>
          <w:szCs w:val="24"/>
        </w:rPr>
        <w:t xml:space="preserve"> </w:t>
      </w:r>
      <w:r w:rsidR="009F2D16" w:rsidRPr="009F2D16">
        <w:rPr>
          <w:sz w:val="24"/>
          <w:szCs w:val="24"/>
        </w:rPr>
        <w:t>Ostatní výsledky</w:t>
      </w:r>
      <w:r w:rsidRPr="009F2D16">
        <w:rPr>
          <w:sz w:val="24"/>
          <w:szCs w:val="24"/>
        </w:rPr>
        <w:t>“</w:t>
      </w:r>
    </w:p>
    <w:p w14:paraId="0564E74A" w14:textId="2B6BE304" w:rsidR="00D14A81" w:rsidRPr="009F2D16" w:rsidRDefault="00D14A81" w:rsidP="00D14A81">
      <w:pPr>
        <w:ind w:left="705"/>
        <w:jc w:val="both"/>
        <w:rPr>
          <w:sz w:val="24"/>
          <w:szCs w:val="24"/>
        </w:rPr>
      </w:pPr>
      <w:r w:rsidRPr="009F2D16">
        <w:rPr>
          <w:sz w:val="24"/>
          <w:szCs w:val="24"/>
        </w:rPr>
        <w:t xml:space="preserve">Vlastnictví výsledku – </w:t>
      </w:r>
      <w:r w:rsidR="00097D0D">
        <w:rPr>
          <w:sz w:val="24"/>
          <w:szCs w:val="24"/>
        </w:rPr>
        <w:t>8</w:t>
      </w:r>
      <w:r w:rsidR="000262CA" w:rsidRPr="009F2D16">
        <w:rPr>
          <w:sz w:val="24"/>
          <w:szCs w:val="24"/>
        </w:rPr>
        <w:t>0</w:t>
      </w:r>
      <w:r w:rsidR="009F2D16">
        <w:rPr>
          <w:sz w:val="24"/>
          <w:szCs w:val="24"/>
        </w:rPr>
        <w:t xml:space="preserve"> </w:t>
      </w:r>
      <w:r w:rsidR="000262CA" w:rsidRPr="009F2D16">
        <w:rPr>
          <w:sz w:val="24"/>
          <w:szCs w:val="24"/>
        </w:rPr>
        <w:t>%</w:t>
      </w:r>
      <w:r w:rsidRPr="009F2D16">
        <w:rPr>
          <w:sz w:val="24"/>
          <w:szCs w:val="24"/>
        </w:rPr>
        <w:t xml:space="preserve"> MECAS</w:t>
      </w:r>
      <w:r w:rsidR="000262CA" w:rsidRPr="009F2D16">
        <w:rPr>
          <w:sz w:val="24"/>
          <w:szCs w:val="24"/>
        </w:rPr>
        <w:t xml:space="preserve"> ESI</w:t>
      </w:r>
      <w:r w:rsidR="00097D0D">
        <w:rPr>
          <w:sz w:val="24"/>
          <w:szCs w:val="24"/>
        </w:rPr>
        <w:t>, 10 % ČVUT, 10 % VUT</w:t>
      </w:r>
    </w:p>
    <w:p w14:paraId="0B09BBA8" w14:textId="77777777" w:rsidR="00D14A81" w:rsidRPr="00150944" w:rsidRDefault="00D14A81" w:rsidP="00D14A81">
      <w:pPr>
        <w:ind w:left="705"/>
        <w:jc w:val="both"/>
        <w:rPr>
          <w:sz w:val="24"/>
          <w:szCs w:val="24"/>
          <w:highlight w:val="yellow"/>
        </w:rPr>
      </w:pPr>
    </w:p>
    <w:p w14:paraId="188621E5" w14:textId="5DB234D9" w:rsidR="00515E0D" w:rsidRPr="00515E0D" w:rsidRDefault="00515E0D" w:rsidP="00515E0D">
      <w:pPr>
        <w:pStyle w:val="Odstavecseseznamem"/>
        <w:numPr>
          <w:ilvl w:val="0"/>
          <w:numId w:val="33"/>
        </w:numPr>
        <w:jc w:val="both"/>
        <w:rPr>
          <w:b/>
          <w:bCs/>
          <w:sz w:val="24"/>
          <w:szCs w:val="24"/>
        </w:rPr>
      </w:pPr>
      <w:r w:rsidRPr="00515E0D">
        <w:rPr>
          <w:b/>
          <w:bCs/>
          <w:sz w:val="24"/>
          <w:szCs w:val="24"/>
        </w:rPr>
        <w:t>TH04010373-V6</w:t>
      </w:r>
    </w:p>
    <w:p w14:paraId="6CCF0EED" w14:textId="20CD0E98" w:rsidR="00515E0D" w:rsidRPr="00515E0D" w:rsidRDefault="00515E0D" w:rsidP="00515E0D">
      <w:pPr>
        <w:ind w:left="705"/>
        <w:jc w:val="both"/>
        <w:rPr>
          <w:sz w:val="24"/>
          <w:szCs w:val="24"/>
        </w:rPr>
      </w:pPr>
      <w:r w:rsidRPr="00515E0D">
        <w:rPr>
          <w:sz w:val="24"/>
          <w:szCs w:val="24"/>
        </w:rPr>
        <w:t>Příspěvek na odborné konferenci ESI Forum -</w:t>
      </w:r>
      <w:r>
        <w:rPr>
          <w:sz w:val="24"/>
          <w:szCs w:val="24"/>
        </w:rPr>
        <w:t xml:space="preserve"> </w:t>
      </w:r>
      <w:r w:rsidRPr="00515E0D">
        <w:rPr>
          <w:sz w:val="24"/>
          <w:szCs w:val="24"/>
        </w:rPr>
        <w:t>seznámení uživatelů s novými moduly Visual CEM</w:t>
      </w:r>
    </w:p>
    <w:p w14:paraId="0241F66A" w14:textId="0F4AD103" w:rsidR="00825A45" w:rsidRPr="00515E0D" w:rsidRDefault="00825A45" w:rsidP="00825A45">
      <w:pPr>
        <w:ind w:left="705"/>
        <w:jc w:val="both"/>
        <w:rPr>
          <w:sz w:val="24"/>
          <w:szCs w:val="24"/>
        </w:rPr>
      </w:pPr>
      <w:r w:rsidRPr="00515E0D">
        <w:rPr>
          <w:sz w:val="24"/>
          <w:szCs w:val="24"/>
        </w:rPr>
        <w:t xml:space="preserve">Typ výsledku – </w:t>
      </w:r>
      <w:r w:rsidR="00515E0D" w:rsidRPr="00515E0D">
        <w:rPr>
          <w:sz w:val="24"/>
          <w:szCs w:val="24"/>
        </w:rPr>
        <w:t>„O – Ostatní výsledky“</w:t>
      </w:r>
    </w:p>
    <w:p w14:paraId="3796F170" w14:textId="607548C9" w:rsidR="00825A45" w:rsidRDefault="00825A45" w:rsidP="00825A45">
      <w:pPr>
        <w:ind w:left="705"/>
        <w:jc w:val="both"/>
        <w:rPr>
          <w:sz w:val="24"/>
          <w:szCs w:val="24"/>
        </w:rPr>
      </w:pPr>
      <w:r w:rsidRPr="00515E0D">
        <w:rPr>
          <w:sz w:val="24"/>
          <w:szCs w:val="24"/>
        </w:rPr>
        <w:t xml:space="preserve">Vlastnictví výsledku – </w:t>
      </w:r>
      <w:r w:rsidR="00097D0D">
        <w:rPr>
          <w:sz w:val="24"/>
          <w:szCs w:val="24"/>
        </w:rPr>
        <w:t>8</w:t>
      </w:r>
      <w:r w:rsidR="00515E0D" w:rsidRPr="00515E0D">
        <w:rPr>
          <w:sz w:val="24"/>
          <w:szCs w:val="24"/>
        </w:rPr>
        <w:t>0 % MECAS ESI</w:t>
      </w:r>
      <w:r w:rsidR="00097D0D">
        <w:rPr>
          <w:sz w:val="24"/>
          <w:szCs w:val="24"/>
        </w:rPr>
        <w:t>, 10 % ČVUT, 10 % VUT</w:t>
      </w:r>
    </w:p>
    <w:p w14:paraId="0E76420E" w14:textId="69D0D04D" w:rsidR="00097D0D" w:rsidRDefault="00097D0D" w:rsidP="00825A45">
      <w:pPr>
        <w:ind w:left="705"/>
        <w:jc w:val="both"/>
        <w:rPr>
          <w:sz w:val="24"/>
          <w:szCs w:val="24"/>
        </w:rPr>
      </w:pPr>
    </w:p>
    <w:p w14:paraId="5762E0F7"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075D4A89" w14:textId="77777777" w:rsidR="00635D46" w:rsidRDefault="00635D46" w:rsidP="00F73633">
      <w:pPr>
        <w:jc w:val="both"/>
        <w:rPr>
          <w:sz w:val="24"/>
          <w:szCs w:val="24"/>
        </w:rPr>
      </w:pPr>
    </w:p>
    <w:p w14:paraId="21012557"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44023D97" w14:textId="77777777" w:rsidR="00635D46" w:rsidRDefault="00635D46" w:rsidP="00635D46">
      <w:pPr>
        <w:pStyle w:val="Zkladntext"/>
        <w:jc w:val="both"/>
      </w:pPr>
    </w:p>
    <w:p w14:paraId="2501B288" w14:textId="3DCC411B"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změně některých zákonů (autorský zákon) </w:t>
      </w:r>
      <w:r w:rsidR="00741E56">
        <w:rPr>
          <w:sz w:val="24"/>
          <w:szCs w:val="24"/>
        </w:rPr>
        <w:t>nebo jiných zvláštních předpisů</w:t>
      </w:r>
      <w:r w:rsidR="00741E56" w:rsidRPr="002B2D50">
        <w:rPr>
          <w:sz w:val="24"/>
          <w:szCs w:val="24"/>
        </w:rPr>
        <w:t xml:space="preserve"> </w:t>
      </w:r>
      <w:r w:rsidRPr="002B2D50">
        <w:rPr>
          <w:sz w:val="24"/>
          <w:szCs w:val="24"/>
        </w:rPr>
        <w:t xml:space="preserve">a ve smyslu </w:t>
      </w:r>
      <w:r w:rsidR="008259DF">
        <w:rPr>
          <w:sz w:val="24"/>
          <w:szCs w:val="24"/>
        </w:rPr>
        <w:t>§</w:t>
      </w:r>
      <w:r w:rsidR="00DA7279">
        <w:rPr>
          <w:sz w:val="24"/>
          <w:szCs w:val="24"/>
        </w:rPr>
        <w:t> </w:t>
      </w:r>
      <w:r w:rsidR="008259DF">
        <w:rPr>
          <w:sz w:val="24"/>
          <w:szCs w:val="24"/>
        </w:rPr>
        <w:t xml:space="preserve">58 autorského zákona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další účastní</w:t>
      </w:r>
      <w:r w:rsidR="00637DE9">
        <w:rPr>
          <w:sz w:val="24"/>
          <w:szCs w:val="24"/>
        </w:rPr>
        <w:t>ci</w:t>
      </w:r>
      <w:r w:rsidR="005558AB">
        <w:rPr>
          <w:sz w:val="24"/>
          <w:szCs w:val="24"/>
        </w:rPr>
        <w:t xml:space="preserve"> projektu</w:t>
      </w:r>
      <w:r w:rsidRPr="002B2D50">
        <w:rPr>
          <w:sz w:val="24"/>
          <w:szCs w:val="24"/>
        </w:rPr>
        <w:t xml:space="preserve"> </w:t>
      </w:r>
      <w:r w:rsidR="00724DFC">
        <w:rPr>
          <w:sz w:val="24"/>
          <w:szCs w:val="24"/>
        </w:rPr>
        <w:t>nebo příjemce a další účastní</w:t>
      </w:r>
      <w:r w:rsidR="00637DE9">
        <w:rPr>
          <w:sz w:val="24"/>
          <w:szCs w:val="24"/>
        </w:rPr>
        <w:t>ci</w:t>
      </w:r>
      <w:r w:rsidR="008259DF">
        <w:rPr>
          <w:sz w:val="24"/>
          <w:szCs w:val="24"/>
        </w:rPr>
        <w:t xml:space="preserve"> projektu společně</w:t>
      </w:r>
      <w:r w:rsidRPr="002B2D50">
        <w:rPr>
          <w:sz w:val="24"/>
          <w:szCs w:val="24"/>
        </w:rPr>
        <w:t>.</w:t>
      </w:r>
    </w:p>
    <w:p w14:paraId="4D2ADBBB" w14:textId="77777777" w:rsidR="002B2D50" w:rsidRPr="002B2D50" w:rsidRDefault="002B2D50" w:rsidP="002B2D50">
      <w:pPr>
        <w:pStyle w:val="Odstavecseseznamem"/>
        <w:ind w:hanging="783"/>
        <w:rPr>
          <w:sz w:val="24"/>
          <w:szCs w:val="24"/>
        </w:rPr>
      </w:pPr>
    </w:p>
    <w:p w14:paraId="003C63FD" w14:textId="0404B3EB"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0262CA">
        <w:rPr>
          <w:sz w:val="24"/>
          <w:szCs w:val="24"/>
        </w:rPr>
        <w:t>k</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r w:rsidR="0063131B">
        <w:rPr>
          <w:spacing w:val="6"/>
          <w:sz w:val="24"/>
          <w:szCs w:val="24"/>
        </w:rPr>
        <w:t xml:space="preserve"> a splňují podmínky zadání řešeného projektu</w:t>
      </w:r>
      <w:r w:rsidR="002B2D50">
        <w:rPr>
          <w:spacing w:val="6"/>
          <w:sz w:val="24"/>
          <w:szCs w:val="24"/>
        </w:rPr>
        <w:t>.</w:t>
      </w:r>
    </w:p>
    <w:p w14:paraId="31578824" w14:textId="77777777" w:rsidR="00637DE9" w:rsidRDefault="00637DE9" w:rsidP="00F73633">
      <w:pPr>
        <w:jc w:val="both"/>
        <w:rPr>
          <w:sz w:val="24"/>
          <w:szCs w:val="24"/>
        </w:rPr>
      </w:pPr>
    </w:p>
    <w:p w14:paraId="482B06A8" w14:textId="77777777" w:rsidR="009D2B69" w:rsidRDefault="009D2B69" w:rsidP="00851E4A">
      <w:pPr>
        <w:pStyle w:val="Zkladntext"/>
        <w:jc w:val="center"/>
        <w:rPr>
          <w:b/>
        </w:rPr>
      </w:pPr>
      <w:r>
        <w:rPr>
          <w:b/>
        </w:rPr>
        <w:t>III.</w:t>
      </w:r>
    </w:p>
    <w:p w14:paraId="35AB2A62" w14:textId="77777777" w:rsidR="009D2B69" w:rsidRDefault="009D2B69">
      <w:pPr>
        <w:pStyle w:val="Zkladntext"/>
        <w:jc w:val="center"/>
        <w:rPr>
          <w:b/>
          <w:bCs/>
        </w:rPr>
      </w:pPr>
      <w:r>
        <w:rPr>
          <w:b/>
          <w:bCs/>
        </w:rPr>
        <w:t>Úprava užívacích práv k výsledkům projektu</w:t>
      </w:r>
    </w:p>
    <w:p w14:paraId="0285B2CB" w14:textId="77777777" w:rsidR="00851E4A" w:rsidRDefault="00851E4A">
      <w:pPr>
        <w:pStyle w:val="Zkladntext"/>
        <w:jc w:val="center"/>
        <w:rPr>
          <w:b/>
        </w:rPr>
      </w:pPr>
    </w:p>
    <w:p w14:paraId="5E28CA45" w14:textId="6E78ABDE" w:rsidR="00635D46" w:rsidRDefault="00635D46" w:rsidP="002B2D50">
      <w:pPr>
        <w:pStyle w:val="Zkladntext"/>
        <w:numPr>
          <w:ilvl w:val="0"/>
          <w:numId w:val="18"/>
        </w:numPr>
        <w:ind w:hanging="720"/>
        <w:jc w:val="both"/>
        <w:rPr>
          <w:szCs w:val="24"/>
        </w:rPr>
      </w:pPr>
      <w:r>
        <w:rPr>
          <w:szCs w:val="24"/>
        </w:rPr>
        <w:t xml:space="preserve">Smluvní strana, která je výlučným vlastníkem výsledku, jej může užívat sama bez jakéhokoliv omezení. </w:t>
      </w:r>
      <w:r w:rsidR="00D66C88">
        <w:rPr>
          <w:szCs w:val="24"/>
        </w:rPr>
        <w:t>V</w:t>
      </w:r>
      <w:r w:rsidR="00E60F39">
        <w:rPr>
          <w:szCs w:val="24"/>
        </w:rPr>
        <w:t>ýsledky, které jsou v</w:t>
      </w:r>
      <w:r w:rsidR="00D66C88">
        <w:rPr>
          <w:szCs w:val="24"/>
        </w:rPr>
        <w:t>e</w:t>
      </w:r>
      <w:r w:rsidR="00E60F39">
        <w:rPr>
          <w:szCs w:val="24"/>
        </w:rPr>
        <w:t> výlučném vlastnictví</w:t>
      </w:r>
      <w:r w:rsidR="00333422">
        <w:rPr>
          <w:szCs w:val="24"/>
        </w:rPr>
        <w:t xml:space="preserve"> </w:t>
      </w:r>
      <w:r w:rsidR="00DD6DC8">
        <w:rPr>
          <w:szCs w:val="24"/>
        </w:rPr>
        <w:t>MECAS ESI</w:t>
      </w:r>
      <w:r w:rsidR="00E60F39">
        <w:rPr>
          <w:szCs w:val="24"/>
        </w:rPr>
        <w:t xml:space="preserve"> </w:t>
      </w:r>
      <w:r w:rsidR="00D66C88">
        <w:rPr>
          <w:szCs w:val="24"/>
        </w:rPr>
        <w:t xml:space="preserve">budou využity </w:t>
      </w:r>
      <w:r w:rsidR="00E60F39">
        <w:rPr>
          <w:szCs w:val="24"/>
        </w:rPr>
        <w:t xml:space="preserve">nejdéle do </w:t>
      </w:r>
      <w:r w:rsidR="00333422">
        <w:t>5</w:t>
      </w:r>
      <w:r w:rsidR="0099272E">
        <w:t xml:space="preserve"> </w:t>
      </w:r>
      <w:r w:rsidR="00E60F39">
        <w:rPr>
          <w:szCs w:val="24"/>
        </w:rPr>
        <w:t xml:space="preserve">let </w:t>
      </w:r>
      <w:r w:rsidR="00333422">
        <w:rPr>
          <w:szCs w:val="24"/>
        </w:rPr>
        <w:t xml:space="preserve">od </w:t>
      </w:r>
      <w:r w:rsidR="0099272E" w:rsidRPr="007D6618">
        <w:rPr>
          <w:szCs w:val="24"/>
        </w:rPr>
        <w:t>ukončení projektu</w:t>
      </w:r>
      <w:r w:rsidR="00E60F39" w:rsidRPr="007D6618">
        <w:rPr>
          <w:szCs w:val="24"/>
        </w:rPr>
        <w:t xml:space="preserve"> </w:t>
      </w:r>
      <w:r w:rsidR="00333422" w:rsidRPr="007D6618">
        <w:rPr>
          <w:szCs w:val="24"/>
        </w:rPr>
        <w:t xml:space="preserve">při </w:t>
      </w:r>
      <w:r w:rsidR="00DD6DC8" w:rsidRPr="007D6618">
        <w:rPr>
          <w:szCs w:val="24"/>
        </w:rPr>
        <w:t xml:space="preserve">zpracování zákaznických poptávek na analýzu </w:t>
      </w:r>
      <w:r w:rsidR="00150944" w:rsidRPr="007D6618">
        <w:t>elektromagnetických systémů</w:t>
      </w:r>
      <w:r w:rsidR="00DD6DC8" w:rsidRPr="007D6618">
        <w:rPr>
          <w:szCs w:val="24"/>
        </w:rPr>
        <w:t xml:space="preserve"> a</w:t>
      </w:r>
      <w:r w:rsidR="00DD6DC8">
        <w:rPr>
          <w:szCs w:val="24"/>
        </w:rPr>
        <w:t xml:space="preserve"> formou prodeje licencí k software</w:t>
      </w:r>
      <w:r w:rsidR="00DB74FF">
        <w:rPr>
          <w:szCs w:val="24"/>
        </w:rPr>
        <w:t>.</w:t>
      </w:r>
    </w:p>
    <w:p w14:paraId="26664A01" w14:textId="77777777" w:rsidR="007D6618" w:rsidRDefault="007D6618" w:rsidP="007D6618">
      <w:pPr>
        <w:pStyle w:val="Zkladntext"/>
        <w:jc w:val="both"/>
        <w:rPr>
          <w:szCs w:val="24"/>
        </w:rPr>
      </w:pPr>
    </w:p>
    <w:p w14:paraId="2A69DCC6" w14:textId="31BC5AF9" w:rsidR="00A23E87" w:rsidRPr="007D6618" w:rsidRDefault="00A23E87" w:rsidP="002B2D50">
      <w:pPr>
        <w:pStyle w:val="Zkladntext"/>
        <w:numPr>
          <w:ilvl w:val="0"/>
          <w:numId w:val="18"/>
        </w:numPr>
        <w:ind w:hanging="720"/>
        <w:jc w:val="both"/>
        <w:rPr>
          <w:szCs w:val="24"/>
        </w:rPr>
      </w:pPr>
      <w:r w:rsidRPr="007D6618">
        <w:rPr>
          <w:szCs w:val="24"/>
        </w:rPr>
        <w:t>MECAS ESI může</w:t>
      </w:r>
      <w:r w:rsidR="000E4FA7">
        <w:rPr>
          <w:szCs w:val="24"/>
        </w:rPr>
        <w:t xml:space="preserve"> bez další kompenzace ČVUT a VUT</w:t>
      </w:r>
      <w:r w:rsidRPr="007D6618">
        <w:rPr>
          <w:szCs w:val="24"/>
        </w:rPr>
        <w:t xml:space="preserve"> komerčně používat následující dílčí výsledky dosažené v rámci etap projektu:</w:t>
      </w:r>
    </w:p>
    <w:p w14:paraId="1A395C4E" w14:textId="1AB15ABD" w:rsidR="00A23E87" w:rsidRPr="007D6618" w:rsidRDefault="00A23E87" w:rsidP="00A23E87">
      <w:pPr>
        <w:pStyle w:val="Zkladntext"/>
        <w:numPr>
          <w:ilvl w:val="0"/>
          <w:numId w:val="34"/>
        </w:numPr>
        <w:jc w:val="both"/>
        <w:rPr>
          <w:szCs w:val="24"/>
        </w:rPr>
      </w:pPr>
      <w:r w:rsidRPr="007D6618">
        <w:rPr>
          <w:szCs w:val="24"/>
        </w:rPr>
        <w:t>Použití algoritmů pro automatické přizpůsobování antén</w:t>
      </w:r>
      <w:r w:rsidR="00A3464D" w:rsidRPr="007D6618">
        <w:rPr>
          <w:szCs w:val="24"/>
        </w:rPr>
        <w:t xml:space="preserve"> pomocí soustředěných reaktančních prvků</w:t>
      </w:r>
      <w:r w:rsidRPr="007D6618">
        <w:rPr>
          <w:szCs w:val="24"/>
        </w:rPr>
        <w:t xml:space="preserve"> a pseudokódu těchto algoritmů</w:t>
      </w:r>
    </w:p>
    <w:p w14:paraId="6D5075BE" w14:textId="20F2B43E" w:rsidR="00A23E87" w:rsidRPr="007D6618" w:rsidRDefault="00A23E87" w:rsidP="00A23E87">
      <w:pPr>
        <w:pStyle w:val="Zkladntext"/>
        <w:numPr>
          <w:ilvl w:val="0"/>
          <w:numId w:val="34"/>
        </w:numPr>
        <w:jc w:val="both"/>
        <w:rPr>
          <w:szCs w:val="24"/>
        </w:rPr>
      </w:pPr>
      <w:r w:rsidRPr="007D6618">
        <w:rPr>
          <w:szCs w:val="24"/>
        </w:rPr>
        <w:t>Použití algoritmů pro optimalizaci a pseudokódu těchto algoritmů</w:t>
      </w:r>
    </w:p>
    <w:p w14:paraId="306CD673" w14:textId="19F96F1D" w:rsidR="00A3464D" w:rsidRPr="007D6618" w:rsidRDefault="00A3464D" w:rsidP="00A3464D">
      <w:pPr>
        <w:pStyle w:val="Zkladntext"/>
        <w:numPr>
          <w:ilvl w:val="0"/>
          <w:numId w:val="34"/>
        </w:numPr>
        <w:jc w:val="both"/>
        <w:rPr>
          <w:szCs w:val="24"/>
        </w:rPr>
      </w:pPr>
      <w:r w:rsidRPr="007D6618">
        <w:rPr>
          <w:szCs w:val="24"/>
        </w:rPr>
        <w:t>Použití algoritmů pixelingu a pseudokódu těchto algoritmů</w:t>
      </w:r>
    </w:p>
    <w:p w14:paraId="46A9B8B9" w14:textId="1128750B" w:rsidR="0098140D" w:rsidRPr="007D6618" w:rsidRDefault="0098140D" w:rsidP="006E4A1F">
      <w:pPr>
        <w:pStyle w:val="Zkladntext"/>
        <w:numPr>
          <w:ilvl w:val="0"/>
          <w:numId w:val="34"/>
        </w:numPr>
        <w:jc w:val="both"/>
        <w:rPr>
          <w:szCs w:val="24"/>
        </w:rPr>
      </w:pPr>
      <w:r w:rsidRPr="007D6618">
        <w:rPr>
          <w:szCs w:val="24"/>
        </w:rPr>
        <w:t>Použití algoritmů pro analýzu interakce mezi elektricky malým a elektricky velkým tělesem a pseudokódu těchto algoritmů</w:t>
      </w:r>
    </w:p>
    <w:p w14:paraId="246DA86D" w14:textId="581EE1BD" w:rsidR="00A23E87" w:rsidRPr="007D6618" w:rsidRDefault="00A23E87" w:rsidP="00A3464D">
      <w:pPr>
        <w:pStyle w:val="Zkladntext"/>
        <w:numPr>
          <w:ilvl w:val="0"/>
          <w:numId w:val="34"/>
        </w:numPr>
        <w:jc w:val="both"/>
        <w:rPr>
          <w:szCs w:val="24"/>
        </w:rPr>
      </w:pPr>
      <w:r w:rsidRPr="007D6618">
        <w:rPr>
          <w:szCs w:val="24"/>
        </w:rPr>
        <w:t>Použití algoritmů pro modální analýzu s využitím sjednocené teorie charakteristických módů a pseudokódu těchto algoritmů</w:t>
      </w:r>
    </w:p>
    <w:p w14:paraId="2D68F9BD" w14:textId="33C6F916" w:rsidR="00A3464D" w:rsidRPr="007D6618" w:rsidRDefault="00A3464D" w:rsidP="00A3464D">
      <w:pPr>
        <w:pStyle w:val="Zkladntext"/>
        <w:numPr>
          <w:ilvl w:val="0"/>
          <w:numId w:val="34"/>
        </w:numPr>
        <w:jc w:val="both"/>
        <w:rPr>
          <w:szCs w:val="24"/>
        </w:rPr>
      </w:pPr>
      <w:r w:rsidRPr="007D6618">
        <w:rPr>
          <w:szCs w:val="24"/>
        </w:rPr>
        <w:t>Použití algoritmů pro návrh kalibrační sady a pseudokódu těchto algoritmů</w:t>
      </w:r>
    </w:p>
    <w:p w14:paraId="0D082B34" w14:textId="62044C74" w:rsidR="0098140D" w:rsidRPr="007D6618" w:rsidRDefault="0098140D" w:rsidP="00A3464D">
      <w:pPr>
        <w:pStyle w:val="Zkladntext"/>
        <w:numPr>
          <w:ilvl w:val="0"/>
          <w:numId w:val="34"/>
        </w:numPr>
        <w:jc w:val="both"/>
        <w:rPr>
          <w:szCs w:val="24"/>
        </w:rPr>
      </w:pPr>
      <w:r w:rsidRPr="007D6618">
        <w:rPr>
          <w:szCs w:val="24"/>
        </w:rPr>
        <w:t>Použití naměřených parametrů konektorů</w:t>
      </w:r>
      <w:r w:rsidR="007D6618">
        <w:rPr>
          <w:szCs w:val="24"/>
        </w:rPr>
        <w:t>.</w:t>
      </w:r>
    </w:p>
    <w:p w14:paraId="0A96A7BC" w14:textId="77777777" w:rsidR="00A3464D" w:rsidRPr="007D6618" w:rsidRDefault="00A3464D" w:rsidP="00A3464D">
      <w:pPr>
        <w:pStyle w:val="Zkladntext"/>
        <w:ind w:left="720"/>
        <w:jc w:val="both"/>
        <w:rPr>
          <w:szCs w:val="24"/>
        </w:rPr>
      </w:pPr>
    </w:p>
    <w:p w14:paraId="32A21A45" w14:textId="294AB2D1" w:rsidR="00A3464D" w:rsidRPr="007D6618" w:rsidRDefault="00A3464D" w:rsidP="00A3464D">
      <w:pPr>
        <w:pStyle w:val="Zkladntext"/>
        <w:numPr>
          <w:ilvl w:val="0"/>
          <w:numId w:val="18"/>
        </w:numPr>
        <w:ind w:hanging="720"/>
        <w:jc w:val="both"/>
        <w:rPr>
          <w:szCs w:val="24"/>
        </w:rPr>
      </w:pPr>
      <w:r w:rsidRPr="007D6618">
        <w:rPr>
          <w:szCs w:val="24"/>
        </w:rPr>
        <w:t>ČVUT může</w:t>
      </w:r>
      <w:r w:rsidR="000E4FA7">
        <w:rPr>
          <w:szCs w:val="24"/>
        </w:rPr>
        <w:t xml:space="preserve"> bez další kompenzace MECAS ESI a VUT</w:t>
      </w:r>
      <w:r w:rsidRPr="007D6618">
        <w:rPr>
          <w:szCs w:val="24"/>
        </w:rPr>
        <w:t xml:space="preserve"> komerčně používat následující dílčí výsledky dosažené v rámci etap projektu:</w:t>
      </w:r>
    </w:p>
    <w:p w14:paraId="0FD6A4A2" w14:textId="3037BF41" w:rsidR="00A3464D" w:rsidRPr="007D6618" w:rsidRDefault="00A3464D" w:rsidP="00A3464D">
      <w:pPr>
        <w:pStyle w:val="Zkladntext"/>
        <w:numPr>
          <w:ilvl w:val="0"/>
          <w:numId w:val="34"/>
        </w:numPr>
        <w:jc w:val="both"/>
        <w:rPr>
          <w:szCs w:val="24"/>
        </w:rPr>
      </w:pPr>
      <w:r w:rsidRPr="007D6618">
        <w:rPr>
          <w:szCs w:val="24"/>
        </w:rPr>
        <w:t>Použití algoritmů pro návrh kalibrační sady a jejich implementac</w:t>
      </w:r>
      <w:r w:rsidR="0098140D" w:rsidRPr="007D6618">
        <w:rPr>
          <w:szCs w:val="24"/>
        </w:rPr>
        <w:t>e</w:t>
      </w:r>
    </w:p>
    <w:p w14:paraId="65B0E7CB" w14:textId="776F9CF0" w:rsidR="007D6618" w:rsidRPr="007D6618" w:rsidRDefault="007D6618" w:rsidP="00A3464D">
      <w:pPr>
        <w:pStyle w:val="Zkladntext"/>
        <w:numPr>
          <w:ilvl w:val="0"/>
          <w:numId w:val="34"/>
        </w:numPr>
        <w:jc w:val="both"/>
        <w:rPr>
          <w:szCs w:val="24"/>
        </w:rPr>
      </w:pPr>
      <w:r w:rsidRPr="007D6618">
        <w:t>Použití algoritmů pro modální analýzu s využitím sjednocené teorie charakteristických módů a jejich implementace</w:t>
      </w:r>
    </w:p>
    <w:p w14:paraId="0FE48DE3" w14:textId="7C4B1EC2" w:rsidR="007D6618" w:rsidRPr="007D6618" w:rsidRDefault="007D6618" w:rsidP="007D6618">
      <w:pPr>
        <w:pStyle w:val="Zkladntext"/>
        <w:numPr>
          <w:ilvl w:val="0"/>
          <w:numId w:val="34"/>
        </w:numPr>
        <w:jc w:val="both"/>
      </w:pPr>
      <w:r w:rsidRPr="007D6618">
        <w:t>Použití algoritmů pixelingu a jejich implementace</w:t>
      </w:r>
    </w:p>
    <w:p w14:paraId="28339C26" w14:textId="59F5E59E" w:rsidR="0098140D" w:rsidRPr="007D6618" w:rsidRDefault="0098140D" w:rsidP="00A3464D">
      <w:pPr>
        <w:pStyle w:val="Zkladntext"/>
        <w:numPr>
          <w:ilvl w:val="0"/>
          <w:numId w:val="34"/>
        </w:numPr>
        <w:jc w:val="both"/>
        <w:rPr>
          <w:szCs w:val="24"/>
        </w:rPr>
      </w:pPr>
      <w:r w:rsidRPr="007D6618">
        <w:rPr>
          <w:szCs w:val="24"/>
        </w:rPr>
        <w:t>Použití naměřených parametrů konektorů</w:t>
      </w:r>
      <w:r w:rsidR="007D6618">
        <w:rPr>
          <w:szCs w:val="24"/>
        </w:rPr>
        <w:t>.</w:t>
      </w:r>
    </w:p>
    <w:p w14:paraId="7E02FA92" w14:textId="77777777" w:rsidR="00A3464D" w:rsidRPr="007D6618" w:rsidRDefault="00A3464D" w:rsidP="00A3464D">
      <w:pPr>
        <w:pStyle w:val="Zkladntext"/>
        <w:ind w:left="720"/>
        <w:jc w:val="both"/>
        <w:rPr>
          <w:szCs w:val="24"/>
        </w:rPr>
      </w:pPr>
    </w:p>
    <w:p w14:paraId="5D56E9E2" w14:textId="69D5502C" w:rsidR="007D6618" w:rsidRPr="007D6618" w:rsidRDefault="00A3464D" w:rsidP="007D6618">
      <w:pPr>
        <w:pStyle w:val="Zkladntext"/>
        <w:numPr>
          <w:ilvl w:val="0"/>
          <w:numId w:val="18"/>
        </w:numPr>
        <w:ind w:hanging="720"/>
        <w:jc w:val="both"/>
        <w:rPr>
          <w:szCs w:val="24"/>
        </w:rPr>
      </w:pPr>
      <w:r w:rsidRPr="007D6618">
        <w:rPr>
          <w:szCs w:val="24"/>
        </w:rPr>
        <w:t xml:space="preserve">VUT může </w:t>
      </w:r>
      <w:r w:rsidR="000E4FA7">
        <w:rPr>
          <w:szCs w:val="24"/>
        </w:rPr>
        <w:t>bez další kompenzace MECAS ESI a ČVUT</w:t>
      </w:r>
      <w:r w:rsidR="000E4FA7" w:rsidRPr="007D6618">
        <w:rPr>
          <w:szCs w:val="24"/>
        </w:rPr>
        <w:t xml:space="preserve"> </w:t>
      </w:r>
      <w:r w:rsidRPr="007D6618">
        <w:rPr>
          <w:szCs w:val="24"/>
        </w:rPr>
        <w:t>komerčně používat následující dílčí výsledky dosažené v rámci etap projektu:</w:t>
      </w:r>
    </w:p>
    <w:p w14:paraId="22B56591" w14:textId="4976B251" w:rsidR="007D6618" w:rsidRPr="007D6618" w:rsidRDefault="00A3464D" w:rsidP="007D6618">
      <w:pPr>
        <w:pStyle w:val="Zkladntext"/>
        <w:numPr>
          <w:ilvl w:val="0"/>
          <w:numId w:val="34"/>
        </w:numPr>
        <w:jc w:val="both"/>
        <w:rPr>
          <w:szCs w:val="24"/>
        </w:rPr>
      </w:pPr>
      <w:r w:rsidRPr="007D6618">
        <w:rPr>
          <w:szCs w:val="24"/>
        </w:rPr>
        <w:t>Použití algoritmů pro optimalizaci a jejich implementac</w:t>
      </w:r>
      <w:r w:rsidR="0098140D" w:rsidRPr="007D6618">
        <w:rPr>
          <w:szCs w:val="24"/>
        </w:rPr>
        <w:t>e</w:t>
      </w:r>
      <w:r w:rsidR="007D6618">
        <w:rPr>
          <w:szCs w:val="24"/>
        </w:rPr>
        <w:t>.</w:t>
      </w:r>
    </w:p>
    <w:p w14:paraId="246C18E8" w14:textId="77777777" w:rsidR="007D6618" w:rsidRPr="007D6618" w:rsidRDefault="007D6618" w:rsidP="007D6618">
      <w:pPr>
        <w:pStyle w:val="Zkladntext"/>
        <w:jc w:val="both"/>
        <w:rPr>
          <w:szCs w:val="24"/>
        </w:rPr>
      </w:pPr>
    </w:p>
    <w:p w14:paraId="4B0BEB60" w14:textId="7E957C3B" w:rsidR="007D6618" w:rsidRPr="007D6618" w:rsidRDefault="007D6618" w:rsidP="007D6618">
      <w:pPr>
        <w:pStyle w:val="Zkladntext"/>
        <w:numPr>
          <w:ilvl w:val="0"/>
          <w:numId w:val="18"/>
        </w:numPr>
        <w:ind w:hanging="720"/>
        <w:jc w:val="both"/>
        <w:rPr>
          <w:szCs w:val="24"/>
        </w:rPr>
      </w:pPr>
      <w:r w:rsidRPr="007D6618">
        <w:rPr>
          <w:szCs w:val="24"/>
        </w:rPr>
        <w:t>VUT může</w:t>
      </w:r>
      <w:r w:rsidR="000E4FA7">
        <w:rPr>
          <w:szCs w:val="24"/>
        </w:rPr>
        <w:t xml:space="preserve"> bez další kompenzace MECAS ESI a ČVUT</w:t>
      </w:r>
      <w:r w:rsidRPr="007D6618">
        <w:rPr>
          <w:szCs w:val="24"/>
        </w:rPr>
        <w:t xml:space="preserve"> nekomerčně pro potřeby výuky používat následující dílčí výsledky dosažené v rámci etap projektu:</w:t>
      </w:r>
    </w:p>
    <w:p w14:paraId="2351987F" w14:textId="3728BCC6" w:rsidR="007D6618" w:rsidRPr="007D6618" w:rsidRDefault="007D6618" w:rsidP="007D6618">
      <w:pPr>
        <w:pStyle w:val="Zkladntext"/>
        <w:numPr>
          <w:ilvl w:val="0"/>
          <w:numId w:val="34"/>
        </w:numPr>
        <w:jc w:val="both"/>
        <w:rPr>
          <w:szCs w:val="24"/>
        </w:rPr>
      </w:pPr>
      <w:r w:rsidRPr="007D6618">
        <w:rPr>
          <w:szCs w:val="24"/>
        </w:rPr>
        <w:t>Použití algoritmů pro automatické přizpůsobování antén pomocí soustředěných reaktančních prvků a pseudokódu těchto algoritmů</w:t>
      </w:r>
      <w:r>
        <w:rPr>
          <w:szCs w:val="24"/>
        </w:rPr>
        <w:t>.</w:t>
      </w:r>
    </w:p>
    <w:p w14:paraId="2FC82A28" w14:textId="0C53F2B8" w:rsidR="007D6618" w:rsidRDefault="007D6618" w:rsidP="007D6618">
      <w:pPr>
        <w:pStyle w:val="Zkladntext"/>
        <w:jc w:val="both"/>
        <w:rPr>
          <w:szCs w:val="24"/>
        </w:rPr>
      </w:pPr>
    </w:p>
    <w:p w14:paraId="3E0329F1" w14:textId="106715F3" w:rsidR="00A63850" w:rsidRDefault="00DB74FF" w:rsidP="00A63850">
      <w:pPr>
        <w:pStyle w:val="Zkladntext"/>
        <w:numPr>
          <w:ilvl w:val="0"/>
          <w:numId w:val="18"/>
        </w:numPr>
        <w:ind w:hanging="720"/>
        <w:jc w:val="both"/>
        <w:rPr>
          <w:szCs w:val="24"/>
        </w:rPr>
      </w:pPr>
      <w:r>
        <w:t>Výsledky, které jsou ve spoluvlastnictví smluvních stran</w:t>
      </w:r>
      <w:r w:rsidR="00DE0FB9">
        <w:t xml:space="preserve"> a nejsou ošetřeny v rámci rozdělení práv v odstavci II článku 1 a odstavci III článků 1-5, </w:t>
      </w:r>
      <w:r>
        <w:t xml:space="preserve">budou využity nejdéle do </w:t>
      </w:r>
      <w:r w:rsidR="00DD6DC8">
        <w:t>5</w:t>
      </w:r>
      <w:r>
        <w:t xml:space="preserve"> </w:t>
      </w:r>
      <w:r>
        <w:rPr>
          <w:szCs w:val="24"/>
        </w:rPr>
        <w:t xml:space="preserve">let ukončení projektu při </w:t>
      </w:r>
      <w:r w:rsidR="00DD6DC8">
        <w:rPr>
          <w:szCs w:val="24"/>
        </w:rPr>
        <w:t>dalším výzkumu a vývoji v dané oblasti</w:t>
      </w:r>
      <w:r>
        <w:rPr>
          <w:szCs w:val="24"/>
        </w:rPr>
        <w:t>.</w:t>
      </w:r>
      <w:r w:rsidR="008068C1">
        <w:rPr>
          <w:szCs w:val="24"/>
        </w:rPr>
        <w:t xml:space="preserve"> V případě, že </w:t>
      </w:r>
      <w:r w:rsidR="00DE0FB9">
        <w:rPr>
          <w:szCs w:val="24"/>
        </w:rPr>
        <w:t>jeden z </w:t>
      </w:r>
      <w:r w:rsidR="009D05A3">
        <w:rPr>
          <w:szCs w:val="24"/>
        </w:rPr>
        <w:t>partnerů</w:t>
      </w:r>
      <w:r w:rsidR="00DE0FB9">
        <w:rPr>
          <w:szCs w:val="24"/>
        </w:rPr>
        <w:t xml:space="preserve"> projektu </w:t>
      </w:r>
      <w:r w:rsidR="008068C1">
        <w:rPr>
          <w:szCs w:val="24"/>
        </w:rPr>
        <w:t>komerčně využije výsledky ve vlastnictví nebo spoluvlastnictví</w:t>
      </w:r>
      <w:r w:rsidR="009D05A3">
        <w:rPr>
          <w:szCs w:val="24"/>
        </w:rPr>
        <w:t xml:space="preserve"> ostatních partnerů projektu</w:t>
      </w:r>
      <w:r w:rsidR="008068C1">
        <w:rPr>
          <w:szCs w:val="24"/>
        </w:rPr>
        <w:t xml:space="preserve">, náleží </w:t>
      </w:r>
      <w:r w:rsidR="009D05A3">
        <w:rPr>
          <w:szCs w:val="24"/>
        </w:rPr>
        <w:t>ostatním partnerům</w:t>
      </w:r>
      <w:r w:rsidR="008068C1">
        <w:rPr>
          <w:szCs w:val="24"/>
        </w:rPr>
        <w:t xml:space="preserve"> přiměřená kompenzace za toto komerční využívání. Výše této kompenzace bude sjednána dodatkem k této smlouvě uzavřeným nejméně 1 měsíc před uvedením výsledků na trh.</w:t>
      </w:r>
    </w:p>
    <w:p w14:paraId="5ADFF610" w14:textId="77777777" w:rsidR="00A63850" w:rsidRDefault="00A63850" w:rsidP="00A63850">
      <w:pPr>
        <w:pStyle w:val="Odstavecseseznamem"/>
        <w:rPr>
          <w:szCs w:val="24"/>
        </w:rPr>
      </w:pPr>
    </w:p>
    <w:p w14:paraId="68FF8FA6" w14:textId="717C898E" w:rsidR="00A63850" w:rsidRDefault="0063131B" w:rsidP="00A63850">
      <w:pPr>
        <w:pStyle w:val="Zkladntext"/>
        <w:numPr>
          <w:ilvl w:val="0"/>
          <w:numId w:val="18"/>
        </w:numPr>
        <w:ind w:hanging="720"/>
        <w:jc w:val="both"/>
        <w:rPr>
          <w:szCs w:val="24"/>
        </w:rPr>
      </w:pPr>
      <w:r w:rsidRPr="00A63850">
        <w:rPr>
          <w:szCs w:val="24"/>
        </w:rPr>
        <w:t>Všechny dosažené výsledky projektu budou využity v souladu s implementačním plánem projektu.</w:t>
      </w:r>
      <w:r w:rsidR="00DD6DC8">
        <w:rPr>
          <w:szCs w:val="24"/>
        </w:rPr>
        <w:t xml:space="preserve"> Smluvní strany se zavazují důsledně uvádět zdroj financování výsledku, název projektu a všechny dotčené spoluvlastníky a spoluautory výsledku.</w:t>
      </w:r>
    </w:p>
    <w:p w14:paraId="63AE963F" w14:textId="77777777" w:rsidR="00A63850" w:rsidRDefault="00A63850" w:rsidP="00A63850">
      <w:pPr>
        <w:pStyle w:val="Odstavecseseznamem"/>
      </w:pPr>
    </w:p>
    <w:p w14:paraId="25657263" w14:textId="77777777" w:rsidR="00DF0B4A" w:rsidRDefault="00DF0B4A">
      <w:pPr>
        <w:pStyle w:val="Zkladntext"/>
        <w:jc w:val="center"/>
        <w:rPr>
          <w:b/>
        </w:rPr>
      </w:pPr>
    </w:p>
    <w:p w14:paraId="5D9B6BB5" w14:textId="77777777" w:rsidR="00A63850" w:rsidRDefault="00A63850">
      <w:pPr>
        <w:pStyle w:val="Zkladntext"/>
        <w:jc w:val="center"/>
        <w:rPr>
          <w:b/>
        </w:rPr>
      </w:pPr>
    </w:p>
    <w:p w14:paraId="5EA0558B" w14:textId="77777777" w:rsidR="009D2B69" w:rsidRDefault="008259DF">
      <w:pPr>
        <w:pStyle w:val="Zkladntext"/>
        <w:jc w:val="center"/>
        <w:rPr>
          <w:b/>
        </w:rPr>
      </w:pPr>
      <w:r>
        <w:rPr>
          <w:b/>
        </w:rPr>
        <w:lastRenderedPageBreak/>
        <w:t>I</w:t>
      </w:r>
      <w:r w:rsidR="009D2B69">
        <w:rPr>
          <w:b/>
        </w:rPr>
        <w:t>V.</w:t>
      </w:r>
    </w:p>
    <w:p w14:paraId="47FE9B2C" w14:textId="77777777" w:rsidR="009D2B69" w:rsidRDefault="009D2B69">
      <w:pPr>
        <w:pStyle w:val="Zkladntext"/>
        <w:jc w:val="center"/>
        <w:rPr>
          <w:b/>
        </w:rPr>
      </w:pPr>
      <w:r>
        <w:rPr>
          <w:b/>
        </w:rPr>
        <w:t>Důvěrnost informací</w:t>
      </w:r>
    </w:p>
    <w:p w14:paraId="0D93D37C" w14:textId="77777777" w:rsidR="009D2B69" w:rsidRDefault="009D2B69" w:rsidP="00D26A98">
      <w:pPr>
        <w:jc w:val="both"/>
        <w:rPr>
          <w:sz w:val="24"/>
        </w:rPr>
      </w:pPr>
    </w:p>
    <w:p w14:paraId="7B24F01E" w14:textId="0B880B0B" w:rsidR="009D2B69" w:rsidRDefault="009D2B69" w:rsidP="00144E61">
      <w:pPr>
        <w:pStyle w:val="Odstavecseseznamem"/>
        <w:numPr>
          <w:ilvl w:val="0"/>
          <w:numId w:val="32"/>
        </w:numPr>
        <w:spacing w:after="120"/>
        <w:ind w:hanging="720"/>
        <w:jc w:val="both"/>
        <w:rPr>
          <w:sz w:val="24"/>
          <w:szCs w:val="24"/>
        </w:rPr>
      </w:pPr>
      <w:r w:rsidRPr="00144E61">
        <w:rPr>
          <w:sz w:val="24"/>
          <w:szCs w:val="24"/>
        </w:rPr>
        <w:t>Výsledky řešení projektu</w:t>
      </w:r>
      <w:r w:rsidR="00DC02B1" w:rsidRPr="00144E61">
        <w:rPr>
          <w:sz w:val="24"/>
          <w:szCs w:val="24"/>
        </w:rPr>
        <w:t xml:space="preserve"> uvedené v čl. II. odst. 1 písm. </w:t>
      </w:r>
      <w:r w:rsidR="00D14A81">
        <w:rPr>
          <w:sz w:val="24"/>
          <w:szCs w:val="24"/>
        </w:rPr>
        <w:t>a)</w:t>
      </w:r>
      <w:r w:rsidR="009D05A3">
        <w:rPr>
          <w:sz w:val="24"/>
          <w:szCs w:val="24"/>
        </w:rPr>
        <w:t xml:space="preserve"> a </w:t>
      </w:r>
      <w:r w:rsidR="00D14A81">
        <w:rPr>
          <w:sz w:val="24"/>
          <w:szCs w:val="24"/>
        </w:rPr>
        <w:t xml:space="preserve"> b) </w:t>
      </w:r>
      <w:r w:rsidRPr="00144E61">
        <w:rPr>
          <w:sz w:val="24"/>
          <w:szCs w:val="24"/>
        </w:rPr>
        <w:t>tvoří duševní vlastnictví a obchodní tajemství smluvních stran ve smyslu ust</w:t>
      </w:r>
      <w:r w:rsidR="00B05A53" w:rsidRPr="00144E61">
        <w:rPr>
          <w:sz w:val="24"/>
          <w:szCs w:val="24"/>
        </w:rPr>
        <w:t>anovení</w:t>
      </w:r>
      <w:r w:rsidRPr="00144E61">
        <w:rPr>
          <w:sz w:val="24"/>
          <w:szCs w:val="24"/>
        </w:rPr>
        <w:t xml:space="preserve"> § 504 zákona č. 89/2012 Sb., občanský zákoník, v platném znění, a smluvní strany se zavazují obsah tohoto obchodního tajemství nevyzradit žádné třetí osobě bez předchozího písemného souhlasu </w:t>
      </w:r>
      <w:r w:rsidR="007F3FFA">
        <w:rPr>
          <w:sz w:val="24"/>
          <w:szCs w:val="24"/>
        </w:rPr>
        <w:t>dotčených smluvních stran</w:t>
      </w:r>
      <w:r w:rsidR="00516F75" w:rsidRPr="00144E61">
        <w:rPr>
          <w:sz w:val="24"/>
          <w:szCs w:val="24"/>
        </w:rPr>
        <w:t>.</w:t>
      </w:r>
      <w:r w:rsidRPr="00144E61">
        <w:rPr>
          <w:sz w:val="24"/>
          <w:szCs w:val="24"/>
        </w:rPr>
        <w:t xml:space="preserve"> Výsledky řešení projektu netvoří žádné jiné důvěrné informace, se kterými by bylo třeba nakládat podle zvláštních právních předpisů. </w:t>
      </w:r>
    </w:p>
    <w:p w14:paraId="07C0B175" w14:textId="77777777" w:rsidR="00D53EA0" w:rsidRPr="00144E61" w:rsidRDefault="00D53EA0" w:rsidP="00144E61">
      <w:pPr>
        <w:pStyle w:val="Odstavecseseznamem"/>
        <w:spacing w:after="120"/>
        <w:jc w:val="both"/>
        <w:rPr>
          <w:sz w:val="24"/>
          <w:szCs w:val="24"/>
        </w:rPr>
      </w:pPr>
    </w:p>
    <w:p w14:paraId="2930587F" w14:textId="77777777" w:rsidR="00A63850" w:rsidRPr="00A63850" w:rsidRDefault="00DC02B1" w:rsidP="00A63850">
      <w:pPr>
        <w:pStyle w:val="Odstavecseseznamem"/>
        <w:numPr>
          <w:ilvl w:val="0"/>
          <w:numId w:val="32"/>
        </w:numPr>
        <w:spacing w:after="120"/>
        <w:ind w:hanging="720"/>
        <w:jc w:val="both"/>
        <w:rPr>
          <w:szCs w:val="24"/>
        </w:rPr>
      </w:pPr>
      <w:r w:rsidRPr="00144E61">
        <w:rPr>
          <w:sz w:val="24"/>
          <w:szCs w:val="24"/>
        </w:rPr>
        <w:t xml:space="preserve">Výsledky nevyjmenované v odst. 1 tohoto článku netvoří obchodní tajemství smluvních stran a informace o nich je možné volně šířit. </w:t>
      </w:r>
    </w:p>
    <w:p w14:paraId="5D516913" w14:textId="77777777" w:rsidR="00A63850" w:rsidRPr="00A63850" w:rsidRDefault="00A63850" w:rsidP="00A63850">
      <w:pPr>
        <w:pStyle w:val="Odstavecseseznamem"/>
        <w:rPr>
          <w:sz w:val="24"/>
          <w:szCs w:val="24"/>
        </w:rPr>
      </w:pPr>
    </w:p>
    <w:p w14:paraId="1CF49141" w14:textId="77777777" w:rsidR="00A63850" w:rsidRPr="00A63850" w:rsidRDefault="0063131B" w:rsidP="00A63850">
      <w:pPr>
        <w:pStyle w:val="Odstavecseseznamem"/>
        <w:numPr>
          <w:ilvl w:val="0"/>
          <w:numId w:val="32"/>
        </w:numPr>
        <w:spacing w:after="120"/>
        <w:ind w:hanging="720"/>
        <w:jc w:val="both"/>
        <w:rPr>
          <w:szCs w:val="24"/>
        </w:rPr>
      </w:pPr>
      <w:r w:rsidRPr="00A63850">
        <w:rPr>
          <w:sz w:val="24"/>
          <w:szCs w:val="24"/>
        </w:rPr>
        <w:t xml:space="preserve">Dále se smluvní strany zavazují zachovávat mlčenlivost o veškerých důvěrných informacích, které získaly v souvislosti s jednáním o uzavření této smlouvy, s uzavřením této smlouvy a následně v souvislosti s plněním uzavřené smlouvy. Důvěrnými informacemi jsou zejména informace o obchodních, výrobních, technických a organizačních záležitostech </w:t>
      </w:r>
      <w:r w:rsidR="007C5C7F" w:rsidRPr="00A63850">
        <w:rPr>
          <w:sz w:val="24"/>
          <w:szCs w:val="24"/>
        </w:rPr>
        <w:t>dalších</w:t>
      </w:r>
      <w:r w:rsidRPr="00A63850">
        <w:rPr>
          <w:sz w:val="24"/>
          <w:szCs w:val="24"/>
        </w:rPr>
        <w:t xml:space="preserve"> smluvní</w:t>
      </w:r>
      <w:r w:rsidR="007C5C7F" w:rsidRPr="00A63850">
        <w:rPr>
          <w:sz w:val="24"/>
          <w:szCs w:val="24"/>
        </w:rPr>
        <w:t>ch</w:t>
      </w:r>
      <w:r w:rsidRPr="00A63850">
        <w:rPr>
          <w:sz w:val="24"/>
          <w:szCs w:val="24"/>
        </w:rPr>
        <w:t xml:space="preserve"> stran, dále technické informace, odborné informace a podnikatelsky využitelné znalosti a dovednosti, jež jsou utajované, významné a identifikovatelné v příslušné formě a jsou předmětem obchodního tajemství některé ze smluvních stran. Smluvní strany se zavazují zachovávat mlčenlivost o těchto skutečnostech i po ukončení platnosti této smlouvy.</w:t>
      </w:r>
    </w:p>
    <w:p w14:paraId="42047F09" w14:textId="77777777" w:rsidR="00A63850" w:rsidRPr="00A63850" w:rsidRDefault="00A63850" w:rsidP="00A63850">
      <w:pPr>
        <w:pStyle w:val="Odstavecseseznamem"/>
        <w:rPr>
          <w:sz w:val="24"/>
          <w:szCs w:val="24"/>
        </w:rPr>
      </w:pPr>
    </w:p>
    <w:p w14:paraId="1AE4B9E7" w14:textId="5BABDA91" w:rsidR="00A63850" w:rsidRPr="00A63850" w:rsidRDefault="0063131B" w:rsidP="00A63850">
      <w:pPr>
        <w:pStyle w:val="Odstavecseseznamem"/>
        <w:numPr>
          <w:ilvl w:val="0"/>
          <w:numId w:val="32"/>
        </w:numPr>
        <w:spacing w:after="120"/>
        <w:ind w:hanging="720"/>
        <w:jc w:val="both"/>
        <w:rPr>
          <w:szCs w:val="24"/>
        </w:rPr>
      </w:pPr>
      <w:r w:rsidRPr="00A63850">
        <w:rPr>
          <w:sz w:val="24"/>
          <w:szCs w:val="24"/>
        </w:rPr>
        <w:t xml:space="preserve">Smluvní strany se zavazují uhradit dotčeným smluvním stranám škody vzniklé porušením povinnosti mlčenlivosti, jak je sjednána v předchozím odstavci tohoto článku, a to do </w:t>
      </w:r>
      <w:r w:rsidR="00341A2C" w:rsidRPr="00A63850">
        <w:rPr>
          <w:sz w:val="24"/>
          <w:szCs w:val="24"/>
        </w:rPr>
        <w:t>30</w:t>
      </w:r>
      <w:r w:rsidRPr="00A63850">
        <w:rPr>
          <w:sz w:val="24"/>
          <w:szCs w:val="24"/>
        </w:rPr>
        <w:t xml:space="preserve"> dnů ode dne doručení výzvy k úhradě.</w:t>
      </w:r>
    </w:p>
    <w:p w14:paraId="039375D3" w14:textId="77777777" w:rsidR="00A63850" w:rsidRPr="00A63850" w:rsidRDefault="00A63850" w:rsidP="00A63850">
      <w:pPr>
        <w:pStyle w:val="Odstavecseseznamem"/>
        <w:rPr>
          <w:sz w:val="24"/>
          <w:szCs w:val="24"/>
        </w:rPr>
      </w:pPr>
    </w:p>
    <w:p w14:paraId="7C9EB21F" w14:textId="53BC8DA9" w:rsidR="0063131B" w:rsidRPr="00A63850" w:rsidRDefault="0063131B" w:rsidP="00A63850">
      <w:pPr>
        <w:pStyle w:val="Odstavecseseznamem"/>
        <w:numPr>
          <w:ilvl w:val="0"/>
          <w:numId w:val="32"/>
        </w:numPr>
        <w:spacing w:after="120"/>
        <w:ind w:hanging="720"/>
        <w:jc w:val="both"/>
        <w:rPr>
          <w:szCs w:val="24"/>
        </w:rPr>
      </w:pPr>
      <w:r w:rsidRPr="00A63850">
        <w:rPr>
          <w:sz w:val="24"/>
          <w:szCs w:val="24"/>
        </w:rPr>
        <w:t>Smluvní strany se zavazují zajistit, aby ve všech informacích zveřejňovaných v souvislosti s výsledky řešení projektu bylo vždy uvedeno, že řešení projektu bylo realizováno ve spolupráci dalších smluvních stran a za finanční podpory poskytovatele Technologické agentury ČR.</w:t>
      </w:r>
    </w:p>
    <w:p w14:paraId="531CB851" w14:textId="77777777" w:rsidR="007A7C5E" w:rsidRDefault="007A7C5E" w:rsidP="00D26A98">
      <w:pPr>
        <w:jc w:val="both"/>
      </w:pPr>
    </w:p>
    <w:p w14:paraId="67D1523F" w14:textId="77777777" w:rsidR="00C95440" w:rsidRDefault="00C95440" w:rsidP="00D26A98">
      <w:pPr>
        <w:jc w:val="both"/>
      </w:pPr>
    </w:p>
    <w:p w14:paraId="0FD7DA5D" w14:textId="77777777" w:rsidR="009D2B69" w:rsidRDefault="008259DF">
      <w:pPr>
        <w:pStyle w:val="Zkladntext"/>
        <w:jc w:val="center"/>
        <w:rPr>
          <w:b/>
        </w:rPr>
      </w:pPr>
      <w:r>
        <w:rPr>
          <w:b/>
        </w:rPr>
        <w:t>V</w:t>
      </w:r>
      <w:r w:rsidR="009D2B69">
        <w:rPr>
          <w:b/>
        </w:rPr>
        <w:t>.</w:t>
      </w:r>
    </w:p>
    <w:p w14:paraId="66E0DA94" w14:textId="77777777" w:rsidR="009D2B69" w:rsidRDefault="009D2B69">
      <w:pPr>
        <w:jc w:val="center"/>
        <w:rPr>
          <w:b/>
          <w:bCs/>
          <w:sz w:val="24"/>
        </w:rPr>
      </w:pPr>
      <w:r>
        <w:rPr>
          <w:b/>
          <w:bCs/>
          <w:sz w:val="24"/>
        </w:rPr>
        <w:t>Sankce</w:t>
      </w:r>
    </w:p>
    <w:p w14:paraId="5B2E53D4" w14:textId="77777777" w:rsidR="009D2B69" w:rsidRDefault="009D2B69">
      <w:pPr>
        <w:tabs>
          <w:tab w:val="num" w:pos="284"/>
        </w:tabs>
        <w:spacing w:after="120"/>
        <w:jc w:val="both"/>
        <w:rPr>
          <w:szCs w:val="24"/>
        </w:rPr>
      </w:pPr>
    </w:p>
    <w:p w14:paraId="1B52D3B8" w14:textId="7807CE6F" w:rsidR="009D2B69" w:rsidRDefault="009D2B69">
      <w:pPr>
        <w:tabs>
          <w:tab w:val="num" w:pos="284"/>
        </w:tabs>
        <w:spacing w:after="120"/>
        <w:jc w:val="both"/>
        <w:rPr>
          <w:szCs w:val="24"/>
        </w:rPr>
      </w:pPr>
      <w:r w:rsidRPr="0063628D">
        <w:rPr>
          <w:sz w:val="24"/>
          <w:szCs w:val="24"/>
        </w:rPr>
        <w:t xml:space="preserve">Pokud kterákoliv smluvní strana nesplní svůj </w:t>
      </w:r>
      <w:r w:rsidR="00FA1D8C">
        <w:rPr>
          <w:sz w:val="24"/>
          <w:szCs w:val="24"/>
        </w:rPr>
        <w:t>závazek dle této smlouvy ani po</w:t>
      </w:r>
      <w:r w:rsidRPr="0063628D">
        <w:rPr>
          <w:sz w:val="24"/>
          <w:szCs w:val="24"/>
        </w:rPr>
        <w:t xml:space="preserve">té, co byla </w:t>
      </w:r>
      <w:r w:rsidR="007F3FFA">
        <w:rPr>
          <w:sz w:val="24"/>
          <w:szCs w:val="24"/>
        </w:rPr>
        <w:t xml:space="preserve">kteroukoliv </w:t>
      </w:r>
      <w:r w:rsidRPr="0063628D">
        <w:rPr>
          <w:sz w:val="24"/>
          <w:szCs w:val="24"/>
        </w:rPr>
        <w:t xml:space="preserve">smluvní stranou vyzvána, aby jej splnila v přiměřeném náhradním termínu, je povinna zaplatit </w:t>
      </w:r>
      <w:r w:rsidR="007F3FFA">
        <w:rPr>
          <w:sz w:val="24"/>
          <w:szCs w:val="24"/>
        </w:rPr>
        <w:t>dotčeným smluvním stranám</w:t>
      </w:r>
      <w:r w:rsidRPr="0063628D">
        <w:rPr>
          <w:sz w:val="24"/>
          <w:szCs w:val="24"/>
        </w:rPr>
        <w:t xml:space="preserve"> jednorázovou smluvní pokutu ve výši </w:t>
      </w:r>
      <w:r w:rsidR="00D10E9B">
        <w:rPr>
          <w:sz w:val="24"/>
          <w:szCs w:val="24"/>
        </w:rPr>
        <w:t>10</w:t>
      </w:r>
      <w:r w:rsidRPr="0063628D">
        <w:rPr>
          <w:sz w:val="24"/>
          <w:szCs w:val="24"/>
        </w:rPr>
        <w:t>.000,-</w:t>
      </w:r>
      <w:r w:rsidR="00516F75">
        <w:rPr>
          <w:sz w:val="24"/>
          <w:szCs w:val="24"/>
        </w:rPr>
        <w:t xml:space="preserve"> </w:t>
      </w:r>
      <w:r w:rsidRPr="0063628D">
        <w:rPr>
          <w:sz w:val="24"/>
          <w:szCs w:val="24"/>
        </w:rPr>
        <w:t>Kč</w:t>
      </w:r>
      <w:r w:rsidR="008A2111">
        <w:rPr>
          <w:sz w:val="24"/>
          <w:szCs w:val="24"/>
        </w:rPr>
        <w:t xml:space="preserve">, </w:t>
      </w:r>
      <w:r w:rsidR="006369B3">
        <w:rPr>
          <w:sz w:val="24"/>
          <w:szCs w:val="24"/>
        </w:rPr>
        <w:t xml:space="preserve">pro každou dotčenou smluvní stranu, </w:t>
      </w:r>
      <w:r w:rsidR="008A2111">
        <w:rPr>
          <w:sz w:val="24"/>
          <w:szCs w:val="24"/>
        </w:rPr>
        <w:t>pokud není stanovena touto smlouvou jiná smluvní pokuta</w:t>
      </w:r>
      <w:r w:rsidRPr="0063628D">
        <w:rPr>
          <w:sz w:val="24"/>
          <w:szCs w:val="24"/>
        </w:rPr>
        <w:t>. Zaplacením smluvní pokuty nezaniká právo poškozené strany na náhradu škody</w:t>
      </w:r>
      <w:r>
        <w:rPr>
          <w:sz w:val="24"/>
          <w:szCs w:val="24"/>
        </w:rPr>
        <w:t>, a to</w:t>
      </w:r>
      <w:r w:rsidRPr="0063628D">
        <w:rPr>
          <w:sz w:val="24"/>
          <w:szCs w:val="24"/>
        </w:rPr>
        <w:t xml:space="preserve"> v plné výši. </w:t>
      </w:r>
    </w:p>
    <w:p w14:paraId="5390FC4E" w14:textId="77777777" w:rsidR="00744F3A" w:rsidRDefault="00744F3A" w:rsidP="00D26A98">
      <w:pPr>
        <w:jc w:val="both"/>
        <w:rPr>
          <w:b/>
        </w:rPr>
      </w:pPr>
    </w:p>
    <w:p w14:paraId="7C2C1A98" w14:textId="77777777" w:rsidR="009D2B69" w:rsidRDefault="008259DF">
      <w:pPr>
        <w:pStyle w:val="Zkladntext"/>
        <w:jc w:val="center"/>
        <w:rPr>
          <w:b/>
        </w:rPr>
      </w:pPr>
      <w:r>
        <w:rPr>
          <w:b/>
        </w:rPr>
        <w:t>VI</w:t>
      </w:r>
      <w:r w:rsidR="009D2B69">
        <w:rPr>
          <w:b/>
        </w:rPr>
        <w:t>.</w:t>
      </w:r>
    </w:p>
    <w:p w14:paraId="43052664" w14:textId="77777777" w:rsidR="00744F3A" w:rsidRDefault="009D2B69" w:rsidP="00744F3A">
      <w:pPr>
        <w:jc w:val="center"/>
        <w:rPr>
          <w:b/>
          <w:bCs/>
          <w:sz w:val="24"/>
        </w:rPr>
      </w:pPr>
      <w:r>
        <w:rPr>
          <w:b/>
          <w:bCs/>
          <w:sz w:val="24"/>
        </w:rPr>
        <w:t>Závěrečná ustanovení</w:t>
      </w:r>
    </w:p>
    <w:p w14:paraId="379E96D5" w14:textId="77777777" w:rsidR="00E60F39" w:rsidRPr="00744F3A" w:rsidRDefault="00E60F39" w:rsidP="00744F3A">
      <w:pPr>
        <w:jc w:val="center"/>
        <w:rPr>
          <w:b/>
          <w:bCs/>
          <w:sz w:val="24"/>
        </w:rPr>
      </w:pPr>
    </w:p>
    <w:p w14:paraId="5A0D2E50" w14:textId="0ED5B0B5" w:rsidR="008A2111" w:rsidRDefault="009D2B69" w:rsidP="008A2111">
      <w:pPr>
        <w:pStyle w:val="Odstavecseseznamem"/>
        <w:numPr>
          <w:ilvl w:val="0"/>
          <w:numId w:val="20"/>
        </w:numPr>
        <w:ind w:hanging="720"/>
        <w:jc w:val="both"/>
        <w:rPr>
          <w:sz w:val="24"/>
          <w:szCs w:val="24"/>
        </w:rPr>
      </w:pPr>
      <w:r w:rsidRPr="002B2D50">
        <w:rPr>
          <w:sz w:val="24"/>
          <w:szCs w:val="24"/>
        </w:rPr>
        <w:t>Tato smlouva nabývá platnosti dnem jejího podpisu smluvními stranami</w:t>
      </w:r>
      <w:r w:rsidR="000E4FA7">
        <w:rPr>
          <w:sz w:val="24"/>
          <w:szCs w:val="24"/>
        </w:rPr>
        <w:t xml:space="preserve"> a účinnosti jejím zveřejněním v registru smluv</w:t>
      </w:r>
      <w:r w:rsidRPr="002B2D50">
        <w:rPr>
          <w:sz w:val="24"/>
          <w:szCs w:val="24"/>
        </w:rPr>
        <w:t>.</w:t>
      </w:r>
    </w:p>
    <w:p w14:paraId="310A0DBC" w14:textId="77777777" w:rsidR="00F15CB4" w:rsidRDefault="00F15CB4" w:rsidP="00F15CB4">
      <w:pPr>
        <w:pStyle w:val="Odstavecseseznamem"/>
        <w:jc w:val="both"/>
        <w:rPr>
          <w:sz w:val="24"/>
          <w:szCs w:val="24"/>
        </w:rPr>
      </w:pPr>
    </w:p>
    <w:p w14:paraId="59E96010" w14:textId="071AA228" w:rsidR="00F15CB4" w:rsidRDefault="00F15CB4" w:rsidP="008A2111">
      <w:pPr>
        <w:pStyle w:val="Odstavecseseznamem"/>
        <w:numPr>
          <w:ilvl w:val="0"/>
          <w:numId w:val="20"/>
        </w:numPr>
        <w:ind w:hanging="720"/>
        <w:jc w:val="both"/>
        <w:rPr>
          <w:sz w:val="24"/>
          <w:szCs w:val="24"/>
        </w:rPr>
      </w:pPr>
      <w:r>
        <w:rPr>
          <w:sz w:val="24"/>
          <w:szCs w:val="24"/>
        </w:rPr>
        <w:t>Smlouva se sjednává na dobu neurčitou</w:t>
      </w:r>
      <w:r w:rsidR="0039541C">
        <w:rPr>
          <w:sz w:val="24"/>
          <w:szCs w:val="24"/>
        </w:rPr>
        <w:t>.</w:t>
      </w:r>
    </w:p>
    <w:p w14:paraId="5E99ED52" w14:textId="77777777" w:rsidR="00F15CB4" w:rsidRDefault="00F15CB4" w:rsidP="00144E61">
      <w:pPr>
        <w:pStyle w:val="Odstavecseseznamem"/>
        <w:jc w:val="both"/>
        <w:rPr>
          <w:sz w:val="24"/>
          <w:szCs w:val="24"/>
        </w:rPr>
      </w:pPr>
    </w:p>
    <w:p w14:paraId="2636AD9F" w14:textId="77777777" w:rsidR="002B2D50" w:rsidRDefault="009D2B69" w:rsidP="002B2D50">
      <w:pPr>
        <w:pStyle w:val="Odstavecseseznamem"/>
        <w:numPr>
          <w:ilvl w:val="0"/>
          <w:numId w:val="20"/>
        </w:numPr>
        <w:ind w:hanging="720"/>
        <w:jc w:val="both"/>
        <w:rPr>
          <w:sz w:val="24"/>
          <w:szCs w:val="24"/>
        </w:rPr>
      </w:pPr>
      <w:r w:rsidRPr="002B2D50">
        <w:rPr>
          <w:sz w:val="24"/>
          <w:szCs w:val="24"/>
        </w:rPr>
        <w:lastRenderedPageBreak/>
        <w:t>Práva a povinnosti smluvních stran touto smlouvou výslovně neupravená se řídí zákonem č. 130/2002 Sb. o podpoře výzkumu, experimentálního vývoje a inovací, v platném znění, a zákonem č. 89/2012 Sb., občanský zákoník, v platném znění.</w:t>
      </w:r>
    </w:p>
    <w:p w14:paraId="1AAF839B" w14:textId="77777777" w:rsidR="002B2D50" w:rsidRPr="002B2D50" w:rsidRDefault="002B2D50" w:rsidP="002B2D50">
      <w:pPr>
        <w:pStyle w:val="Odstavecseseznamem"/>
        <w:rPr>
          <w:sz w:val="24"/>
          <w:szCs w:val="24"/>
        </w:rPr>
      </w:pPr>
    </w:p>
    <w:p w14:paraId="5A5898CA" w14:textId="69BDBCBC" w:rsidR="002B2D50" w:rsidRDefault="009D2B69" w:rsidP="002B2D50">
      <w:pPr>
        <w:pStyle w:val="Odstavecseseznamem"/>
        <w:numPr>
          <w:ilvl w:val="0"/>
          <w:numId w:val="20"/>
        </w:numPr>
        <w:ind w:hanging="720"/>
        <w:jc w:val="both"/>
        <w:rPr>
          <w:sz w:val="24"/>
          <w:szCs w:val="24"/>
        </w:rPr>
      </w:pPr>
      <w:r w:rsidRPr="002B2D50">
        <w:rPr>
          <w:sz w:val="24"/>
          <w:szCs w:val="24"/>
        </w:rPr>
        <w:t>Tuto smlouvu je možno měnit nebo doplňovat jen písemnými dodatky vzájemně potvrzenými smluvními stranami. Za písemnou formu nebude pro tento účel považována výměna e-mailových či jiných elektronických zpráv.</w:t>
      </w:r>
    </w:p>
    <w:p w14:paraId="13EA622A" w14:textId="77777777" w:rsidR="002B2D50" w:rsidRPr="002B2D50" w:rsidRDefault="002B2D50" w:rsidP="002B2D50">
      <w:pPr>
        <w:pStyle w:val="Odstavecseseznamem"/>
        <w:rPr>
          <w:sz w:val="24"/>
          <w:szCs w:val="24"/>
        </w:rPr>
      </w:pPr>
    </w:p>
    <w:p w14:paraId="21C4A480" w14:textId="77777777" w:rsidR="002B2D50" w:rsidRDefault="009D2B69" w:rsidP="002B2D50">
      <w:pPr>
        <w:pStyle w:val="Odstavecseseznamem"/>
        <w:numPr>
          <w:ilvl w:val="0"/>
          <w:numId w:val="20"/>
        </w:numPr>
        <w:ind w:hanging="720"/>
        <w:jc w:val="both"/>
        <w:rPr>
          <w:sz w:val="24"/>
          <w:szCs w:val="24"/>
        </w:rPr>
      </w:pPr>
      <w:r w:rsidRPr="002B2D50">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FE781AB" w14:textId="77777777" w:rsidR="002B2D50" w:rsidRPr="002B2D50" w:rsidRDefault="002B2D50" w:rsidP="002B2D50">
      <w:pPr>
        <w:jc w:val="both"/>
        <w:rPr>
          <w:sz w:val="24"/>
          <w:szCs w:val="24"/>
        </w:rPr>
      </w:pPr>
    </w:p>
    <w:p w14:paraId="6663A4D8" w14:textId="559AB91E" w:rsidR="0039541C"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se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r w:rsidR="0039541C">
        <w:rPr>
          <w:sz w:val="24"/>
          <w:szCs w:val="24"/>
        </w:rPr>
        <w:t xml:space="preserve"> </w:t>
      </w:r>
    </w:p>
    <w:p w14:paraId="7306735C" w14:textId="4323D097" w:rsidR="009D2B69" w:rsidRDefault="0039541C" w:rsidP="00A509A9">
      <w:pPr>
        <w:pStyle w:val="Odstavecseseznamem"/>
        <w:numPr>
          <w:ilvl w:val="0"/>
          <w:numId w:val="20"/>
        </w:numPr>
        <w:ind w:hanging="720"/>
        <w:jc w:val="both"/>
      </w:pPr>
      <w:r w:rsidRPr="00A509A9">
        <w:rPr>
          <w:sz w:val="24"/>
          <w:szCs w:val="24"/>
        </w:rPr>
        <w:t>Smlouva je vyhotovena v elektronické podobě podepsané každou stranou minimálně zaručeným elektronickým podpisem dle Nařízení eIDAS. Každá ze stran obdrží kopii této elektronické podoby smlouvy.</w:t>
      </w:r>
    </w:p>
    <w:p w14:paraId="5E02FBC5" w14:textId="350B73DF" w:rsidR="00C95440" w:rsidRDefault="00C95440">
      <w:pPr>
        <w:jc w:val="both"/>
      </w:pPr>
    </w:p>
    <w:p w14:paraId="1368F440" w14:textId="77777777" w:rsidR="00F15CB4" w:rsidRDefault="00F15CB4">
      <w:pPr>
        <w:jc w:val="both"/>
      </w:pPr>
    </w:p>
    <w:p w14:paraId="2274E0A2" w14:textId="77777777" w:rsidR="00F15CB4" w:rsidRDefault="00F15CB4" w:rsidP="00F15CB4"/>
    <w:p w14:paraId="78DA7A65" w14:textId="7BEA3987" w:rsidR="00F15CB4" w:rsidRDefault="00F15CB4" w:rsidP="00F15CB4">
      <w:r>
        <w:t>V Plzni dne ………………………………</w:t>
      </w:r>
      <w:r>
        <w:tab/>
      </w:r>
      <w:r>
        <w:tab/>
      </w:r>
      <w:r>
        <w:tab/>
      </w:r>
      <w:r>
        <w:tab/>
      </w:r>
    </w:p>
    <w:p w14:paraId="709662D5" w14:textId="77777777" w:rsidR="00F15CB4" w:rsidRDefault="00F15CB4" w:rsidP="00F15CB4"/>
    <w:p w14:paraId="545A862E" w14:textId="63ADDBF0" w:rsidR="00F15CB4" w:rsidRDefault="00F15CB4" w:rsidP="00F15CB4">
      <w:r>
        <w:t>………………………………………</w:t>
      </w:r>
      <w:r>
        <w:tab/>
      </w:r>
      <w:r>
        <w:tab/>
      </w:r>
      <w:r>
        <w:tab/>
      </w:r>
      <w:r>
        <w:tab/>
      </w:r>
    </w:p>
    <w:p w14:paraId="2FDA75D8" w14:textId="413B98F8" w:rsidR="00F15CB4" w:rsidRDefault="00F15CB4" w:rsidP="00F15CB4">
      <w:r>
        <w:t>MECAS ESI s.r.o.</w:t>
      </w:r>
      <w:r>
        <w:tab/>
      </w:r>
      <w:r>
        <w:tab/>
      </w:r>
      <w:r>
        <w:tab/>
      </w:r>
      <w:r>
        <w:tab/>
      </w:r>
      <w:r>
        <w:tab/>
      </w:r>
      <w:r>
        <w:tab/>
      </w:r>
    </w:p>
    <w:p w14:paraId="6AE79EDB" w14:textId="26683DE2" w:rsidR="00F15CB4" w:rsidRDefault="00F15CB4" w:rsidP="00F15CB4">
      <w:r>
        <w:t>Dr. Ing. Karel Luňáček</w:t>
      </w:r>
      <w:r>
        <w:tab/>
      </w:r>
      <w:r>
        <w:tab/>
      </w:r>
      <w:r>
        <w:tab/>
      </w:r>
      <w:r>
        <w:tab/>
      </w:r>
      <w:r>
        <w:tab/>
      </w:r>
      <w:r>
        <w:tab/>
      </w:r>
    </w:p>
    <w:p w14:paraId="52C62B06" w14:textId="16CAD4F4" w:rsidR="00F15CB4" w:rsidRDefault="00F15CB4" w:rsidP="00F15CB4">
      <w:r>
        <w:t>Jednatel</w:t>
      </w:r>
      <w:r>
        <w:tab/>
      </w:r>
      <w:r>
        <w:tab/>
      </w:r>
      <w:r>
        <w:tab/>
      </w:r>
      <w:r>
        <w:tab/>
      </w:r>
      <w:r>
        <w:tab/>
      </w:r>
      <w:r>
        <w:tab/>
      </w:r>
      <w:r>
        <w:tab/>
      </w:r>
      <w:r>
        <w:tab/>
      </w:r>
    </w:p>
    <w:p w14:paraId="7E585779" w14:textId="1E20BE10" w:rsidR="00574A50" w:rsidRDefault="00574A50" w:rsidP="00F15CB4"/>
    <w:p w14:paraId="43172DA0" w14:textId="77777777" w:rsidR="00574A50" w:rsidRDefault="00574A50" w:rsidP="00574A50"/>
    <w:p w14:paraId="6B3E21B9" w14:textId="4B054F31" w:rsidR="00574A50" w:rsidRDefault="00574A50" w:rsidP="00574A50">
      <w:r>
        <w:t>V Praze dne ………………………………</w:t>
      </w:r>
      <w:r>
        <w:tab/>
      </w:r>
      <w:r>
        <w:tab/>
      </w:r>
      <w:r>
        <w:tab/>
      </w:r>
      <w:r>
        <w:tab/>
      </w:r>
    </w:p>
    <w:p w14:paraId="49A0A4CD" w14:textId="77777777" w:rsidR="00574A50" w:rsidRDefault="00574A50" w:rsidP="00574A50"/>
    <w:p w14:paraId="32DF2A36" w14:textId="77777777" w:rsidR="00574A50" w:rsidRDefault="00574A50" w:rsidP="00574A50">
      <w:r>
        <w:t>………………………………………</w:t>
      </w:r>
      <w:r>
        <w:tab/>
      </w:r>
      <w:r>
        <w:tab/>
      </w:r>
      <w:r>
        <w:tab/>
      </w:r>
      <w:r>
        <w:tab/>
      </w:r>
    </w:p>
    <w:p w14:paraId="664BE507" w14:textId="77777777" w:rsidR="00574A50" w:rsidRDefault="00574A50" w:rsidP="00574A50">
      <w:pPr>
        <w:rPr>
          <w:highlight w:val="yellow"/>
        </w:rPr>
      </w:pPr>
      <w:r>
        <w:t>České vysoké učení technické v Praze</w:t>
      </w:r>
      <w:r w:rsidRPr="00DD6AE7">
        <w:rPr>
          <w:highlight w:val="yellow"/>
        </w:rPr>
        <w:t xml:space="preserve"> </w:t>
      </w:r>
    </w:p>
    <w:p w14:paraId="12503401" w14:textId="7CA2A2D1" w:rsidR="00574A50" w:rsidRDefault="00574A50" w:rsidP="00574A50">
      <w:r w:rsidRPr="009F2D16">
        <w:t>doc. RNDr. Vojtěchem Petráč</w:t>
      </w:r>
      <w:r w:rsidR="009F2D16">
        <w:t>e</w:t>
      </w:r>
      <w:r w:rsidRPr="009F2D16">
        <w:t>k, CSc</w:t>
      </w:r>
      <w:r w:rsidR="009F2D16">
        <w:t>.</w:t>
      </w:r>
      <w:r>
        <w:tab/>
      </w:r>
      <w:r>
        <w:tab/>
      </w:r>
      <w:r>
        <w:tab/>
      </w:r>
      <w:r>
        <w:tab/>
      </w:r>
    </w:p>
    <w:p w14:paraId="29E7C5B5" w14:textId="02B02922" w:rsidR="00574A50" w:rsidRDefault="00574A50" w:rsidP="00574A50">
      <w:r>
        <w:t>Rektor</w:t>
      </w:r>
      <w:r>
        <w:tab/>
      </w:r>
      <w:r>
        <w:tab/>
      </w:r>
      <w:r>
        <w:tab/>
      </w:r>
      <w:r>
        <w:tab/>
      </w:r>
      <w:r>
        <w:tab/>
      </w:r>
      <w:r>
        <w:tab/>
      </w:r>
      <w:r>
        <w:tab/>
      </w:r>
      <w:r>
        <w:tab/>
      </w:r>
    </w:p>
    <w:p w14:paraId="69281E16" w14:textId="3B988533" w:rsidR="00574A50" w:rsidRDefault="00574A50" w:rsidP="00F15CB4"/>
    <w:p w14:paraId="1A85CE18" w14:textId="77777777" w:rsidR="00574A50" w:rsidRDefault="00574A50" w:rsidP="00574A50"/>
    <w:p w14:paraId="1A4021F9" w14:textId="3DD84FE8" w:rsidR="00574A50" w:rsidRDefault="00574A50" w:rsidP="00574A50">
      <w:r>
        <w:t>V Brně dne ………………………………</w:t>
      </w:r>
      <w:r>
        <w:tab/>
      </w:r>
      <w:r>
        <w:tab/>
      </w:r>
      <w:r>
        <w:tab/>
      </w:r>
      <w:r>
        <w:tab/>
      </w:r>
    </w:p>
    <w:p w14:paraId="29640A3A" w14:textId="77777777" w:rsidR="00574A50" w:rsidRDefault="00574A50" w:rsidP="00574A50"/>
    <w:p w14:paraId="7DE91275" w14:textId="77777777" w:rsidR="00574A50" w:rsidRDefault="00574A50" w:rsidP="00574A50">
      <w:r>
        <w:t>………………………………………</w:t>
      </w:r>
      <w:r>
        <w:tab/>
      </w:r>
      <w:r>
        <w:tab/>
      </w:r>
      <w:r>
        <w:tab/>
      </w:r>
      <w:r>
        <w:tab/>
      </w:r>
    </w:p>
    <w:p w14:paraId="717605F7" w14:textId="40FA8CEA" w:rsidR="00574A50" w:rsidRDefault="00574A50" w:rsidP="00574A50">
      <w:r>
        <w:t>Vysoké učení technické v Brně</w:t>
      </w:r>
      <w:r>
        <w:tab/>
      </w:r>
      <w:r>
        <w:tab/>
      </w:r>
      <w:r>
        <w:tab/>
      </w:r>
      <w:r>
        <w:tab/>
      </w:r>
      <w:r>
        <w:tab/>
      </w:r>
      <w:r>
        <w:tab/>
      </w:r>
    </w:p>
    <w:p w14:paraId="57CFD17C" w14:textId="58EB372E" w:rsidR="00574A50" w:rsidRDefault="00A509A9" w:rsidP="00574A50">
      <w:r>
        <w:t>doc. Ing. Ladislav Janíček, Ph.D., MBA, LL.M.</w:t>
      </w:r>
      <w:bookmarkStart w:id="0" w:name="_GoBack"/>
      <w:bookmarkEnd w:id="0"/>
      <w:r w:rsidR="00574A50">
        <w:tab/>
      </w:r>
      <w:r w:rsidR="00574A50">
        <w:tab/>
      </w:r>
      <w:r w:rsidR="00574A50">
        <w:tab/>
      </w:r>
      <w:r w:rsidR="00574A50">
        <w:tab/>
      </w:r>
      <w:r w:rsidR="00574A50">
        <w:tab/>
      </w:r>
    </w:p>
    <w:p w14:paraId="653AC433" w14:textId="217FFC26" w:rsidR="00574A50" w:rsidRDefault="00574A50" w:rsidP="00F15CB4">
      <w:r>
        <w:t>Rektor</w:t>
      </w:r>
      <w:r>
        <w:tab/>
      </w:r>
      <w:r>
        <w:tab/>
      </w:r>
      <w:r>
        <w:tab/>
      </w:r>
      <w:r>
        <w:tab/>
      </w:r>
      <w:r>
        <w:tab/>
      </w:r>
      <w:r>
        <w:tab/>
      </w:r>
      <w:r>
        <w:tab/>
      </w:r>
      <w:r>
        <w:tab/>
      </w:r>
    </w:p>
    <w:sectPr w:rsidR="00574A50" w:rsidSect="00DA7279">
      <w:headerReference w:type="default" r:id="rId8"/>
      <w:footerReference w:type="default" r:id="rId9"/>
      <w:pgSz w:w="11906" w:h="16838"/>
      <w:pgMar w:top="1134" w:right="1276" w:bottom="1134" w:left="1276"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BD65" w16cex:dateUtc="2022-01-26T11:30:00Z"/>
  <w16cex:commentExtensible w16cex:durableId="259BB9D1" w16cex:dateUtc="2022-01-26T11:15:00Z"/>
  <w16cex:commentExtensible w16cex:durableId="259BBE44" w16cex:dateUtc="2022-01-26T11:34:00Z"/>
  <w16cex:commentExtensible w16cex:durableId="259BBA9B" w16cex:dateUtc="2022-01-26T11:18:00Z"/>
  <w16cex:commentExtensible w16cex:durableId="259BBADA" w16cex:dateUtc="2022-01-26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F90C46" w16cid:durableId="259BBD65"/>
  <w16cid:commentId w16cid:paraId="5BECB559" w16cid:durableId="259BB9D1"/>
  <w16cid:commentId w16cid:paraId="2D53B452" w16cid:durableId="259BBE44"/>
  <w16cid:commentId w16cid:paraId="1F7D5745" w16cid:durableId="259BBA9B"/>
  <w16cid:commentId w16cid:paraId="25B12553" w16cid:durableId="259BB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6781" w14:textId="77777777" w:rsidR="00276CF7" w:rsidRDefault="00276CF7">
      <w:r>
        <w:separator/>
      </w:r>
    </w:p>
  </w:endnote>
  <w:endnote w:type="continuationSeparator" w:id="0">
    <w:p w14:paraId="3DB8BF79" w14:textId="77777777" w:rsidR="00276CF7" w:rsidRDefault="0027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B989" w14:textId="3704D14F" w:rsidR="009D2B69" w:rsidRDefault="009D2B69">
    <w:pPr>
      <w:pStyle w:val="Zpat"/>
    </w:pPr>
    <w:r>
      <w:tab/>
      <w:t xml:space="preserve">- </w:t>
    </w:r>
    <w:r w:rsidR="007139B6">
      <w:fldChar w:fldCharType="begin"/>
    </w:r>
    <w:r w:rsidR="00EF32AA">
      <w:instrText xml:space="preserve"> PAGE </w:instrText>
    </w:r>
    <w:r w:rsidR="007139B6">
      <w:fldChar w:fldCharType="separate"/>
    </w:r>
    <w:r w:rsidR="00A509A9">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D423B" w14:textId="77777777" w:rsidR="00276CF7" w:rsidRDefault="00276CF7">
      <w:r>
        <w:separator/>
      </w:r>
    </w:p>
  </w:footnote>
  <w:footnote w:type="continuationSeparator" w:id="0">
    <w:p w14:paraId="1C02A914" w14:textId="77777777" w:rsidR="00276CF7" w:rsidRDefault="0027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43AB"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C82EBE"/>
    <w:multiLevelType w:val="hybridMultilevel"/>
    <w:tmpl w:val="7E9A7A44"/>
    <w:lvl w:ilvl="0" w:tplc="8BEEAA22">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C61A98"/>
    <w:multiLevelType w:val="multilevel"/>
    <w:tmpl w:val="CC36BC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0B66BEAE"/>
    <w:lvl w:ilvl="0" w:tplc="B1F20BF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256C1"/>
    <w:multiLevelType w:val="hybridMultilevel"/>
    <w:tmpl w:val="0C127380"/>
    <w:lvl w:ilvl="0" w:tplc="6930F0BC">
      <w:start w:val="1"/>
      <w:numFmt w:val="lowerLetter"/>
      <w:lvlText w:val="%1)"/>
      <w:lvlJc w:val="left"/>
      <w:pPr>
        <w:ind w:left="1069"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7"/>
  </w:num>
  <w:num w:numId="2">
    <w:abstractNumId w:val="2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32"/>
  </w:num>
  <w:num w:numId="9">
    <w:abstractNumId w:val="15"/>
  </w:num>
  <w:num w:numId="10">
    <w:abstractNumId w:val="33"/>
  </w:num>
  <w:num w:numId="11">
    <w:abstractNumId w:val="24"/>
  </w:num>
  <w:num w:numId="12">
    <w:abstractNumId w:val="0"/>
  </w:num>
  <w:num w:numId="13">
    <w:abstractNumId w:val="2"/>
  </w:num>
  <w:num w:numId="14">
    <w:abstractNumId w:val="4"/>
  </w:num>
  <w:num w:numId="15">
    <w:abstractNumId w:val="9"/>
  </w:num>
  <w:num w:numId="16">
    <w:abstractNumId w:val="8"/>
  </w:num>
  <w:num w:numId="17">
    <w:abstractNumId w:val="18"/>
  </w:num>
  <w:num w:numId="18">
    <w:abstractNumId w:val="20"/>
  </w:num>
  <w:num w:numId="19">
    <w:abstractNumId w:val="1"/>
  </w:num>
  <w:num w:numId="20">
    <w:abstractNumId w:val="25"/>
  </w:num>
  <w:num w:numId="21">
    <w:abstractNumId w:val="13"/>
  </w:num>
  <w:num w:numId="22">
    <w:abstractNumId w:val="16"/>
  </w:num>
  <w:num w:numId="23">
    <w:abstractNumId w:val="5"/>
  </w:num>
  <w:num w:numId="24">
    <w:abstractNumId w:val="31"/>
  </w:num>
  <w:num w:numId="25">
    <w:abstractNumId w:val="10"/>
  </w:num>
  <w:num w:numId="26">
    <w:abstractNumId w:val="28"/>
  </w:num>
  <w:num w:numId="27">
    <w:abstractNumId w:val="3"/>
  </w:num>
  <w:num w:numId="28">
    <w:abstractNumId w:val="7"/>
  </w:num>
  <w:num w:numId="29">
    <w:abstractNumId w:val="12"/>
  </w:num>
  <w:num w:numId="30">
    <w:abstractNumId w:val="27"/>
  </w:num>
  <w:num w:numId="31">
    <w:abstractNumId w:val="6"/>
  </w:num>
  <w:num w:numId="32">
    <w:abstractNumId w:val="23"/>
  </w:num>
  <w:num w:numId="33">
    <w:abstractNumId w:val="29"/>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60"/>
    <w:rsid w:val="000006FB"/>
    <w:rsid w:val="00002C1D"/>
    <w:rsid w:val="00015B69"/>
    <w:rsid w:val="000262CA"/>
    <w:rsid w:val="000370A8"/>
    <w:rsid w:val="00047F28"/>
    <w:rsid w:val="00072696"/>
    <w:rsid w:val="00097D0D"/>
    <w:rsid w:val="000B0270"/>
    <w:rsid w:val="000B26A8"/>
    <w:rsid w:val="000D0E3C"/>
    <w:rsid w:val="000E2A5E"/>
    <w:rsid w:val="000E4FA7"/>
    <w:rsid w:val="000E6AA1"/>
    <w:rsid w:val="000F386B"/>
    <w:rsid w:val="000F44F0"/>
    <w:rsid w:val="0011457F"/>
    <w:rsid w:val="00116556"/>
    <w:rsid w:val="00121FF9"/>
    <w:rsid w:val="001233C9"/>
    <w:rsid w:val="0014407B"/>
    <w:rsid w:val="00144C3C"/>
    <w:rsid w:val="00144E61"/>
    <w:rsid w:val="0014671A"/>
    <w:rsid w:val="00150043"/>
    <w:rsid w:val="00150944"/>
    <w:rsid w:val="001729B4"/>
    <w:rsid w:val="00187672"/>
    <w:rsid w:val="00197C66"/>
    <w:rsid w:val="001A0F53"/>
    <w:rsid w:val="001A2C55"/>
    <w:rsid w:val="001A7FCC"/>
    <w:rsid w:val="001D15C1"/>
    <w:rsid w:val="001D3AB0"/>
    <w:rsid w:val="001D4799"/>
    <w:rsid w:val="001E55B9"/>
    <w:rsid w:val="001E66F4"/>
    <w:rsid w:val="001F6D41"/>
    <w:rsid w:val="0021775F"/>
    <w:rsid w:val="00220125"/>
    <w:rsid w:val="00221B12"/>
    <w:rsid w:val="00226DC6"/>
    <w:rsid w:val="0023328C"/>
    <w:rsid w:val="00243A30"/>
    <w:rsid w:val="00251D7B"/>
    <w:rsid w:val="00254AF2"/>
    <w:rsid w:val="00262623"/>
    <w:rsid w:val="0027191B"/>
    <w:rsid w:val="00276CF7"/>
    <w:rsid w:val="00294350"/>
    <w:rsid w:val="002A5055"/>
    <w:rsid w:val="002A5568"/>
    <w:rsid w:val="002A66D8"/>
    <w:rsid w:val="002B2D50"/>
    <w:rsid w:val="002B3734"/>
    <w:rsid w:val="002C2140"/>
    <w:rsid w:val="002C606C"/>
    <w:rsid w:val="002D18F3"/>
    <w:rsid w:val="002E4690"/>
    <w:rsid w:val="0031259E"/>
    <w:rsid w:val="0031371A"/>
    <w:rsid w:val="00327235"/>
    <w:rsid w:val="003327E5"/>
    <w:rsid w:val="00333422"/>
    <w:rsid w:val="003367C7"/>
    <w:rsid w:val="00341401"/>
    <w:rsid w:val="00341A2C"/>
    <w:rsid w:val="003477A1"/>
    <w:rsid w:val="00350B10"/>
    <w:rsid w:val="003510B1"/>
    <w:rsid w:val="00361744"/>
    <w:rsid w:val="00361F86"/>
    <w:rsid w:val="00363F12"/>
    <w:rsid w:val="00386C09"/>
    <w:rsid w:val="0039541C"/>
    <w:rsid w:val="003A33FB"/>
    <w:rsid w:val="003A391E"/>
    <w:rsid w:val="003A4812"/>
    <w:rsid w:val="003C7A6B"/>
    <w:rsid w:val="003D0594"/>
    <w:rsid w:val="003E5B2C"/>
    <w:rsid w:val="003F11FD"/>
    <w:rsid w:val="00447DD6"/>
    <w:rsid w:val="00465B51"/>
    <w:rsid w:val="00475569"/>
    <w:rsid w:val="0048436B"/>
    <w:rsid w:val="004851ED"/>
    <w:rsid w:val="00496538"/>
    <w:rsid w:val="00497D50"/>
    <w:rsid w:val="004A783F"/>
    <w:rsid w:val="004B4BFE"/>
    <w:rsid w:val="004C050D"/>
    <w:rsid w:val="004D2523"/>
    <w:rsid w:val="004E6921"/>
    <w:rsid w:val="00500460"/>
    <w:rsid w:val="00506211"/>
    <w:rsid w:val="00515E0D"/>
    <w:rsid w:val="00516F75"/>
    <w:rsid w:val="0053474E"/>
    <w:rsid w:val="005558AB"/>
    <w:rsid w:val="005577CA"/>
    <w:rsid w:val="00567B93"/>
    <w:rsid w:val="00574A50"/>
    <w:rsid w:val="00581B4B"/>
    <w:rsid w:val="00581E6B"/>
    <w:rsid w:val="005915C2"/>
    <w:rsid w:val="005A4F5F"/>
    <w:rsid w:val="005A615B"/>
    <w:rsid w:val="005C1D1D"/>
    <w:rsid w:val="005D5235"/>
    <w:rsid w:val="005E7503"/>
    <w:rsid w:val="005E7642"/>
    <w:rsid w:val="00620F49"/>
    <w:rsid w:val="00621250"/>
    <w:rsid w:val="0063131B"/>
    <w:rsid w:val="006324CA"/>
    <w:rsid w:val="00635D46"/>
    <w:rsid w:val="0063628D"/>
    <w:rsid w:val="006369B3"/>
    <w:rsid w:val="00637DE9"/>
    <w:rsid w:val="00645E93"/>
    <w:rsid w:val="006474CC"/>
    <w:rsid w:val="00650D35"/>
    <w:rsid w:val="0065282D"/>
    <w:rsid w:val="00655A1E"/>
    <w:rsid w:val="00655FB3"/>
    <w:rsid w:val="00672645"/>
    <w:rsid w:val="0068366E"/>
    <w:rsid w:val="006922EA"/>
    <w:rsid w:val="006938E8"/>
    <w:rsid w:val="00694146"/>
    <w:rsid w:val="006B134B"/>
    <w:rsid w:val="006C12EF"/>
    <w:rsid w:val="006C49EB"/>
    <w:rsid w:val="006D0A09"/>
    <w:rsid w:val="006D4AF9"/>
    <w:rsid w:val="0070173D"/>
    <w:rsid w:val="0071039D"/>
    <w:rsid w:val="007139B6"/>
    <w:rsid w:val="00714548"/>
    <w:rsid w:val="00722287"/>
    <w:rsid w:val="00724DFC"/>
    <w:rsid w:val="00736DEF"/>
    <w:rsid w:val="00741E56"/>
    <w:rsid w:val="00744F3A"/>
    <w:rsid w:val="00745B57"/>
    <w:rsid w:val="0075732C"/>
    <w:rsid w:val="0078252D"/>
    <w:rsid w:val="007A7C5E"/>
    <w:rsid w:val="007B0BC6"/>
    <w:rsid w:val="007C5C7F"/>
    <w:rsid w:val="007D368F"/>
    <w:rsid w:val="007D6618"/>
    <w:rsid w:val="007E002D"/>
    <w:rsid w:val="007E0858"/>
    <w:rsid w:val="007E6A6C"/>
    <w:rsid w:val="007F212A"/>
    <w:rsid w:val="007F3FFA"/>
    <w:rsid w:val="008043A9"/>
    <w:rsid w:val="00805334"/>
    <w:rsid w:val="00805A30"/>
    <w:rsid w:val="008068C1"/>
    <w:rsid w:val="008149E3"/>
    <w:rsid w:val="00816FC1"/>
    <w:rsid w:val="008235D0"/>
    <w:rsid w:val="008259DF"/>
    <w:rsid w:val="00825A45"/>
    <w:rsid w:val="0083570F"/>
    <w:rsid w:val="00836209"/>
    <w:rsid w:val="00851E4A"/>
    <w:rsid w:val="00863ECF"/>
    <w:rsid w:val="008815D8"/>
    <w:rsid w:val="008A2111"/>
    <w:rsid w:val="008C1C5F"/>
    <w:rsid w:val="008D1F26"/>
    <w:rsid w:val="008D3525"/>
    <w:rsid w:val="008E01C9"/>
    <w:rsid w:val="008F0E1C"/>
    <w:rsid w:val="00904625"/>
    <w:rsid w:val="00922E54"/>
    <w:rsid w:val="00926EB5"/>
    <w:rsid w:val="00933A1B"/>
    <w:rsid w:val="00940287"/>
    <w:rsid w:val="0096488D"/>
    <w:rsid w:val="0098140D"/>
    <w:rsid w:val="00981A5E"/>
    <w:rsid w:val="0099272E"/>
    <w:rsid w:val="009B37D6"/>
    <w:rsid w:val="009B749F"/>
    <w:rsid w:val="009C09B7"/>
    <w:rsid w:val="009C61DA"/>
    <w:rsid w:val="009D05A3"/>
    <w:rsid w:val="009D2B69"/>
    <w:rsid w:val="009D3921"/>
    <w:rsid w:val="009F2A90"/>
    <w:rsid w:val="009F2D16"/>
    <w:rsid w:val="009F5595"/>
    <w:rsid w:val="009F7E49"/>
    <w:rsid w:val="00A0028E"/>
    <w:rsid w:val="00A06F29"/>
    <w:rsid w:val="00A213ED"/>
    <w:rsid w:val="00A22B2A"/>
    <w:rsid w:val="00A23B93"/>
    <w:rsid w:val="00A23E87"/>
    <w:rsid w:val="00A3464D"/>
    <w:rsid w:val="00A509A9"/>
    <w:rsid w:val="00A53A9D"/>
    <w:rsid w:val="00A63850"/>
    <w:rsid w:val="00A647C5"/>
    <w:rsid w:val="00A76887"/>
    <w:rsid w:val="00A80865"/>
    <w:rsid w:val="00A80E49"/>
    <w:rsid w:val="00A84335"/>
    <w:rsid w:val="00AA4AE7"/>
    <w:rsid w:val="00AB061E"/>
    <w:rsid w:val="00AB29FD"/>
    <w:rsid w:val="00AC1488"/>
    <w:rsid w:val="00AC3086"/>
    <w:rsid w:val="00AE559E"/>
    <w:rsid w:val="00AF4D96"/>
    <w:rsid w:val="00B01C94"/>
    <w:rsid w:val="00B04A12"/>
    <w:rsid w:val="00B05A53"/>
    <w:rsid w:val="00B15A26"/>
    <w:rsid w:val="00B23BE8"/>
    <w:rsid w:val="00B31C51"/>
    <w:rsid w:val="00B67676"/>
    <w:rsid w:val="00B910F7"/>
    <w:rsid w:val="00B963C7"/>
    <w:rsid w:val="00BB1A5C"/>
    <w:rsid w:val="00BD3F83"/>
    <w:rsid w:val="00C0743F"/>
    <w:rsid w:val="00C14D08"/>
    <w:rsid w:val="00C16BDB"/>
    <w:rsid w:val="00C2376D"/>
    <w:rsid w:val="00C337E1"/>
    <w:rsid w:val="00C40BC1"/>
    <w:rsid w:val="00C435E8"/>
    <w:rsid w:val="00C44E76"/>
    <w:rsid w:val="00C540B5"/>
    <w:rsid w:val="00C56D47"/>
    <w:rsid w:val="00C70CC2"/>
    <w:rsid w:val="00C71FBD"/>
    <w:rsid w:val="00C73210"/>
    <w:rsid w:val="00C80298"/>
    <w:rsid w:val="00C846C5"/>
    <w:rsid w:val="00C9008F"/>
    <w:rsid w:val="00C94127"/>
    <w:rsid w:val="00C95440"/>
    <w:rsid w:val="00CB05A6"/>
    <w:rsid w:val="00CB5D14"/>
    <w:rsid w:val="00CC79C6"/>
    <w:rsid w:val="00CE0AE5"/>
    <w:rsid w:val="00CE5423"/>
    <w:rsid w:val="00CF7ADF"/>
    <w:rsid w:val="00D000DB"/>
    <w:rsid w:val="00D0097B"/>
    <w:rsid w:val="00D02515"/>
    <w:rsid w:val="00D07F5E"/>
    <w:rsid w:val="00D10E9B"/>
    <w:rsid w:val="00D11CDE"/>
    <w:rsid w:val="00D11D30"/>
    <w:rsid w:val="00D14A81"/>
    <w:rsid w:val="00D172D5"/>
    <w:rsid w:val="00D233E7"/>
    <w:rsid w:val="00D26A98"/>
    <w:rsid w:val="00D26FCC"/>
    <w:rsid w:val="00D4517D"/>
    <w:rsid w:val="00D53EA0"/>
    <w:rsid w:val="00D57518"/>
    <w:rsid w:val="00D6270D"/>
    <w:rsid w:val="00D65B05"/>
    <w:rsid w:val="00D66AF9"/>
    <w:rsid w:val="00D66C88"/>
    <w:rsid w:val="00D679C9"/>
    <w:rsid w:val="00D81034"/>
    <w:rsid w:val="00D90D37"/>
    <w:rsid w:val="00D9622C"/>
    <w:rsid w:val="00DA7279"/>
    <w:rsid w:val="00DB10F7"/>
    <w:rsid w:val="00DB4E89"/>
    <w:rsid w:val="00DB74FF"/>
    <w:rsid w:val="00DC02B1"/>
    <w:rsid w:val="00DC526F"/>
    <w:rsid w:val="00DD55F0"/>
    <w:rsid w:val="00DD6AE7"/>
    <w:rsid w:val="00DD6DC8"/>
    <w:rsid w:val="00DE0FB9"/>
    <w:rsid w:val="00DE158C"/>
    <w:rsid w:val="00DE6049"/>
    <w:rsid w:val="00DF0B4A"/>
    <w:rsid w:val="00DF5624"/>
    <w:rsid w:val="00E27B86"/>
    <w:rsid w:val="00E32732"/>
    <w:rsid w:val="00E60F39"/>
    <w:rsid w:val="00E62EEF"/>
    <w:rsid w:val="00EB71BB"/>
    <w:rsid w:val="00EC2678"/>
    <w:rsid w:val="00EC748A"/>
    <w:rsid w:val="00ED0FD2"/>
    <w:rsid w:val="00EF1DB6"/>
    <w:rsid w:val="00EF32AA"/>
    <w:rsid w:val="00EF3883"/>
    <w:rsid w:val="00EF4A53"/>
    <w:rsid w:val="00F028D4"/>
    <w:rsid w:val="00F0634B"/>
    <w:rsid w:val="00F105C3"/>
    <w:rsid w:val="00F132CB"/>
    <w:rsid w:val="00F15CB4"/>
    <w:rsid w:val="00F457E9"/>
    <w:rsid w:val="00F47207"/>
    <w:rsid w:val="00F6101C"/>
    <w:rsid w:val="00F670D1"/>
    <w:rsid w:val="00F73633"/>
    <w:rsid w:val="00F86A3C"/>
    <w:rsid w:val="00F97F1C"/>
    <w:rsid w:val="00FA1D8C"/>
    <w:rsid w:val="00FB06AC"/>
    <w:rsid w:val="00FC1D9D"/>
    <w:rsid w:val="00FC46FE"/>
    <w:rsid w:val="00FE587C"/>
    <w:rsid w:val="00FF3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0B6460"/>
  <w15:docId w15:val="{DED7D292-0FA2-4765-9AF1-D751B807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paragraph" w:styleId="Revize">
    <w:name w:val="Revision"/>
    <w:hidden/>
    <w:uiPriority w:val="99"/>
    <w:semiHidden/>
    <w:rsid w:val="008068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4499">
      <w:bodyDiv w:val="1"/>
      <w:marLeft w:val="0"/>
      <w:marRight w:val="0"/>
      <w:marTop w:val="0"/>
      <w:marBottom w:val="0"/>
      <w:divBdr>
        <w:top w:val="none" w:sz="0" w:space="0" w:color="auto"/>
        <w:left w:val="none" w:sz="0" w:space="0" w:color="auto"/>
        <w:bottom w:val="none" w:sz="0" w:space="0" w:color="auto"/>
        <w:right w:val="none" w:sz="0" w:space="0" w:color="auto"/>
      </w:divBdr>
    </w:div>
    <w:div w:id="475729294">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129780377">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B786-EB95-4A66-9740-9BA966EA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1608</Words>
  <Characters>9490</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Kadlec Petr (83671)</cp:lastModifiedBy>
  <cp:revision>5</cp:revision>
  <cp:lastPrinted>2014-12-17T15:11:00Z</cp:lastPrinted>
  <dcterms:created xsi:type="dcterms:W3CDTF">2022-01-27T07:00:00Z</dcterms:created>
  <dcterms:modified xsi:type="dcterms:W3CDTF">2022-02-08T13:15:00Z</dcterms:modified>
</cp:coreProperties>
</file>