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E3A6" w14:textId="7777777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0850C6E" w14:textId="5925AA84" w:rsidR="00573F0E" w:rsidRPr="003A337E" w:rsidRDefault="0042782D">
      <w:pPr>
        <w:spacing w:before="120" w:line="240" w:lineRule="atLeast"/>
        <w:jc w:val="center"/>
        <w:rPr>
          <w:rFonts w:ascii="Arial" w:hAnsi="Arial" w:cs="Arial"/>
          <w:b/>
          <w:sz w:val="36"/>
        </w:rPr>
      </w:pPr>
      <w:r>
        <w:rPr>
          <w:rFonts w:ascii="Arial" w:hAnsi="Arial" w:cs="Arial"/>
          <w:b/>
          <w:sz w:val="36"/>
        </w:rPr>
        <w:t>20027788</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obchodní firma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r w:rsidRPr="003A337E">
        <w:rPr>
          <w:rFonts w:ascii="Arial" w:hAnsi="Arial" w:cs="Arial"/>
          <w:sz w:val="22"/>
          <w:szCs w:val="22"/>
        </w:rPr>
        <w:t>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47F5FDE1" w14:textId="00EC552C" w:rsidR="00573F0E" w:rsidRPr="003A337E" w:rsidRDefault="005E7388" w:rsidP="00645D07">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DD4627">
        <w:rPr>
          <w:rFonts w:ascii="Arial" w:hAnsi="Arial" w:cs="Arial"/>
          <w:sz w:val="22"/>
          <w:szCs w:val="22"/>
        </w:rPr>
        <w:t>Bc. Zdeněk Grimm, ředitel obchodu ČR</w:t>
      </w:r>
      <w:r w:rsidR="00AA7AC4">
        <w:rPr>
          <w:rFonts w:ascii="Arial" w:hAnsi="Arial" w:cs="Arial"/>
          <w:sz w:val="22"/>
          <w:szCs w:val="22"/>
        </w:rPr>
        <w:t xml:space="preserve"> </w:t>
      </w:r>
      <w:r w:rsidR="007E6DF6">
        <w:rPr>
          <w:rFonts w:ascii="Arial" w:hAnsi="Arial" w:cs="Arial"/>
          <w:sz w:val="22"/>
          <w:szCs w:val="22"/>
        </w:rPr>
        <w:t>– na základě plné moci</w:t>
      </w:r>
    </w:p>
    <w:p w14:paraId="4319878A" w14:textId="2DE4BD27"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w:t>
      </w:r>
    </w:p>
    <w:p w14:paraId="45719B10" w14:textId="3B394A60"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w:t>
      </w:r>
    </w:p>
    <w:p w14:paraId="32569E2A" w14:textId="7D7BA7B7"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62C1DF50"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p>
    <w:p w14:paraId="20B90687" w14:textId="2B787634" w:rsidR="00573F0E" w:rsidRPr="003A337E" w:rsidRDefault="00573F0E">
      <w:pPr>
        <w:rPr>
          <w:rFonts w:ascii="Arial" w:hAnsi="Arial" w:cs="Arial"/>
          <w:sz w:val="22"/>
          <w:szCs w:val="22"/>
        </w:rPr>
      </w:pPr>
      <w:r w:rsidRPr="003A337E">
        <w:rPr>
          <w:rFonts w:ascii="Arial" w:hAnsi="Arial" w:cs="Arial"/>
          <w:sz w:val="22"/>
          <w:szCs w:val="22"/>
        </w:rPr>
        <w:t>obchodní firma :</w:t>
      </w:r>
      <w:r w:rsidRPr="003A337E">
        <w:rPr>
          <w:rFonts w:ascii="Arial" w:hAnsi="Arial" w:cs="Arial"/>
          <w:sz w:val="22"/>
          <w:szCs w:val="22"/>
        </w:rPr>
        <w:tab/>
      </w:r>
      <w:r w:rsidR="0042782D">
        <w:rPr>
          <w:rFonts w:ascii="Arial" w:hAnsi="Arial" w:cs="Arial"/>
          <w:sz w:val="22"/>
          <w:szCs w:val="22"/>
        </w:rPr>
        <w:t>Centrum sociální pomoci města Litomyšl</w:t>
      </w:r>
      <w:r w:rsidRPr="003A337E">
        <w:rPr>
          <w:rFonts w:ascii="Arial" w:hAnsi="Arial" w:cs="Arial"/>
          <w:sz w:val="22"/>
          <w:szCs w:val="22"/>
        </w:rPr>
        <w:tab/>
      </w:r>
    </w:p>
    <w:p w14:paraId="753C3D2F" w14:textId="71AE78DA"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0042782D">
        <w:rPr>
          <w:rFonts w:ascii="Arial" w:hAnsi="Arial" w:cs="Arial"/>
          <w:sz w:val="22"/>
          <w:szCs w:val="22"/>
        </w:rPr>
        <w:t>Zámecká 500, 570 01 Litomyšl</w:t>
      </w:r>
      <w:r w:rsidRPr="003A337E">
        <w:rPr>
          <w:rFonts w:ascii="Arial" w:hAnsi="Arial" w:cs="Arial"/>
          <w:sz w:val="22"/>
          <w:szCs w:val="22"/>
        </w:rPr>
        <w:tab/>
      </w:r>
    </w:p>
    <w:p w14:paraId="2304339B" w14:textId="3148ADB1" w:rsidR="00EA5719" w:rsidRPr="003A337E" w:rsidRDefault="00573F0E">
      <w:pPr>
        <w:rPr>
          <w:rFonts w:ascii="Arial" w:hAnsi="Arial" w:cs="Arial"/>
          <w:sz w:val="22"/>
          <w:szCs w:val="22"/>
        </w:rPr>
      </w:pPr>
      <w:r w:rsidRPr="003A337E">
        <w:rPr>
          <w:rFonts w:ascii="Arial" w:hAnsi="Arial" w:cs="Arial"/>
          <w:sz w:val="22"/>
          <w:szCs w:val="22"/>
        </w:rPr>
        <w:t>IČ :</w:t>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42782D">
        <w:rPr>
          <w:rFonts w:ascii="Arial" w:hAnsi="Arial" w:cs="Arial"/>
          <w:sz w:val="22"/>
          <w:szCs w:val="22"/>
        </w:rPr>
        <w:t>00194387</w:t>
      </w:r>
      <w:r w:rsidR="00B51957" w:rsidRPr="003A337E">
        <w:rPr>
          <w:rFonts w:ascii="Arial" w:hAnsi="Arial" w:cs="Arial"/>
          <w:sz w:val="22"/>
          <w:szCs w:val="22"/>
        </w:rPr>
        <w:tab/>
      </w:r>
    </w:p>
    <w:p w14:paraId="733C7AC7" w14:textId="77777777" w:rsidR="00573F0E" w:rsidRPr="003A337E" w:rsidRDefault="00EA5719">
      <w:pPr>
        <w:rPr>
          <w:rFonts w:ascii="Arial" w:hAnsi="Arial" w:cs="Arial"/>
          <w:sz w:val="22"/>
          <w:szCs w:val="22"/>
        </w:rPr>
      </w:pPr>
      <w:r w:rsidRPr="003A337E">
        <w:rPr>
          <w:rFonts w:ascii="Arial" w:hAnsi="Arial" w:cs="Arial"/>
          <w:sz w:val="22"/>
          <w:szCs w:val="22"/>
        </w:rPr>
        <w:t xml:space="preserve">DIČ: </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p>
    <w:p w14:paraId="723F0A58" w14:textId="1FFAE1FE"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p>
    <w:p w14:paraId="777CBB17" w14:textId="7CD9EB51"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42782D">
        <w:rPr>
          <w:rFonts w:ascii="Arial" w:hAnsi="Arial" w:cs="Arial"/>
          <w:sz w:val="22"/>
          <w:szCs w:val="22"/>
        </w:rPr>
        <w:t>Mgr. Alena Fiedlerová - ředitelka</w:t>
      </w:r>
      <w:r w:rsidR="00B51957" w:rsidRPr="003A337E">
        <w:rPr>
          <w:rFonts w:ascii="Arial" w:hAnsi="Arial" w:cs="Arial"/>
          <w:sz w:val="22"/>
          <w:szCs w:val="22"/>
        </w:rPr>
        <w:tab/>
      </w:r>
    </w:p>
    <w:p w14:paraId="07225B91" w14:textId="1FE70A1C"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4C1F870B"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708C81C4" w14:textId="545CA5F7" w:rsidR="00573F0E" w:rsidRPr="003A337E" w:rsidRDefault="00B51957">
      <w:pPr>
        <w:rPr>
          <w:rFonts w:ascii="Arial" w:hAnsi="Arial" w:cs="Arial"/>
          <w:sz w:val="22"/>
          <w:szCs w:val="22"/>
        </w:rPr>
      </w:pPr>
      <w:r w:rsidRPr="003A337E">
        <w:rPr>
          <w:rFonts w:ascii="Arial" w:hAnsi="Arial" w:cs="Arial"/>
          <w:sz w:val="22"/>
          <w:szCs w:val="22"/>
        </w:rPr>
        <w:t>bankovní spojení / číslo účtu:</w:t>
      </w:r>
      <w:r w:rsidR="003E7221">
        <w:rPr>
          <w:rFonts w:ascii="Arial" w:hAnsi="Arial" w:cs="Arial"/>
          <w:sz w:val="22"/>
          <w:szCs w:val="22"/>
        </w:rPr>
        <w:t xml:space="preserve"> 196 386 311/0300</w:t>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ust. § 2086 odst. 2 občanského zákoníku</w:t>
      </w:r>
      <w:r w:rsidRPr="003A337E">
        <w:rPr>
          <w:rFonts w:cs="Arial"/>
          <w:sz w:val="22"/>
          <w:szCs w:val="22"/>
        </w:rPr>
        <w:t>.</w:t>
      </w:r>
    </w:p>
    <w:p w14:paraId="2B0B36A5" w14:textId="5E8270DF" w:rsidR="00573F0E" w:rsidRDefault="00573F0E">
      <w:pPr>
        <w:spacing w:before="120"/>
        <w:rPr>
          <w:rFonts w:ascii="Arial" w:hAnsi="Arial" w:cs="Arial"/>
          <w:sz w:val="22"/>
          <w:szCs w:val="22"/>
        </w:rPr>
      </w:pPr>
    </w:p>
    <w:p w14:paraId="4D3105EF" w14:textId="6CBD8361" w:rsidR="00426AC2" w:rsidRDefault="00426AC2">
      <w:pPr>
        <w:spacing w:before="120"/>
        <w:rPr>
          <w:rFonts w:ascii="Arial" w:hAnsi="Arial" w:cs="Arial"/>
          <w:sz w:val="22"/>
          <w:szCs w:val="22"/>
        </w:rPr>
      </w:pPr>
    </w:p>
    <w:p w14:paraId="3D660D1C" w14:textId="77777777" w:rsidR="00426AC2" w:rsidRPr="003A337E" w:rsidRDefault="00426AC2">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5FA5D0BC"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Pr="003A337E">
        <w:rPr>
          <w:rFonts w:ascii="Arial" w:hAnsi="Arial" w:cs="Arial"/>
          <w:sz w:val="22"/>
          <w:szCs w:val="22"/>
        </w:rPr>
        <w:t xml:space="preserve"> </w:t>
      </w:r>
      <w:r w:rsidR="00067116">
        <w:rPr>
          <w:rFonts w:ascii="Arial" w:hAnsi="Arial" w:cs="Arial"/>
          <w:sz w:val="22"/>
          <w:szCs w:val="22"/>
        </w:rPr>
        <w:t>15 ks lůžek Sentida 03 vč. příslušesntví</w:t>
      </w:r>
      <w:r w:rsidRPr="003A337E">
        <w:rPr>
          <w:rFonts w:ascii="Arial" w:hAnsi="Arial" w:cs="Arial"/>
          <w:sz w:val="22"/>
          <w:szCs w:val="22"/>
        </w:rPr>
        <w:t xml:space="preserve"> (dále též „dodání zboží“ a „zboží“). Přesná specifikace zboží, t.j. počet kusů,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021F075C" w:rsidR="00573F0E" w:rsidRPr="003A337E" w:rsidRDefault="00067116">
            <w:pPr>
              <w:spacing w:before="120" w:line="240" w:lineRule="atLeast"/>
              <w:jc w:val="right"/>
              <w:rPr>
                <w:rFonts w:ascii="Arial" w:hAnsi="Arial" w:cs="Arial"/>
                <w:b/>
                <w:sz w:val="22"/>
                <w:szCs w:val="22"/>
              </w:rPr>
            </w:pPr>
            <w:r>
              <w:rPr>
                <w:rFonts w:ascii="Arial" w:hAnsi="Arial" w:cs="Arial"/>
                <w:b/>
                <w:sz w:val="22"/>
                <w:szCs w:val="22"/>
              </w:rPr>
              <w:t>547 952,00</w:t>
            </w:r>
            <w:r w:rsidR="00573F0E" w:rsidRPr="003A337E">
              <w:rPr>
                <w:rFonts w:ascii="Arial" w:hAnsi="Arial" w:cs="Arial"/>
                <w:b/>
                <w:sz w:val="22"/>
                <w:szCs w:val="22"/>
              </w:rPr>
              <w:t xml:space="preserve"> Kč     </w:t>
            </w:r>
          </w:p>
        </w:tc>
      </w:tr>
      <w:tr w:rsidR="00573F0E" w:rsidRPr="003A337E" w14:paraId="4CEF39CC" w14:textId="77777777">
        <w:tc>
          <w:tcPr>
            <w:tcW w:w="4223" w:type="dxa"/>
          </w:tcPr>
          <w:p w14:paraId="0C5257E3"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1A4F8A" w:rsidRPr="003A337E">
              <w:rPr>
                <w:rFonts w:ascii="Arial" w:hAnsi="Arial" w:cs="Arial"/>
                <w:b/>
                <w:sz w:val="22"/>
                <w:szCs w:val="22"/>
              </w:rPr>
              <w:t>:</w:t>
            </w:r>
          </w:p>
        </w:tc>
        <w:tc>
          <w:tcPr>
            <w:tcW w:w="5203" w:type="dxa"/>
          </w:tcPr>
          <w:p w14:paraId="4E026526" w14:textId="76503939" w:rsidR="00573F0E" w:rsidRPr="003A337E" w:rsidRDefault="00067116">
            <w:pPr>
              <w:spacing w:before="120" w:line="240" w:lineRule="atLeast"/>
              <w:jc w:val="right"/>
              <w:rPr>
                <w:rFonts w:ascii="Arial" w:hAnsi="Arial" w:cs="Arial"/>
                <w:b/>
                <w:sz w:val="22"/>
                <w:szCs w:val="22"/>
              </w:rPr>
            </w:pPr>
            <w:r>
              <w:rPr>
                <w:rFonts w:ascii="Arial" w:hAnsi="Arial" w:cs="Arial"/>
                <w:b/>
                <w:sz w:val="22"/>
                <w:szCs w:val="22"/>
              </w:rPr>
              <w:t xml:space="preserve">82 192,00 </w:t>
            </w:r>
            <w:r w:rsidR="00573F0E" w:rsidRPr="003A337E">
              <w:rPr>
                <w:rFonts w:ascii="Arial" w:hAnsi="Arial" w:cs="Arial"/>
                <w:b/>
                <w:sz w:val="22"/>
                <w:szCs w:val="22"/>
              </w:rPr>
              <w:t>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08209498" w:rsidR="00573F0E" w:rsidRPr="003A337E" w:rsidRDefault="00067116">
            <w:pPr>
              <w:spacing w:before="120" w:line="240" w:lineRule="atLeast"/>
              <w:jc w:val="right"/>
              <w:rPr>
                <w:rFonts w:ascii="Arial" w:hAnsi="Arial" w:cs="Arial"/>
                <w:b/>
                <w:sz w:val="22"/>
                <w:szCs w:val="22"/>
              </w:rPr>
            </w:pPr>
            <w:r>
              <w:rPr>
                <w:rFonts w:ascii="Arial" w:hAnsi="Arial" w:cs="Arial"/>
                <w:b/>
                <w:sz w:val="22"/>
                <w:szCs w:val="22"/>
              </w:rPr>
              <w:t xml:space="preserve">630 144,80 </w:t>
            </w:r>
            <w:r w:rsidR="00573F0E" w:rsidRPr="003A337E">
              <w:rPr>
                <w:rFonts w:ascii="Arial" w:hAnsi="Arial" w:cs="Arial"/>
                <w:b/>
                <w:sz w:val="22"/>
                <w:szCs w:val="22"/>
              </w:rPr>
              <w:t xml:space="preserve">Kč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2EFB13E0"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Celková kupní cena ve výši </w:t>
      </w:r>
      <w:r w:rsidR="00067116">
        <w:rPr>
          <w:rFonts w:ascii="Arial" w:hAnsi="Arial" w:cs="Arial"/>
          <w:sz w:val="22"/>
          <w:szCs w:val="22"/>
        </w:rPr>
        <w:t xml:space="preserve">630 144,80 </w:t>
      </w:r>
      <w:r w:rsidRPr="00067116">
        <w:rPr>
          <w:rFonts w:ascii="Arial" w:hAnsi="Arial" w:cs="Arial"/>
          <w:sz w:val="22"/>
          <w:szCs w:val="22"/>
        </w:rPr>
        <w:t xml:space="preserve">Kč (slovy: </w:t>
      </w:r>
      <w:r w:rsidR="00067116" w:rsidRPr="00067116">
        <w:rPr>
          <w:rFonts w:ascii="Arial" w:hAnsi="Arial" w:cs="Arial"/>
          <w:sz w:val="22"/>
          <w:szCs w:val="22"/>
        </w:rPr>
        <w:t>šestsettřicettisícstočtyřicetčtyři</w:t>
      </w:r>
      <w:r w:rsidRPr="00067116">
        <w:rPr>
          <w:rFonts w:ascii="Arial" w:hAnsi="Arial" w:cs="Arial"/>
          <w:sz w:val="22"/>
          <w:szCs w:val="22"/>
        </w:rPr>
        <w:t>korun</w:t>
      </w:r>
      <w:r w:rsidRPr="003A337E">
        <w:rPr>
          <w:rFonts w:ascii="Arial" w:hAnsi="Arial" w:cs="Arial"/>
          <w:sz w:val="22"/>
          <w:szCs w:val="22"/>
        </w:rPr>
        <w:t xml:space="preserve"> českých) </w:t>
      </w:r>
      <w:r w:rsidR="00067116">
        <w:rPr>
          <w:rFonts w:ascii="Arial" w:hAnsi="Arial" w:cs="Arial"/>
          <w:sz w:val="22"/>
          <w:szCs w:val="22"/>
        </w:rPr>
        <w:t xml:space="preserve">osmdesát haléřů </w:t>
      </w:r>
      <w:r w:rsidRPr="003A337E">
        <w:rPr>
          <w:rFonts w:ascii="Arial" w:hAnsi="Arial" w:cs="Arial"/>
          <w:sz w:val="22"/>
          <w:szCs w:val="22"/>
        </w:rPr>
        <w:t xml:space="preserve">včetně příslušné DPH bude uhrazena kupujícím prodávajícímu na základě faktury, kterou zašle prodávající kupujícímu po podpisu předávacího protokolu. Faktura je splatná do </w:t>
      </w:r>
      <w:r w:rsidR="00067116">
        <w:rPr>
          <w:rFonts w:ascii="Arial" w:hAnsi="Arial" w:cs="Arial"/>
          <w:sz w:val="22"/>
          <w:szCs w:val="22"/>
        </w:rPr>
        <w:t>14</w:t>
      </w:r>
      <w:r w:rsidRPr="003A337E">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0862478E"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Pr="003A337E" w:rsidRDefault="001272BC">
      <w:pPr>
        <w:pStyle w:val="Zhlav"/>
        <w:tabs>
          <w:tab w:val="clear" w:pos="4536"/>
          <w:tab w:val="clear" w:pos="9072"/>
        </w:tabs>
        <w:spacing w:before="120"/>
        <w:rPr>
          <w:rFonts w:ascii="Arial" w:hAnsi="Arial" w:cs="Arial"/>
          <w:sz w:val="22"/>
          <w:szCs w:val="22"/>
        </w:rPr>
      </w:pPr>
    </w:p>
    <w:p w14:paraId="37529AAD" w14:textId="77777777" w:rsidR="00426AC2" w:rsidRDefault="00426AC2">
      <w:pPr>
        <w:jc w:val="center"/>
        <w:rPr>
          <w:rFonts w:ascii="Arial" w:hAnsi="Arial" w:cs="Arial"/>
          <w:b/>
          <w:bCs/>
          <w:sz w:val="22"/>
          <w:szCs w:val="22"/>
        </w:rPr>
      </w:pPr>
    </w:p>
    <w:p w14:paraId="0B9584F5" w14:textId="77777777" w:rsidR="00426AC2" w:rsidRDefault="00426AC2">
      <w:pPr>
        <w:jc w:val="center"/>
        <w:rPr>
          <w:rFonts w:ascii="Arial" w:hAnsi="Arial" w:cs="Arial"/>
          <w:b/>
          <w:bCs/>
          <w:sz w:val="22"/>
          <w:szCs w:val="22"/>
        </w:rPr>
      </w:pPr>
    </w:p>
    <w:p w14:paraId="495F5E14" w14:textId="77777777" w:rsidR="00426AC2" w:rsidRDefault="00426AC2">
      <w:pPr>
        <w:jc w:val="center"/>
        <w:rPr>
          <w:rFonts w:ascii="Arial" w:hAnsi="Arial" w:cs="Arial"/>
          <w:b/>
          <w:bCs/>
          <w:sz w:val="22"/>
          <w:szCs w:val="22"/>
        </w:rPr>
      </w:pPr>
    </w:p>
    <w:p w14:paraId="70F64FFB" w14:textId="77777777" w:rsidR="00426AC2" w:rsidRDefault="00426AC2">
      <w:pPr>
        <w:jc w:val="center"/>
        <w:rPr>
          <w:rFonts w:ascii="Arial" w:hAnsi="Arial" w:cs="Arial"/>
          <w:b/>
          <w:bCs/>
          <w:sz w:val="22"/>
          <w:szCs w:val="22"/>
        </w:rPr>
      </w:pPr>
    </w:p>
    <w:p w14:paraId="77C37778" w14:textId="77777777" w:rsidR="00426AC2" w:rsidRDefault="00426AC2">
      <w:pPr>
        <w:jc w:val="center"/>
        <w:rPr>
          <w:rFonts w:ascii="Arial" w:hAnsi="Arial" w:cs="Arial"/>
          <w:b/>
          <w:bCs/>
          <w:sz w:val="22"/>
          <w:szCs w:val="22"/>
        </w:rPr>
      </w:pPr>
    </w:p>
    <w:p w14:paraId="3E02C5FB" w14:textId="34673E08"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6DE07550"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42782D">
        <w:rPr>
          <w:rFonts w:cs="Arial"/>
          <w:sz w:val="22"/>
          <w:szCs w:val="22"/>
        </w:rPr>
        <w:t xml:space="preserve">Centrum sociální pomoci města Litomyšl </w:t>
      </w:r>
      <w:r w:rsidR="000E5EAB">
        <w:rPr>
          <w:rFonts w:cs="Arial"/>
          <w:sz w:val="22"/>
          <w:szCs w:val="22"/>
        </w:rPr>
        <w:t>, Zámecká 500, 570 01 Litomyšl</w:t>
      </w:r>
      <w:r w:rsidRPr="003A337E">
        <w:rPr>
          <w:rFonts w:cs="Arial"/>
          <w:sz w:val="22"/>
          <w:szCs w:val="22"/>
        </w:rPr>
        <w:t xml:space="preserve"> (dále též „místo plnění“).</w:t>
      </w:r>
    </w:p>
    <w:p w14:paraId="0CD52CC5" w14:textId="611361D0" w:rsidR="00573F0E" w:rsidRPr="00067116"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067116">
        <w:rPr>
          <w:rFonts w:cs="Arial"/>
          <w:sz w:val="22"/>
          <w:szCs w:val="22"/>
        </w:rPr>
        <w:t xml:space="preserve">dodat do </w:t>
      </w:r>
      <w:r w:rsidR="00067116">
        <w:rPr>
          <w:rFonts w:cs="Arial"/>
          <w:sz w:val="22"/>
          <w:szCs w:val="22"/>
        </w:rPr>
        <w:t>12</w:t>
      </w:r>
      <w:r w:rsidR="00067116" w:rsidRPr="00067116">
        <w:rPr>
          <w:rFonts w:cs="Arial"/>
          <w:sz w:val="22"/>
          <w:szCs w:val="22"/>
        </w:rPr>
        <w:t xml:space="preserve"> </w:t>
      </w:r>
      <w:r w:rsidR="00E82996" w:rsidRPr="00067116">
        <w:rPr>
          <w:rFonts w:cs="Arial"/>
          <w:sz w:val="22"/>
          <w:szCs w:val="22"/>
        </w:rPr>
        <w:t>tý</w:t>
      </w:r>
      <w:r w:rsidR="007710C7" w:rsidRPr="00067116">
        <w:rPr>
          <w:rFonts w:cs="Arial"/>
          <w:sz w:val="22"/>
          <w:szCs w:val="22"/>
        </w:rPr>
        <w:t>dn</w:t>
      </w:r>
      <w:r w:rsidR="00E82996" w:rsidRPr="00067116">
        <w:rPr>
          <w:rFonts w:cs="Arial"/>
          <w:sz w:val="22"/>
          <w:szCs w:val="22"/>
        </w:rPr>
        <w:t>ů</w:t>
      </w:r>
      <w:r w:rsidRPr="00067116">
        <w:rPr>
          <w:rFonts w:cs="Arial"/>
          <w:sz w:val="22"/>
          <w:szCs w:val="22"/>
        </w:rPr>
        <w:t xml:space="preserve"> ode dne</w:t>
      </w:r>
      <w:r w:rsidR="00617D7E" w:rsidRPr="00067116">
        <w:rPr>
          <w:rFonts w:cs="Arial"/>
          <w:sz w:val="22"/>
          <w:szCs w:val="22"/>
        </w:rPr>
        <w:t xml:space="preserve"> podpisu této smlouvy</w:t>
      </w:r>
      <w:r w:rsidRPr="00067116">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(dvaceti čtyř) měsíců. Záruční doba počíná běžet dnem podpisu předávacího protokolu dle čl. V. odst. 1) této smlouvy. Záruka v délce 24 (dvaceti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1ACA356E" w14:textId="2E908B14"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7"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7DB8F0A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7E6DF6">
        <w:rPr>
          <w:rFonts w:ascii="Arial" w:hAnsi="Arial" w:cs="Arial"/>
          <w:sz w:val="22"/>
          <w:szCs w:val="22"/>
        </w:rPr>
        <w:t> Želevčicích.</w:t>
      </w:r>
    </w:p>
    <w:p w14:paraId="4FAC0EF4" w14:textId="6B6B847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5F71D55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doporučuje kupujícímu nechat u zboží provést </w:t>
      </w:r>
      <w:r w:rsidR="00067116">
        <w:rPr>
          <w:rFonts w:ascii="Arial" w:hAnsi="Arial" w:cs="Arial"/>
          <w:sz w:val="22"/>
          <w:szCs w:val="22"/>
        </w:rPr>
        <w:t>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je </w:t>
      </w:r>
      <w:r w:rsidR="00E07C9A">
        <w:rPr>
          <w:rFonts w:ascii="Arial" w:hAnsi="Arial" w:cs="Arial"/>
          <w:sz w:val="22"/>
          <w:szCs w:val="22"/>
        </w:rPr>
        <w:t>stanovena aktuálním ceníkem servisních činností</w:t>
      </w:r>
      <w:r w:rsidRPr="003A337E">
        <w:rPr>
          <w:rFonts w:ascii="Arial" w:hAnsi="Arial" w:cs="Arial"/>
          <w:sz w:val="22"/>
          <w:szCs w:val="22"/>
        </w:rPr>
        <w:t>.</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321A6DB8"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w:t>
      </w:r>
      <w:r w:rsidR="00D42B53">
        <w:rPr>
          <w:rFonts w:ascii="Arial" w:hAnsi="Arial" w:cs="Arial"/>
          <w:sz w:val="22"/>
          <w:szCs w:val="22"/>
        </w:rPr>
        <w:t>za výjezd technika</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pPr>
        <w:pStyle w:val="Seznam"/>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lastRenderedPageBreak/>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řádem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6BED9F60" w14:textId="1F752C6C" w:rsidR="00E81E99" w:rsidRPr="00956E1E" w:rsidRDefault="00B81365" w:rsidP="00E81E99">
      <w:pPr>
        <w:pStyle w:val="Seznam"/>
        <w:ind w:left="566" w:hanging="206"/>
        <w:rPr>
          <w:rFonts w:ascii="Arial" w:hAnsi="Arial" w:cs="Arial"/>
          <w:sz w:val="22"/>
          <w:szCs w:val="22"/>
        </w:rPr>
      </w:pPr>
      <w:r>
        <w:rPr>
          <w:rFonts w:ascii="Arial" w:hAnsi="Arial" w:cs="Arial"/>
          <w:sz w:val="22"/>
          <w:szCs w:val="22"/>
        </w:rPr>
        <w:t>Bc. Zdeněk Grimm</w:t>
      </w:r>
      <w:r w:rsidR="00E81E99" w:rsidRPr="00956E1E">
        <w:rPr>
          <w:rFonts w:ascii="Arial" w:hAnsi="Arial" w:cs="Arial"/>
          <w:sz w:val="22"/>
          <w:szCs w:val="22"/>
        </w:rPr>
        <w:t xml:space="preserve"> – ředitel obchodního oddělení ČR (tel: </w:t>
      </w:r>
      <w:r w:rsidR="00061D96">
        <w:rPr>
          <w:rFonts w:ascii="Arial" w:hAnsi="Arial" w:cs="Arial"/>
          <w:sz w:val="22"/>
          <w:szCs w:val="22"/>
        </w:rPr>
        <w:t>xxxxxxxxxxxxxx</w:t>
      </w:r>
      <w:r w:rsidR="00E81E99" w:rsidRPr="00956E1E">
        <w:rPr>
          <w:rFonts w:ascii="Arial" w:hAnsi="Arial" w:cs="Arial"/>
          <w:sz w:val="22"/>
          <w:szCs w:val="22"/>
        </w:rPr>
        <w:t>), nebo</w:t>
      </w:r>
    </w:p>
    <w:p w14:paraId="16081140" w14:textId="2480035D" w:rsidR="00E81E99" w:rsidRPr="007E6DF6" w:rsidRDefault="00E21286" w:rsidP="00E81E99">
      <w:pPr>
        <w:pStyle w:val="Zkladntext"/>
        <w:ind w:firstLine="360"/>
        <w:rPr>
          <w:rFonts w:cs="Arial"/>
          <w:sz w:val="22"/>
          <w:szCs w:val="22"/>
        </w:rPr>
      </w:pPr>
      <w:r>
        <w:rPr>
          <w:rFonts w:cs="Arial"/>
          <w:sz w:val="22"/>
          <w:szCs w:val="22"/>
        </w:rPr>
        <w:t xml:space="preserve">Nikolaos Vidras </w:t>
      </w:r>
      <w:r w:rsidR="007E6DF6" w:rsidRPr="007E6DF6">
        <w:rPr>
          <w:rFonts w:cs="Arial"/>
          <w:sz w:val="22"/>
          <w:szCs w:val="22"/>
        </w:rPr>
        <w:t xml:space="preserve">– </w:t>
      </w:r>
      <w:r w:rsidR="00E81E99" w:rsidRPr="007E6DF6">
        <w:rPr>
          <w:rFonts w:cs="Arial"/>
          <w:sz w:val="22"/>
          <w:szCs w:val="22"/>
        </w:rPr>
        <w:t xml:space="preserve">obchodní zástupce – regionální vedoucí (tel: </w:t>
      </w:r>
      <w:r w:rsidR="00061D96">
        <w:rPr>
          <w:rFonts w:cs="Arial"/>
          <w:sz w:val="22"/>
          <w:szCs w:val="22"/>
        </w:rPr>
        <w:t>xxxxxxxxxxxxxx</w:t>
      </w:r>
      <w:r w:rsidR="00E81E99" w:rsidRPr="007E6DF6">
        <w:rPr>
          <w:rFonts w:cs="Arial"/>
          <w:sz w:val="22"/>
          <w:szCs w:val="22"/>
        </w:rPr>
        <w:t>), nebo</w:t>
      </w:r>
    </w:p>
    <w:p w14:paraId="32CF18D8" w14:textId="77777777" w:rsidR="000D38AB" w:rsidRPr="003A337E" w:rsidRDefault="00E81E99" w:rsidP="00E81E99">
      <w:pPr>
        <w:pStyle w:val="Zkladntext"/>
        <w:ind w:firstLine="360"/>
        <w:rPr>
          <w:rFonts w:cs="Arial"/>
          <w:sz w:val="22"/>
          <w:szCs w:val="22"/>
        </w:rPr>
      </w:pPr>
      <w:r w:rsidRPr="00956E1E">
        <w:rPr>
          <w:rFonts w:cs="Arial"/>
          <w:sz w:val="22"/>
          <w:szCs w:val="22"/>
        </w:rPr>
        <w:t>písemně pověřená osoba</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1C0A14E7" w14:textId="47A61D67" w:rsidR="00573F0E" w:rsidRPr="003A337E" w:rsidRDefault="00067116">
      <w:pPr>
        <w:pStyle w:val="Zkladntext"/>
        <w:ind w:firstLine="360"/>
        <w:rPr>
          <w:rFonts w:cs="Arial"/>
          <w:sz w:val="22"/>
          <w:szCs w:val="22"/>
        </w:rPr>
      </w:pPr>
      <w:r>
        <w:rPr>
          <w:rFonts w:cs="Arial"/>
          <w:sz w:val="22"/>
          <w:szCs w:val="22"/>
        </w:rPr>
        <w:t xml:space="preserve">Mgr. Alena Fiedlerová – ředitelka – </w:t>
      </w:r>
      <w:r w:rsidR="00061D96">
        <w:rPr>
          <w:rFonts w:cs="Arial"/>
          <w:sz w:val="22"/>
          <w:szCs w:val="22"/>
        </w:rPr>
        <w:t>xxxxxxxxxxxx</w:t>
      </w:r>
    </w:p>
    <w:p w14:paraId="49D0982A" w14:textId="77777777" w:rsidR="00573F0E" w:rsidRDefault="00573F0E">
      <w:pPr>
        <w:pStyle w:val="Zkladntext"/>
        <w:numPr>
          <w:ilvl w:val="0"/>
          <w:numId w:val="15"/>
        </w:numPr>
        <w:spacing w:before="120"/>
        <w:rPr>
          <w:rFonts w:cs="Arial"/>
          <w:sz w:val="22"/>
          <w:szCs w:val="22"/>
        </w:rPr>
      </w:pPr>
      <w:r w:rsidRPr="003A337E">
        <w:rPr>
          <w:rFonts w:cs="Arial"/>
          <w:sz w:val="22"/>
          <w:szCs w:val="22"/>
        </w:rPr>
        <w:t>Tato smlouva je platná a účinná dnem jejího podpisu oběma smluvními stranami.</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63CAEA85" w:rsidR="00573F0E" w:rsidRPr="003A337E" w:rsidRDefault="00573F0E">
      <w:pPr>
        <w:pStyle w:val="Zkladntext"/>
        <w:numPr>
          <w:ilvl w:val="0"/>
          <w:numId w:val="15"/>
        </w:numPr>
        <w:spacing w:before="120"/>
        <w:rPr>
          <w:rFonts w:cs="Arial"/>
          <w:sz w:val="22"/>
          <w:szCs w:val="22"/>
        </w:rPr>
      </w:pPr>
      <w:r w:rsidRPr="003A337E">
        <w:rPr>
          <w:rFonts w:cs="Arial"/>
          <w:sz w:val="22"/>
          <w:szCs w:val="22"/>
        </w:rPr>
        <w:lastRenderedPageBreak/>
        <w:t xml:space="preserve">Tato smlouva včetně příloh je vyhotovena ve </w:t>
      </w:r>
      <w:r w:rsidR="007E6DF6">
        <w:rPr>
          <w:rFonts w:cs="Arial"/>
          <w:sz w:val="22"/>
          <w:szCs w:val="22"/>
        </w:rPr>
        <w:t>dvou</w:t>
      </w:r>
      <w:r w:rsidRPr="003A337E">
        <w:rPr>
          <w:rFonts w:cs="Arial"/>
          <w:sz w:val="22"/>
          <w:szCs w:val="22"/>
        </w:rPr>
        <w:t xml:space="preserve"> vyhotoveních, z nichž </w:t>
      </w:r>
      <w:r w:rsidR="00B81365">
        <w:rPr>
          <w:rFonts w:cs="Arial"/>
          <w:sz w:val="22"/>
          <w:szCs w:val="22"/>
        </w:rPr>
        <w:t xml:space="preserve">prodávající obdrží </w:t>
      </w:r>
      <w:r w:rsidR="007E6DF6">
        <w:rPr>
          <w:rFonts w:cs="Arial"/>
          <w:sz w:val="22"/>
          <w:szCs w:val="22"/>
        </w:rPr>
        <w:t>jedno</w:t>
      </w:r>
      <w:r w:rsidR="00B81365">
        <w:rPr>
          <w:rFonts w:cs="Arial"/>
          <w:sz w:val="22"/>
          <w:szCs w:val="22"/>
        </w:rPr>
        <w:t xml:space="preserve"> vyhotovení a kupující jedno</w:t>
      </w:r>
      <w:r w:rsidRPr="003A337E">
        <w:rPr>
          <w:rFonts w:cs="Arial"/>
          <w:sz w:val="22"/>
          <w:szCs w:val="22"/>
        </w:rPr>
        <w:t xml:space="preserve"> vyhotovení.</w:t>
      </w:r>
    </w:p>
    <w:p w14:paraId="7EEA97D8" w14:textId="77777777" w:rsidR="00573F0E" w:rsidRPr="003A337E" w:rsidRDefault="00573F0E">
      <w:pPr>
        <w:pStyle w:val="Zkladntext"/>
        <w:numPr>
          <w:ilvl w:val="0"/>
          <w:numId w:val="15"/>
        </w:numPr>
        <w:spacing w:before="120"/>
        <w:rPr>
          <w:rFonts w:cs="Arial"/>
          <w:sz w:val="22"/>
          <w:szCs w:val="22"/>
        </w:rPr>
      </w:pPr>
      <w:r w:rsidRPr="003A337E">
        <w:rPr>
          <w:rFonts w:cs="Arial"/>
          <w:sz w:val="22"/>
          <w:szCs w:val="22"/>
        </w:rPr>
        <w:t>Přílohy :</w:t>
      </w:r>
      <w:r w:rsidRPr="003A337E">
        <w:rPr>
          <w:rFonts w:cs="Arial"/>
          <w:sz w:val="22"/>
          <w:szCs w:val="22"/>
        </w:rPr>
        <w:tab/>
        <w:t>Příloha č. 1 - Specifikace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364058D6"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Želevčicích dne ................20</w:t>
      </w:r>
      <w:r w:rsidR="00C53D6E">
        <w:rPr>
          <w:rFonts w:ascii="Arial" w:hAnsi="Arial" w:cs="Arial"/>
          <w:bCs/>
          <w:sz w:val="22"/>
          <w:szCs w:val="22"/>
        </w:rPr>
        <w:t>22</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 </w:t>
      </w:r>
      <w:r w:rsidR="00EE3A54">
        <w:rPr>
          <w:rFonts w:ascii="Arial" w:hAnsi="Arial" w:cs="Arial"/>
          <w:bCs/>
          <w:sz w:val="22"/>
          <w:szCs w:val="22"/>
        </w:rPr>
        <w:t>Litomyšli</w:t>
      </w:r>
      <w:r w:rsidRPr="003A337E">
        <w:rPr>
          <w:rFonts w:ascii="Arial" w:hAnsi="Arial" w:cs="Arial"/>
          <w:bCs/>
          <w:sz w:val="22"/>
          <w:szCs w:val="22"/>
        </w:rPr>
        <w:t xml:space="preserve">....................... dne </w:t>
      </w:r>
      <w:r w:rsidR="0079187F">
        <w:rPr>
          <w:rFonts w:ascii="Arial" w:hAnsi="Arial" w:cs="Arial"/>
          <w:bCs/>
          <w:sz w:val="22"/>
          <w:szCs w:val="22"/>
        </w:rPr>
        <w:t>................20</w:t>
      </w:r>
      <w:r w:rsidR="007E6DF6">
        <w:rPr>
          <w:rFonts w:ascii="Arial" w:hAnsi="Arial" w:cs="Arial"/>
          <w:bCs/>
          <w:sz w:val="22"/>
          <w:szCs w:val="22"/>
        </w:rPr>
        <w:t>2</w:t>
      </w:r>
      <w:r w:rsidR="00C53D6E">
        <w:rPr>
          <w:rFonts w:ascii="Arial" w:hAnsi="Arial" w:cs="Arial"/>
          <w:bCs/>
          <w:sz w:val="22"/>
          <w:szCs w:val="22"/>
        </w:rPr>
        <w:t>2</w:t>
      </w:r>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68AE0495" w14:textId="108FA987" w:rsidR="00231B87"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2675D55" w14:textId="52839FE0"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A7AC4">
        <w:rPr>
          <w:rFonts w:ascii="Arial" w:hAnsi="Arial" w:cs="Arial"/>
          <w:bCs/>
          <w:sz w:val="22"/>
          <w:szCs w:val="22"/>
        </w:rPr>
        <w:t>Bc. Zdeněk Grimm</w:t>
      </w:r>
    </w:p>
    <w:p w14:paraId="246468C2" w14:textId="36BDC1A5"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AA7AC4">
        <w:rPr>
          <w:rFonts w:ascii="Arial" w:hAnsi="Arial" w:cs="Arial"/>
          <w:bCs/>
          <w:sz w:val="22"/>
          <w:szCs w:val="22"/>
        </w:rPr>
        <w:t xml:space="preserve">    </w:t>
      </w:r>
      <w:r>
        <w:rPr>
          <w:rFonts w:ascii="Arial" w:hAnsi="Arial" w:cs="Arial"/>
          <w:bCs/>
          <w:sz w:val="22"/>
          <w:szCs w:val="22"/>
        </w:rPr>
        <w:t xml:space="preserve"> </w:t>
      </w:r>
      <w:r w:rsidR="00AA7AC4">
        <w:rPr>
          <w:rFonts w:ascii="Arial" w:hAnsi="Arial" w:cs="Arial"/>
          <w:bCs/>
          <w:sz w:val="22"/>
          <w:szCs w:val="22"/>
        </w:rPr>
        <w:t>Ředitel obchodu ČR</w:t>
      </w:r>
    </w:p>
    <w:p w14:paraId="3AF7C7B9" w14:textId="1289D456" w:rsidR="007E6DF6" w:rsidRPr="003A337E"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B96F12">
        <w:rPr>
          <w:rFonts w:ascii="Arial" w:hAnsi="Arial" w:cs="Arial"/>
          <w:bCs/>
          <w:sz w:val="22"/>
          <w:szCs w:val="22"/>
        </w:rPr>
        <w:t>n</w:t>
      </w:r>
      <w:r>
        <w:rPr>
          <w:rFonts w:ascii="Arial" w:hAnsi="Arial" w:cs="Arial"/>
          <w:bCs/>
          <w:sz w:val="22"/>
          <w:szCs w:val="22"/>
        </w:rPr>
        <w:t>a základě plné moci</w:t>
      </w:r>
    </w:p>
    <w:sectPr w:rsidR="007E6DF6" w:rsidRPr="003A337E"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645E" w14:textId="77777777" w:rsidR="00E61DEF" w:rsidRDefault="00E61DEF">
      <w:r>
        <w:separator/>
      </w:r>
    </w:p>
  </w:endnote>
  <w:endnote w:type="continuationSeparator" w:id="0">
    <w:p w14:paraId="01A62B6B" w14:textId="77777777" w:rsidR="00E61DEF" w:rsidRDefault="00E6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42B5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F1B2" w14:textId="77777777" w:rsidR="00E61DEF" w:rsidRDefault="00E61DEF">
      <w:r>
        <w:separator/>
      </w:r>
    </w:p>
  </w:footnote>
  <w:footnote w:type="continuationSeparator" w:id="0">
    <w:p w14:paraId="73682122" w14:textId="77777777" w:rsidR="00E61DEF" w:rsidRDefault="00E61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28"/>
  </w:num>
  <w:num w:numId="4">
    <w:abstractNumId w:val="3"/>
  </w:num>
  <w:num w:numId="5">
    <w:abstractNumId w:val="13"/>
  </w:num>
  <w:num w:numId="6">
    <w:abstractNumId w:val="25"/>
  </w:num>
  <w:num w:numId="7">
    <w:abstractNumId w:val="24"/>
  </w:num>
  <w:num w:numId="8">
    <w:abstractNumId w:val="15"/>
  </w:num>
  <w:num w:numId="9">
    <w:abstractNumId w:val="14"/>
  </w:num>
  <w:num w:numId="10">
    <w:abstractNumId w:val="9"/>
  </w:num>
  <w:num w:numId="11">
    <w:abstractNumId w:val="27"/>
  </w:num>
  <w:num w:numId="12">
    <w:abstractNumId w:val="17"/>
  </w:num>
  <w:num w:numId="13">
    <w:abstractNumId w:val="19"/>
  </w:num>
  <w:num w:numId="14">
    <w:abstractNumId w:val="26"/>
  </w:num>
  <w:num w:numId="15">
    <w:abstractNumId w:val="29"/>
  </w:num>
  <w:num w:numId="16">
    <w:abstractNumId w:val="6"/>
  </w:num>
  <w:num w:numId="17">
    <w:abstractNumId w:val="21"/>
  </w:num>
  <w:num w:numId="18">
    <w:abstractNumId w:val="2"/>
  </w:num>
  <w:num w:numId="19">
    <w:abstractNumId w:val="18"/>
  </w:num>
  <w:num w:numId="20">
    <w:abstractNumId w:val="8"/>
  </w:num>
  <w:num w:numId="21">
    <w:abstractNumId w:val="22"/>
  </w:num>
  <w:num w:numId="22">
    <w:abstractNumId w:val="4"/>
  </w:num>
  <w:num w:numId="23">
    <w:abstractNumId w:val="23"/>
  </w:num>
  <w:num w:numId="24">
    <w:abstractNumId w:val="12"/>
  </w:num>
  <w:num w:numId="25">
    <w:abstractNumId w:val="16"/>
  </w:num>
  <w:num w:numId="26">
    <w:abstractNumId w:val="1"/>
  </w:num>
  <w:num w:numId="27">
    <w:abstractNumId w:val="30"/>
  </w:num>
  <w:num w:numId="28">
    <w:abstractNumId w:val="5"/>
  </w:num>
  <w:num w:numId="29">
    <w:abstractNumId w:val="11"/>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B"/>
    <w:rsid w:val="000052D1"/>
    <w:rsid w:val="000074B9"/>
    <w:rsid w:val="00007E87"/>
    <w:rsid w:val="00033DA3"/>
    <w:rsid w:val="00036533"/>
    <w:rsid w:val="000410DC"/>
    <w:rsid w:val="00061D96"/>
    <w:rsid w:val="00067116"/>
    <w:rsid w:val="000B0C14"/>
    <w:rsid w:val="000C3317"/>
    <w:rsid w:val="000D38AB"/>
    <w:rsid w:val="000D401D"/>
    <w:rsid w:val="000E5EAB"/>
    <w:rsid w:val="000F00CF"/>
    <w:rsid w:val="001272BC"/>
    <w:rsid w:val="001431FE"/>
    <w:rsid w:val="001820E0"/>
    <w:rsid w:val="001844D2"/>
    <w:rsid w:val="001A4F8A"/>
    <w:rsid w:val="001A712D"/>
    <w:rsid w:val="0021013C"/>
    <w:rsid w:val="00231B87"/>
    <w:rsid w:val="00235154"/>
    <w:rsid w:val="002357FA"/>
    <w:rsid w:val="00264D51"/>
    <w:rsid w:val="002A465F"/>
    <w:rsid w:val="002B0563"/>
    <w:rsid w:val="002B76BE"/>
    <w:rsid w:val="00311218"/>
    <w:rsid w:val="00325B7C"/>
    <w:rsid w:val="00330C72"/>
    <w:rsid w:val="0034449D"/>
    <w:rsid w:val="003479D6"/>
    <w:rsid w:val="00376D53"/>
    <w:rsid w:val="003A337E"/>
    <w:rsid w:val="003B5755"/>
    <w:rsid w:val="003E7221"/>
    <w:rsid w:val="00426AC2"/>
    <w:rsid w:val="0042782D"/>
    <w:rsid w:val="00477661"/>
    <w:rsid w:val="004F6050"/>
    <w:rsid w:val="00500E5F"/>
    <w:rsid w:val="00564195"/>
    <w:rsid w:val="00564BF0"/>
    <w:rsid w:val="00573F0E"/>
    <w:rsid w:val="00576963"/>
    <w:rsid w:val="0059738D"/>
    <w:rsid w:val="005E7388"/>
    <w:rsid w:val="00602CF9"/>
    <w:rsid w:val="00617D7E"/>
    <w:rsid w:val="00643412"/>
    <w:rsid w:val="00645D07"/>
    <w:rsid w:val="00666082"/>
    <w:rsid w:val="00680AA3"/>
    <w:rsid w:val="006D6FD3"/>
    <w:rsid w:val="00705C52"/>
    <w:rsid w:val="00712AC4"/>
    <w:rsid w:val="007710C7"/>
    <w:rsid w:val="00775EFC"/>
    <w:rsid w:val="0079187F"/>
    <w:rsid w:val="007E6DF6"/>
    <w:rsid w:val="008242CB"/>
    <w:rsid w:val="008849B7"/>
    <w:rsid w:val="00895B28"/>
    <w:rsid w:val="008A784E"/>
    <w:rsid w:val="008D03BD"/>
    <w:rsid w:val="008E5775"/>
    <w:rsid w:val="00923E75"/>
    <w:rsid w:val="00933F2F"/>
    <w:rsid w:val="00937622"/>
    <w:rsid w:val="0094239D"/>
    <w:rsid w:val="00942C0C"/>
    <w:rsid w:val="00952189"/>
    <w:rsid w:val="00967C83"/>
    <w:rsid w:val="009C21C5"/>
    <w:rsid w:val="009F3563"/>
    <w:rsid w:val="00A022FD"/>
    <w:rsid w:val="00A5191B"/>
    <w:rsid w:val="00A6062D"/>
    <w:rsid w:val="00A70A8B"/>
    <w:rsid w:val="00A913E2"/>
    <w:rsid w:val="00AA7AC4"/>
    <w:rsid w:val="00AF0BD4"/>
    <w:rsid w:val="00B03E63"/>
    <w:rsid w:val="00B3002C"/>
    <w:rsid w:val="00B312B4"/>
    <w:rsid w:val="00B428F1"/>
    <w:rsid w:val="00B512F1"/>
    <w:rsid w:val="00B51957"/>
    <w:rsid w:val="00B81365"/>
    <w:rsid w:val="00B96F12"/>
    <w:rsid w:val="00C51F10"/>
    <w:rsid w:val="00C53D6E"/>
    <w:rsid w:val="00CB53FE"/>
    <w:rsid w:val="00CE7A2C"/>
    <w:rsid w:val="00D1276A"/>
    <w:rsid w:val="00D37927"/>
    <w:rsid w:val="00D42B53"/>
    <w:rsid w:val="00DB608B"/>
    <w:rsid w:val="00DC273E"/>
    <w:rsid w:val="00DD1594"/>
    <w:rsid w:val="00DD4627"/>
    <w:rsid w:val="00DF3985"/>
    <w:rsid w:val="00DF7BAB"/>
    <w:rsid w:val="00E07C9A"/>
    <w:rsid w:val="00E21286"/>
    <w:rsid w:val="00E35A4F"/>
    <w:rsid w:val="00E4442C"/>
    <w:rsid w:val="00E61DEF"/>
    <w:rsid w:val="00E81E99"/>
    <w:rsid w:val="00E82996"/>
    <w:rsid w:val="00EA089B"/>
    <w:rsid w:val="00EA5719"/>
    <w:rsid w:val="00EB28B8"/>
    <w:rsid w:val="00EB6471"/>
    <w:rsid w:val="00EE3A54"/>
    <w:rsid w:val="00EE50B3"/>
    <w:rsid w:val="00F127E4"/>
    <w:rsid w:val="00F40993"/>
    <w:rsid w:val="00F50AF9"/>
    <w:rsid w:val="00F557EC"/>
    <w:rsid w:val="00F5712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s@li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1987</Words>
  <Characters>11729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13689</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Admin</cp:lastModifiedBy>
  <cp:revision>6</cp:revision>
  <cp:lastPrinted>2013-12-17T08:37:00Z</cp:lastPrinted>
  <dcterms:created xsi:type="dcterms:W3CDTF">2022-02-07T14:48:00Z</dcterms:created>
  <dcterms:modified xsi:type="dcterms:W3CDTF">2022-02-08T14:49:00Z</dcterms:modified>
</cp:coreProperties>
</file>