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80" w:rsidRDefault="001D3580" w:rsidP="001D35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Příloha č. </w:t>
      </w:r>
      <w:r w:rsidR="00C628E2">
        <w:rPr>
          <w:rFonts w:ascii="Verdana" w:hAnsi="Verdana"/>
          <w:b/>
        </w:rPr>
        <w:t>2</w:t>
      </w:r>
      <w:bookmarkStart w:id="0" w:name="_GoBack"/>
      <w:bookmarkEnd w:id="0"/>
      <w:r w:rsidRPr="007B13B3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Podmínky překladů</w:t>
      </w:r>
    </w:p>
    <w:p w:rsidR="004A37A2" w:rsidRDefault="004A37A2" w:rsidP="004A37A2">
      <w:pPr>
        <w:pStyle w:val="Default"/>
      </w:pPr>
      <w:r>
        <w:rPr>
          <w:rFonts w:ascii="Verdana" w:hAnsi="Verdana"/>
          <w:b/>
        </w:rPr>
        <w:t xml:space="preserve">Podmínky použité z dokumentu </w:t>
      </w:r>
    </w:p>
    <w:p w:rsidR="004A37A2" w:rsidRPr="004A37A2" w:rsidRDefault="004A37A2" w:rsidP="004A37A2">
      <w:pPr>
        <w:pStyle w:val="Default"/>
        <w:rPr>
          <w:sz w:val="23"/>
          <w:szCs w:val="23"/>
        </w:rPr>
      </w:pPr>
      <w: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9"/>
      </w:tblGrid>
      <w:tr w:rsidR="004A37A2" w:rsidRPr="004A37A2">
        <w:trPr>
          <w:trHeight w:val="480"/>
        </w:trPr>
        <w:tc>
          <w:tcPr>
            <w:tcW w:w="3509" w:type="dxa"/>
          </w:tcPr>
          <w:p w:rsidR="004A37A2" w:rsidRPr="004A37A2" w:rsidRDefault="004A37A2" w:rsidP="004A37A2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4A37A2">
              <w:rPr>
                <w:rFonts w:ascii="Verdana" w:hAnsi="Verdana" w:cs="Arial"/>
                <w:sz w:val="18"/>
                <w:szCs w:val="18"/>
              </w:rPr>
              <w:t xml:space="preserve">EUROPEAN COMMISSION </w:t>
            </w:r>
          </w:p>
          <w:p w:rsidR="004A37A2" w:rsidRPr="004A37A2" w:rsidRDefault="004A37A2" w:rsidP="004A37A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4A37A2">
              <w:rPr>
                <w:rFonts w:ascii="Verdana" w:hAnsi="Verdana" w:cs="Arial"/>
                <w:sz w:val="18"/>
                <w:szCs w:val="18"/>
              </w:rPr>
              <w:t xml:space="preserve">DIRECTORATE-GENERAL FOR TRANSLATION </w:t>
            </w:r>
          </w:p>
          <w:p w:rsidR="004A37A2" w:rsidRPr="004A37A2" w:rsidRDefault="004A37A2" w:rsidP="004A37A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37A2">
              <w:rPr>
                <w:rFonts w:ascii="Verdana" w:hAnsi="Verdana" w:cs="Arial"/>
                <w:sz w:val="18"/>
                <w:szCs w:val="18"/>
              </w:rPr>
              <w:t>Directorate</w:t>
            </w:r>
            <w:proofErr w:type="spellEnd"/>
            <w:r w:rsidRPr="004A37A2">
              <w:rPr>
                <w:rFonts w:ascii="Verdana" w:hAnsi="Verdana" w:cs="Arial"/>
                <w:sz w:val="18"/>
                <w:szCs w:val="18"/>
              </w:rPr>
              <w:t xml:space="preserve"> S — </w:t>
            </w:r>
            <w:proofErr w:type="spellStart"/>
            <w:r w:rsidRPr="004A37A2">
              <w:rPr>
                <w:rFonts w:ascii="Verdana" w:hAnsi="Verdana" w:cs="Arial"/>
                <w:sz w:val="18"/>
                <w:szCs w:val="18"/>
              </w:rPr>
              <w:t>Customer</w:t>
            </w:r>
            <w:proofErr w:type="spellEnd"/>
            <w:r w:rsidRPr="004A37A2">
              <w:rPr>
                <w:rFonts w:ascii="Verdana" w:hAnsi="Verdana" w:cs="Arial"/>
                <w:sz w:val="18"/>
                <w:szCs w:val="18"/>
              </w:rPr>
              <w:t xml:space="preserve"> relations </w:t>
            </w:r>
          </w:p>
          <w:p w:rsidR="004A37A2" w:rsidRPr="004A37A2" w:rsidRDefault="004A37A2" w:rsidP="004A37A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 xml:space="preserve">S.2 — </w:t>
            </w:r>
            <w:proofErr w:type="spellStart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>External</w:t>
            </w:r>
            <w:proofErr w:type="spellEnd"/>
            <w:proofErr w:type="gramEnd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>translation</w:t>
            </w:r>
            <w:proofErr w:type="spellEnd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1D3580" w:rsidRPr="004A37A2" w:rsidRDefault="004A37A2" w:rsidP="004A37A2">
      <w:pPr>
        <w:spacing w:after="0"/>
        <w:rPr>
          <w:rFonts w:ascii="Verdana" w:hAnsi="Verdana"/>
          <w:sz w:val="18"/>
          <w:szCs w:val="18"/>
        </w:rPr>
      </w:pPr>
      <w:r w:rsidRPr="004A37A2">
        <w:rPr>
          <w:rFonts w:ascii="Verdana" w:hAnsi="Verdana"/>
          <w:sz w:val="18"/>
          <w:szCs w:val="18"/>
        </w:rPr>
        <w:t xml:space="preserve">Tender </w:t>
      </w:r>
      <w:proofErr w:type="spellStart"/>
      <w:r w:rsidRPr="004A37A2">
        <w:rPr>
          <w:rFonts w:ascii="Verdana" w:hAnsi="Verdana"/>
          <w:sz w:val="18"/>
          <w:szCs w:val="18"/>
        </w:rPr>
        <w:t>specifications</w:t>
      </w:r>
      <w:proofErr w:type="spellEnd"/>
    </w:p>
    <w:p w:rsidR="004A37A2" w:rsidRPr="004A37A2" w:rsidRDefault="004A37A2" w:rsidP="004A37A2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4A37A2">
        <w:rPr>
          <w:rFonts w:ascii="Verdana" w:hAnsi="Verdana"/>
          <w:sz w:val="18"/>
          <w:szCs w:val="18"/>
        </w:rPr>
        <w:t>Translation</w:t>
      </w:r>
      <w:proofErr w:type="spellEnd"/>
      <w:r w:rsidRPr="004A37A2">
        <w:rPr>
          <w:rFonts w:ascii="Verdana" w:hAnsi="Verdana"/>
          <w:sz w:val="18"/>
          <w:szCs w:val="18"/>
        </w:rPr>
        <w:t xml:space="preserve"> </w:t>
      </w:r>
      <w:proofErr w:type="spellStart"/>
      <w:r w:rsidRPr="004A37A2">
        <w:rPr>
          <w:rFonts w:ascii="Verdana" w:hAnsi="Verdana"/>
          <w:sz w:val="18"/>
          <w:szCs w:val="18"/>
        </w:rPr>
        <w:t>of</w:t>
      </w:r>
      <w:proofErr w:type="spellEnd"/>
      <w:r w:rsidRPr="004A37A2">
        <w:rPr>
          <w:rFonts w:ascii="Verdana" w:hAnsi="Verdana"/>
          <w:sz w:val="18"/>
          <w:szCs w:val="18"/>
        </w:rPr>
        <w:t xml:space="preserve"> </w:t>
      </w:r>
      <w:proofErr w:type="spellStart"/>
      <w:r w:rsidRPr="004A37A2">
        <w:rPr>
          <w:rFonts w:ascii="Verdana" w:hAnsi="Verdana"/>
          <w:sz w:val="18"/>
          <w:szCs w:val="18"/>
        </w:rPr>
        <w:t>European</w:t>
      </w:r>
      <w:proofErr w:type="spellEnd"/>
      <w:r w:rsidRPr="004A37A2">
        <w:rPr>
          <w:rFonts w:ascii="Verdana" w:hAnsi="Verdana"/>
          <w:sz w:val="18"/>
          <w:szCs w:val="18"/>
        </w:rPr>
        <w:t xml:space="preserve"> Union </w:t>
      </w:r>
      <w:proofErr w:type="spellStart"/>
      <w:r w:rsidRPr="004A37A2">
        <w:rPr>
          <w:rFonts w:ascii="Verdana" w:hAnsi="Verdana"/>
          <w:sz w:val="18"/>
          <w:szCs w:val="18"/>
        </w:rPr>
        <w:t>dokuments</w:t>
      </w:r>
      <w:proofErr w:type="spellEnd"/>
    </w:p>
    <w:p w:rsidR="001D3580" w:rsidRDefault="001D3580" w:rsidP="001D3580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1D3580">
        <w:rPr>
          <w:rFonts w:ascii="Verdana" w:hAnsi="Verdana"/>
          <w:b/>
          <w:bCs/>
          <w:sz w:val="20"/>
          <w:szCs w:val="20"/>
        </w:rPr>
        <w:t xml:space="preserve">SUBJECT OF THE FRAMEWORK CONTRACT AND SUMMARY DESCRIPTION OF THE SERVICES TO BE PROVIDED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European</w:t>
      </w:r>
      <w:proofErr w:type="spellEnd"/>
      <w:r w:rsidRPr="001D3580">
        <w:rPr>
          <w:rFonts w:ascii="Verdana" w:hAnsi="Verdana"/>
          <w:sz w:val="20"/>
          <w:szCs w:val="20"/>
        </w:rPr>
        <w:t xml:space="preserve"> Union (‘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Union’)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launching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a call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conclude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framework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contracts</w:t>
      </w:r>
      <w:proofErr w:type="spellEnd"/>
      <w:r w:rsidRPr="001D3580">
        <w:rPr>
          <w:rFonts w:ascii="Verdana" w:hAnsi="Verdana"/>
          <w:sz w:val="20"/>
          <w:szCs w:val="20"/>
        </w:rPr>
        <w:t xml:space="preserve"> (FWC)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documents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about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policies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administration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authority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representing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Union,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Directorate</w:t>
      </w:r>
      <w:proofErr w:type="spellEnd"/>
      <w:r w:rsidRPr="001D3580">
        <w:rPr>
          <w:rFonts w:ascii="Verdana" w:hAnsi="Verdana"/>
          <w:sz w:val="20"/>
          <w:szCs w:val="20"/>
        </w:rPr>
        <w:t xml:space="preserve">-General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European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Commission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(DGT).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services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provided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are </w:t>
      </w:r>
      <w:proofErr w:type="spellStart"/>
      <w:r w:rsidRPr="001D3580">
        <w:rPr>
          <w:rFonts w:ascii="Verdana" w:hAnsi="Verdana"/>
          <w:sz w:val="20"/>
          <w:szCs w:val="20"/>
        </w:rPr>
        <w:t>mainly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revision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</w:t>
      </w:r>
      <w:proofErr w:type="spellEnd"/>
      <w:r w:rsidRPr="001D3580">
        <w:rPr>
          <w:rFonts w:ascii="Verdana" w:hAnsi="Verdana"/>
          <w:sz w:val="20"/>
          <w:szCs w:val="20"/>
        </w:rPr>
        <w:t xml:space="preserve">), but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also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consist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revision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texts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revision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</w:t>
      </w:r>
      <w:proofErr w:type="spellEnd"/>
      <w:r w:rsidRPr="001D3580">
        <w:rPr>
          <w:rFonts w:ascii="Verdana" w:hAnsi="Verdana"/>
          <w:sz w:val="20"/>
          <w:szCs w:val="20"/>
        </w:rPr>
        <w:t xml:space="preserve">)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amendments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translated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documents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versions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services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include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delivery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memories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files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a </w:t>
      </w:r>
      <w:proofErr w:type="spellStart"/>
      <w:r w:rsidRPr="001D3580">
        <w:rPr>
          <w:rFonts w:ascii="Verdana" w:hAnsi="Verdana"/>
          <w:sz w:val="20"/>
          <w:szCs w:val="20"/>
        </w:rPr>
        <w:t>localisation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format</w:t>
      </w:r>
      <w:proofErr w:type="spellEnd"/>
      <w:r w:rsidRPr="001D3580">
        <w:rPr>
          <w:rFonts w:ascii="Verdana" w:hAnsi="Verdana"/>
          <w:sz w:val="20"/>
          <w:szCs w:val="20"/>
        </w:rPr>
        <w:t xml:space="preserve"> such as XLIFF, </w:t>
      </w:r>
      <w:proofErr w:type="spellStart"/>
      <w:r w:rsidRPr="001D3580">
        <w:rPr>
          <w:rFonts w:ascii="Verdana" w:hAnsi="Verdana"/>
          <w:sz w:val="20"/>
          <w:szCs w:val="20"/>
        </w:rPr>
        <w:t>created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performance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source </w:t>
      </w:r>
      <w:proofErr w:type="spellStart"/>
      <w:r w:rsidRPr="001D3580">
        <w:rPr>
          <w:rFonts w:ascii="Verdana" w:hAnsi="Verdana"/>
          <w:sz w:val="20"/>
          <w:szCs w:val="20"/>
        </w:rPr>
        <w:t>texts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varying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length</w:t>
      </w:r>
      <w:proofErr w:type="spellEnd"/>
      <w:r w:rsidRPr="001D3580">
        <w:rPr>
          <w:rFonts w:ascii="Verdana" w:hAnsi="Verdana"/>
          <w:sz w:val="20"/>
          <w:szCs w:val="20"/>
        </w:rPr>
        <w:t>, type (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legislation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highly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technical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texts</w:t>
      </w:r>
      <w:proofErr w:type="spellEnd"/>
      <w:r w:rsidRPr="001D3580">
        <w:rPr>
          <w:rFonts w:ascii="Verdana" w:hAnsi="Verdana"/>
          <w:sz w:val="20"/>
          <w:szCs w:val="20"/>
        </w:rPr>
        <w:t xml:space="preserve">), </w:t>
      </w:r>
      <w:proofErr w:type="spellStart"/>
      <w:r w:rsidRPr="001D3580">
        <w:rPr>
          <w:rFonts w:ascii="Verdana" w:hAnsi="Verdana"/>
          <w:sz w:val="20"/>
          <w:szCs w:val="20"/>
        </w:rPr>
        <w:t>difficulty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urgency</w:t>
      </w:r>
      <w:proofErr w:type="spellEnd"/>
      <w:r w:rsidRPr="001D3580">
        <w:rPr>
          <w:rFonts w:ascii="Verdana" w:hAnsi="Verdana"/>
          <w:sz w:val="20"/>
          <w:szCs w:val="20"/>
        </w:rPr>
        <w:t xml:space="preserve">, and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concern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any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Union’s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areas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competence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delivered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must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quality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revised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ready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use. </w:t>
      </w:r>
      <w:proofErr w:type="spellStart"/>
      <w:r w:rsidRPr="001D3580">
        <w:rPr>
          <w:rFonts w:ascii="Verdana" w:hAnsi="Verdana"/>
          <w:sz w:val="20"/>
          <w:szCs w:val="20"/>
        </w:rPr>
        <w:t>Translations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are </w:t>
      </w:r>
      <w:proofErr w:type="spellStart"/>
      <w:r w:rsidRPr="001D3580">
        <w:rPr>
          <w:rFonts w:ascii="Verdana" w:hAnsi="Verdana"/>
          <w:sz w:val="20"/>
          <w:szCs w:val="20"/>
        </w:rPr>
        <w:t>often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intended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use in </w:t>
      </w:r>
      <w:proofErr w:type="spellStart"/>
      <w:r w:rsidRPr="001D3580">
        <w:rPr>
          <w:rFonts w:ascii="Verdana" w:hAnsi="Verdana"/>
          <w:sz w:val="20"/>
          <w:szCs w:val="20"/>
        </w:rPr>
        <w:t>scheduled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meetings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publications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ongoing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procedures</w:t>
      </w:r>
      <w:proofErr w:type="spellEnd"/>
      <w:r w:rsidRPr="001D3580">
        <w:rPr>
          <w:rFonts w:ascii="Verdana" w:hAnsi="Verdana"/>
          <w:sz w:val="20"/>
          <w:szCs w:val="20"/>
        </w:rPr>
        <w:t xml:space="preserve">, so </w:t>
      </w:r>
      <w:proofErr w:type="spellStart"/>
      <w:r w:rsidRPr="001D3580">
        <w:rPr>
          <w:rFonts w:ascii="Verdana" w:hAnsi="Verdana"/>
          <w:sz w:val="20"/>
          <w:szCs w:val="20"/>
        </w:rPr>
        <w:t>deadline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compliance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essential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r w:rsidRPr="001D3580">
        <w:rPr>
          <w:rFonts w:ascii="Verdana" w:hAnsi="Verdana"/>
          <w:sz w:val="20"/>
          <w:szCs w:val="20"/>
        </w:rPr>
        <w:t xml:space="preserve">DGT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looking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qualified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experienced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service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providers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on </w:t>
      </w:r>
      <w:proofErr w:type="spellStart"/>
      <w:r w:rsidRPr="001D3580">
        <w:rPr>
          <w:rFonts w:ascii="Verdana" w:hAnsi="Verdana"/>
          <w:sz w:val="20"/>
          <w:szCs w:val="20"/>
        </w:rPr>
        <w:t>whom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rely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Both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individuals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example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with</w:t>
      </w:r>
      <w:proofErr w:type="spellEnd"/>
      <w:r w:rsidRPr="001D3580">
        <w:rPr>
          <w:rFonts w:ascii="Verdana" w:hAnsi="Verdana"/>
          <w:sz w:val="20"/>
          <w:szCs w:val="20"/>
        </w:rPr>
        <w:t xml:space="preserve"> joint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) and </w:t>
      </w:r>
      <w:proofErr w:type="spellStart"/>
      <w:r w:rsidRPr="001D3580">
        <w:rPr>
          <w:rFonts w:ascii="Verdana" w:hAnsi="Verdana"/>
          <w:sz w:val="20"/>
          <w:szCs w:val="20"/>
        </w:rPr>
        <w:t>organisations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other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groups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economic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operators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apply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Tenderers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tender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more </w:t>
      </w:r>
      <w:proofErr w:type="spellStart"/>
      <w:r w:rsidRPr="001D3580">
        <w:rPr>
          <w:rFonts w:ascii="Verdana" w:hAnsi="Verdana"/>
          <w:sz w:val="20"/>
          <w:szCs w:val="20"/>
        </w:rPr>
        <w:t>lots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language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combinations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).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each</w:t>
      </w:r>
      <w:proofErr w:type="spellEnd"/>
      <w:r w:rsidRPr="001D3580">
        <w:rPr>
          <w:rFonts w:ascii="Verdana" w:hAnsi="Verdana"/>
          <w:sz w:val="20"/>
          <w:szCs w:val="20"/>
        </w:rPr>
        <w:t xml:space="preserve"> lot,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which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pass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exclusion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selection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phases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</w:t>
      </w:r>
      <w:proofErr w:type="spellStart"/>
      <w:r w:rsidRPr="001D3580">
        <w:rPr>
          <w:rFonts w:ascii="Verdana" w:hAnsi="Verdana"/>
          <w:sz w:val="20"/>
          <w:szCs w:val="20"/>
        </w:rPr>
        <w:t>accordance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with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award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criteria</w:t>
      </w:r>
      <w:proofErr w:type="spellEnd"/>
      <w:r w:rsidRPr="001D3580">
        <w:rPr>
          <w:rFonts w:ascii="Verdana" w:hAnsi="Verdana"/>
          <w:sz w:val="20"/>
          <w:szCs w:val="20"/>
        </w:rPr>
        <w:t xml:space="preserve">, and up to </w:t>
      </w:r>
      <w:proofErr w:type="spellStart"/>
      <w:r w:rsidRPr="001D3580">
        <w:rPr>
          <w:rFonts w:ascii="Verdana" w:hAnsi="Verdana"/>
          <w:sz w:val="20"/>
          <w:szCs w:val="20"/>
        </w:rPr>
        <w:t>five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(maximum)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FWCs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sequence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</w:t>
      </w:r>
      <w:proofErr w:type="spellStart"/>
      <w:r w:rsidRPr="001D3580">
        <w:rPr>
          <w:rFonts w:ascii="Verdana" w:hAnsi="Verdana"/>
          <w:sz w:val="20"/>
          <w:szCs w:val="20"/>
        </w:rPr>
        <w:t>which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expected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If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nevertheless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fails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that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next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If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repeatedly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refuses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late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</w:t>
      </w:r>
      <w:proofErr w:type="spellStart"/>
      <w:r w:rsidRPr="001D3580">
        <w:rPr>
          <w:rFonts w:ascii="Verdana" w:hAnsi="Verdana"/>
          <w:sz w:val="20"/>
          <w:szCs w:val="20"/>
        </w:rPr>
        <w:t>delivering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results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delivers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results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poor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quality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terminated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next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with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month’s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notice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There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no re-</w:t>
      </w:r>
      <w:proofErr w:type="spellStart"/>
      <w:r w:rsidRPr="001D3580">
        <w:rPr>
          <w:rFonts w:ascii="Verdana" w:hAnsi="Verdana"/>
          <w:sz w:val="20"/>
          <w:szCs w:val="20"/>
        </w:rPr>
        <w:t>negotiation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conditions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FWCs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signed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two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years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not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renewed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652CF2" w:rsidRPr="001D3580" w:rsidRDefault="001D3580" w:rsidP="001D3580">
      <w:pPr>
        <w:jc w:val="both"/>
        <w:rPr>
          <w:rFonts w:ascii="Verdana" w:hAnsi="Verdana"/>
          <w:sz w:val="20"/>
          <w:szCs w:val="20"/>
        </w:rPr>
      </w:pPr>
      <w:r w:rsidRPr="001D3580">
        <w:rPr>
          <w:rFonts w:ascii="Verdana" w:hAnsi="Verdana"/>
          <w:sz w:val="20"/>
          <w:szCs w:val="20"/>
        </w:rPr>
        <w:t xml:space="preserve">DGT </w:t>
      </w:r>
      <w:proofErr w:type="spellStart"/>
      <w:r w:rsidRPr="001D3580">
        <w:rPr>
          <w:rFonts w:ascii="Verdana" w:hAnsi="Verdana"/>
          <w:sz w:val="20"/>
          <w:szCs w:val="20"/>
        </w:rPr>
        <w:t>reserves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right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some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lots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cancel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procedure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fails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satisfy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needs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which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was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launched</w:t>
      </w:r>
      <w:proofErr w:type="spellEnd"/>
      <w:r w:rsidRPr="001D3580">
        <w:rPr>
          <w:rFonts w:ascii="Verdana" w:hAnsi="Verdana"/>
          <w:sz w:val="20"/>
          <w:szCs w:val="20"/>
        </w:rPr>
        <w:t>.</w:t>
      </w:r>
    </w:p>
    <w:sectPr w:rsidR="00652CF2" w:rsidRPr="001D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80"/>
    <w:rsid w:val="000D5EFE"/>
    <w:rsid w:val="001D3580"/>
    <w:rsid w:val="004A37A2"/>
    <w:rsid w:val="00652CF2"/>
    <w:rsid w:val="0081342B"/>
    <w:rsid w:val="00C628E2"/>
    <w:rsid w:val="00E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F630"/>
  <w15:chartTrackingRefBased/>
  <w15:docId w15:val="{325130FC-02B2-41C4-A415-7D303A1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Tereza (SVV/CAMP)</dc:creator>
  <cp:keywords/>
  <dc:description/>
  <cp:lastModifiedBy>Raffayová Markéta (SPR/VEZ)</cp:lastModifiedBy>
  <cp:revision>7</cp:revision>
  <dcterms:created xsi:type="dcterms:W3CDTF">2018-11-30T13:06:00Z</dcterms:created>
  <dcterms:modified xsi:type="dcterms:W3CDTF">2022-01-26T10:25:00Z</dcterms:modified>
</cp:coreProperties>
</file>