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89" w:rsidRPr="0077003E" w:rsidRDefault="00EE3E89" w:rsidP="00E72A1B">
      <w:pPr>
        <w:pStyle w:val="Standard"/>
        <w:shd w:val="clear" w:color="auto" w:fill="FFFFFF"/>
        <w:spacing w:line="276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tbl>
      <w:tblPr>
        <w:tblW w:w="963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EE3E89" w:rsidRPr="007D0511" w:rsidTr="005D18D0">
        <w:tc>
          <w:tcPr>
            <w:tcW w:w="963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E89" w:rsidRPr="0077003E" w:rsidRDefault="00EE3E89" w:rsidP="002A2064">
            <w:pPr>
              <w:pStyle w:val="Standard"/>
              <w:widowControl/>
              <w:shd w:val="clear" w:color="auto" w:fill="FFFFFF"/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003E">
              <w:rPr>
                <w:rFonts w:asciiTheme="minorHAnsi" w:eastAsia="Calibri" w:hAnsiTheme="minorHAnsi" w:cstheme="minorHAnsi"/>
                <w:b/>
                <w:smallCaps/>
                <w:sz w:val="22"/>
                <w:szCs w:val="22"/>
              </w:rPr>
              <w:t xml:space="preserve">KOMISIONÁŘSKÁ SMLOUVA Č. </w:t>
            </w:r>
            <w:r w:rsidRPr="0077003E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2A2064">
              <w:rPr>
                <w:rFonts w:asciiTheme="minorHAnsi" w:hAnsiTheme="minorHAnsi" w:cstheme="minorHAnsi"/>
                <w:b/>
                <w:sz w:val="22"/>
                <w:szCs w:val="22"/>
              </w:rPr>
              <w:t>416/</w:t>
            </w:r>
            <w:r w:rsidRPr="0077003E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4F2C99" w:rsidRPr="0077003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82B6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77003E">
              <w:rPr>
                <w:rFonts w:asciiTheme="minorHAnsi" w:hAnsiTheme="minorHAnsi" w:cstheme="minorHAnsi"/>
                <w:b/>
                <w:sz w:val="22"/>
                <w:szCs w:val="22"/>
              </w:rPr>
              <w:t>/MG</w:t>
            </w:r>
          </w:p>
        </w:tc>
      </w:tr>
    </w:tbl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-1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(dále v textu pouze jako „</w:t>
      </w: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smlouva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“)</w:t>
      </w:r>
    </w:p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-1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kterou dle ustanovení § 2455 a násl. zákona č. 89/2012 Sb., občanského zákoníku, v platném znění (dále také jen jako „občanský zákoník“), uzavřely níže uvedeného dne, měsíce a roku a za následujících podmínek tyto smluvní strany:</w:t>
      </w:r>
    </w:p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EE3E89" w:rsidRDefault="00EE3E89" w:rsidP="0077003E">
      <w:pPr>
        <w:pStyle w:val="Standard"/>
        <w:shd w:val="clear" w:color="auto" w:fill="FFFFFF"/>
        <w:tabs>
          <w:tab w:val="left" w:pos="1701"/>
        </w:tabs>
        <w:spacing w:line="276" w:lineRule="auto"/>
        <w:ind w:right="-1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5306FD" w:rsidRPr="0077003E" w:rsidRDefault="005306FD" w:rsidP="0077003E">
      <w:pPr>
        <w:pStyle w:val="Standard"/>
        <w:shd w:val="clear" w:color="auto" w:fill="FFFFFF"/>
        <w:tabs>
          <w:tab w:val="left" w:pos="1701"/>
        </w:tabs>
        <w:spacing w:line="276" w:lineRule="auto"/>
        <w:ind w:right="-1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2A2064" w:rsidRPr="002A2064" w:rsidRDefault="002A2064" w:rsidP="008670EC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proofErr w:type="spellStart"/>
      <w:r w:rsidRPr="002A206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Lasvit</w:t>
      </w:r>
      <w:proofErr w:type="spellEnd"/>
      <w:r w:rsidRPr="002A206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(Prague) s.r.o.</w:t>
      </w:r>
    </w:p>
    <w:p w:rsidR="008670EC" w:rsidRPr="007C1E52" w:rsidRDefault="002A2064" w:rsidP="008670EC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Sídlem: Komunardů 894/32, 170 00 Praha 7</w:t>
      </w:r>
    </w:p>
    <w:p w:rsidR="008670EC" w:rsidRPr="007C1E52" w:rsidRDefault="008670EC" w:rsidP="008670EC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C1E5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IČ: </w:t>
      </w:r>
      <w:r w:rsidR="002A2064">
        <w:rPr>
          <w:rFonts w:asciiTheme="minorHAnsi" w:eastAsia="Calibri" w:hAnsiTheme="minorHAnsi" w:cstheme="minorHAnsi"/>
          <w:color w:val="000000"/>
          <w:sz w:val="22"/>
          <w:szCs w:val="22"/>
        </w:rPr>
        <w:t>04414934</w:t>
      </w:r>
    </w:p>
    <w:p w:rsidR="008670EC" w:rsidRPr="007C1E52" w:rsidRDefault="008670EC" w:rsidP="008670EC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C1E5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DIČ: </w:t>
      </w:r>
      <w:r w:rsidR="002A2064">
        <w:rPr>
          <w:rFonts w:asciiTheme="minorHAnsi" w:eastAsia="Calibri" w:hAnsiTheme="minorHAnsi" w:cstheme="minorHAnsi"/>
          <w:color w:val="000000"/>
          <w:sz w:val="22"/>
          <w:szCs w:val="22"/>
        </w:rPr>
        <w:t>CZ04414934</w:t>
      </w:r>
    </w:p>
    <w:p w:rsidR="008670EC" w:rsidRPr="007C1E52" w:rsidRDefault="008670EC" w:rsidP="008670EC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C1E5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Zastoupená </w:t>
      </w:r>
      <w:r w:rsidR="002A2064">
        <w:rPr>
          <w:rFonts w:asciiTheme="minorHAnsi" w:eastAsia="Calibri" w:hAnsiTheme="minorHAnsi" w:cstheme="minorHAnsi"/>
          <w:color w:val="000000"/>
          <w:sz w:val="22"/>
          <w:szCs w:val="22"/>
        </w:rPr>
        <w:t>panem Ing. Alešem Stýblem, jednatelem</w:t>
      </w:r>
    </w:p>
    <w:p w:rsidR="008670EC" w:rsidRPr="007C1E52" w:rsidRDefault="008670EC" w:rsidP="008670EC">
      <w:pPr>
        <w:pStyle w:val="Standard"/>
        <w:spacing w:line="276" w:lineRule="auto"/>
        <w:ind w:right="-1"/>
        <w:rPr>
          <w:rFonts w:asciiTheme="minorHAnsi" w:eastAsia="Calibri" w:hAnsiTheme="minorHAnsi" w:cstheme="minorHAnsi"/>
          <w:sz w:val="22"/>
          <w:szCs w:val="22"/>
        </w:rPr>
      </w:pPr>
      <w:r w:rsidRPr="007C1E52">
        <w:rPr>
          <w:rFonts w:asciiTheme="minorHAnsi" w:eastAsia="Calibri" w:hAnsiTheme="minorHAnsi" w:cstheme="minorHAnsi"/>
          <w:sz w:val="22"/>
          <w:szCs w:val="22"/>
        </w:rPr>
        <w:t xml:space="preserve">Kontaktní osoba: </w:t>
      </w:r>
      <w:r w:rsidR="002A2064">
        <w:rPr>
          <w:rFonts w:asciiTheme="minorHAnsi" w:eastAsia="Calibri" w:hAnsiTheme="minorHAnsi" w:cstheme="minorHAnsi"/>
          <w:sz w:val="22"/>
          <w:szCs w:val="22"/>
        </w:rPr>
        <w:t>Nikola Žákovská</w:t>
      </w:r>
    </w:p>
    <w:p w:rsidR="008670EC" w:rsidRPr="007C1E52" w:rsidRDefault="008670EC" w:rsidP="008670EC">
      <w:pPr>
        <w:pStyle w:val="Standard"/>
        <w:spacing w:line="276" w:lineRule="auto"/>
        <w:ind w:right="-1"/>
        <w:rPr>
          <w:rFonts w:asciiTheme="minorHAnsi" w:eastAsia="Calibri" w:hAnsiTheme="minorHAnsi" w:cstheme="minorHAnsi"/>
          <w:sz w:val="22"/>
          <w:szCs w:val="22"/>
        </w:rPr>
      </w:pPr>
      <w:r w:rsidRPr="007C1E52">
        <w:rPr>
          <w:rFonts w:asciiTheme="minorHAnsi" w:eastAsia="Calibri" w:hAnsiTheme="minorHAnsi" w:cstheme="minorHAnsi"/>
          <w:sz w:val="22"/>
          <w:szCs w:val="22"/>
        </w:rPr>
        <w:t>Tel:</w:t>
      </w:r>
      <w:r w:rsidR="002A2064">
        <w:rPr>
          <w:rFonts w:asciiTheme="minorHAnsi" w:eastAsia="Calibri" w:hAnsiTheme="minorHAnsi" w:cstheme="minorHAnsi"/>
          <w:sz w:val="22"/>
          <w:szCs w:val="22"/>
        </w:rPr>
        <w:t xml:space="preserve"> +420 606 314 612</w:t>
      </w:r>
    </w:p>
    <w:p w:rsidR="008670EC" w:rsidRPr="007C1E52" w:rsidRDefault="008670EC" w:rsidP="008670EC">
      <w:pPr>
        <w:pStyle w:val="Standard"/>
        <w:spacing w:line="276" w:lineRule="auto"/>
        <w:ind w:right="-1"/>
        <w:rPr>
          <w:rFonts w:asciiTheme="minorHAnsi" w:eastAsia="Calibri" w:hAnsiTheme="minorHAnsi" w:cstheme="minorHAnsi"/>
          <w:sz w:val="22"/>
          <w:szCs w:val="22"/>
        </w:rPr>
      </w:pPr>
      <w:r w:rsidRPr="007C1E52">
        <w:rPr>
          <w:rFonts w:asciiTheme="minorHAnsi" w:eastAsia="Calibri" w:hAnsiTheme="minorHAnsi" w:cstheme="minorHAnsi"/>
          <w:sz w:val="22"/>
          <w:szCs w:val="22"/>
        </w:rPr>
        <w:t xml:space="preserve">Email: </w:t>
      </w:r>
      <w:r w:rsidR="002A2064">
        <w:rPr>
          <w:rFonts w:asciiTheme="minorHAnsi" w:eastAsia="Calibri" w:hAnsiTheme="minorHAnsi" w:cstheme="minorHAnsi"/>
          <w:sz w:val="22"/>
          <w:szCs w:val="22"/>
        </w:rPr>
        <w:t>nikola.zakovska@lasvit.com</w:t>
      </w:r>
    </w:p>
    <w:p w:rsidR="000406C2" w:rsidRPr="0077003E" w:rsidRDefault="000406C2" w:rsidP="0077003E">
      <w:pPr>
        <w:pStyle w:val="Standard"/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:rsidR="000406C2" w:rsidRPr="0077003E" w:rsidRDefault="000406C2" w:rsidP="0077003E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na straně jedné a dále v textu pouze jako „</w:t>
      </w: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komitent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“</w:t>
      </w:r>
    </w:p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a</w:t>
      </w:r>
    </w:p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8670EC" w:rsidRPr="007C1E52" w:rsidRDefault="008670EC" w:rsidP="008670EC">
      <w:pPr>
        <w:pStyle w:val="Standard"/>
        <w:shd w:val="clear" w:color="auto" w:fill="FFFFFF"/>
        <w:tabs>
          <w:tab w:val="left" w:pos="1701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7C1E52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Moravská galerie v Brně</w:t>
      </w:r>
    </w:p>
    <w:p w:rsidR="008670EC" w:rsidRPr="007C1E52" w:rsidRDefault="008670EC" w:rsidP="008670EC">
      <w:pPr>
        <w:pStyle w:val="Standard"/>
        <w:shd w:val="clear" w:color="auto" w:fill="FFFFFF"/>
        <w:tabs>
          <w:tab w:val="left" w:pos="1701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7C1E52">
        <w:rPr>
          <w:rFonts w:asciiTheme="minorHAnsi" w:eastAsia="Calibri" w:hAnsiTheme="minorHAnsi" w:cstheme="minorHAnsi"/>
          <w:color w:val="000000"/>
          <w:sz w:val="22"/>
          <w:szCs w:val="22"/>
        </w:rPr>
        <w:t>Sídlem: Husova 535/18, 662 26 Brno</w:t>
      </w:r>
    </w:p>
    <w:p w:rsidR="008670EC" w:rsidRPr="007C1E52" w:rsidRDefault="008670EC" w:rsidP="008670EC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7C1E52">
        <w:rPr>
          <w:rFonts w:asciiTheme="minorHAnsi" w:eastAsia="Calibri" w:hAnsiTheme="minorHAnsi" w:cstheme="minorHAnsi"/>
          <w:color w:val="000000"/>
          <w:sz w:val="22"/>
          <w:szCs w:val="22"/>
        </w:rPr>
        <w:t>IČ: 00094871</w:t>
      </w:r>
    </w:p>
    <w:p w:rsidR="008670EC" w:rsidRPr="007C1E52" w:rsidRDefault="008670EC" w:rsidP="008670EC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7C1E52">
        <w:rPr>
          <w:rFonts w:asciiTheme="minorHAnsi" w:eastAsia="Calibri" w:hAnsiTheme="minorHAnsi" w:cstheme="minorHAnsi"/>
          <w:color w:val="000000"/>
          <w:sz w:val="22"/>
          <w:szCs w:val="22"/>
        </w:rPr>
        <w:t>DIČ: CZ00094871</w:t>
      </w:r>
    </w:p>
    <w:p w:rsidR="008670EC" w:rsidRPr="007C1E52" w:rsidRDefault="008670EC" w:rsidP="008670EC">
      <w:pPr>
        <w:pStyle w:val="Standard"/>
        <w:widowControl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C1E52">
        <w:rPr>
          <w:rFonts w:asciiTheme="minorHAnsi" w:eastAsia="Calibri" w:hAnsiTheme="minorHAnsi" w:cstheme="minorHAnsi"/>
          <w:color w:val="000000"/>
          <w:sz w:val="22"/>
          <w:szCs w:val="22"/>
        </w:rPr>
        <w:t>Bankovní spojení: účet č. 197734621/0710 vedený u České národní banky, pobočka Brno</w:t>
      </w:r>
    </w:p>
    <w:p w:rsidR="008670EC" w:rsidRPr="007C1E52" w:rsidRDefault="008670EC" w:rsidP="008670EC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7C1E5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Zastoupená panem Mgr. Janem </w:t>
      </w:r>
      <w:proofErr w:type="spellStart"/>
      <w:r w:rsidRPr="007C1E52">
        <w:rPr>
          <w:rFonts w:asciiTheme="minorHAnsi" w:eastAsia="Calibri" w:hAnsiTheme="minorHAnsi" w:cstheme="minorHAnsi"/>
          <w:color w:val="000000"/>
          <w:sz w:val="22"/>
          <w:szCs w:val="22"/>
        </w:rPr>
        <w:t>Pressem</w:t>
      </w:r>
      <w:proofErr w:type="spellEnd"/>
      <w:r w:rsidRPr="007C1E52">
        <w:rPr>
          <w:rFonts w:asciiTheme="minorHAnsi" w:eastAsia="Calibri" w:hAnsiTheme="minorHAnsi" w:cstheme="minorHAnsi"/>
          <w:color w:val="000000"/>
          <w:sz w:val="22"/>
          <w:szCs w:val="22"/>
        </w:rPr>
        <w:t>, ředitelem</w:t>
      </w:r>
    </w:p>
    <w:p w:rsidR="008670EC" w:rsidRPr="007C1E52" w:rsidRDefault="008670EC" w:rsidP="008670EC">
      <w:pPr>
        <w:pStyle w:val="Standard"/>
        <w:widowControl/>
        <w:shd w:val="clear" w:color="auto" w:fill="FFFFFF"/>
        <w:spacing w:line="276" w:lineRule="auto"/>
        <w:ind w:right="-1"/>
        <w:rPr>
          <w:rStyle w:val="tsubjname"/>
          <w:rFonts w:asciiTheme="minorHAnsi" w:hAnsiTheme="minorHAnsi" w:cstheme="minorHAnsi"/>
          <w:b/>
          <w:sz w:val="22"/>
          <w:szCs w:val="22"/>
        </w:rPr>
      </w:pPr>
    </w:p>
    <w:p w:rsidR="000406C2" w:rsidRPr="0077003E" w:rsidRDefault="000406C2" w:rsidP="0077003E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na straně jedné a dále v textu pouze jako „</w:t>
      </w: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komisionář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“</w:t>
      </w:r>
    </w:p>
    <w:p w:rsidR="000406C2" w:rsidRPr="0077003E" w:rsidRDefault="000406C2" w:rsidP="0077003E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-1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Článek 1. – Předmět a účel smlouvy</w:t>
      </w:r>
    </w:p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-1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A97CE9" w:rsidRPr="0077003E" w:rsidRDefault="00EE3E89" w:rsidP="0077003E">
      <w:pPr>
        <w:pStyle w:val="Standard"/>
        <w:widowControl/>
        <w:numPr>
          <w:ilvl w:val="1"/>
          <w:numId w:val="15"/>
        </w:numPr>
        <w:shd w:val="clear" w:color="auto" w:fill="FFFFFF"/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Předmětem této smlouvy je </w:t>
      </w:r>
      <w:r w:rsidR="003A68F5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závazek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komisionář</w:t>
      </w:r>
      <w:r w:rsidR="003A68F5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e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svým jménem pro komitenta a na jeho účet obstarávat prodej zboží komitenta (dále pouze „zboží“), kdy jednotlivé dodávky zboží komitenta budou vždy blíže vymezeny v nabídkách komitenta k dodání zboží </w:t>
      </w:r>
      <w:r w:rsidR="001A0615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a v dodacím listu, pokud se strany nedohodnou jinak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(dále pouze „</w:t>
      </w:r>
      <w:r w:rsidR="001A0615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dodací list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“).</w:t>
      </w:r>
    </w:p>
    <w:p w:rsidR="00EE3E89" w:rsidRPr="0077003E" w:rsidRDefault="001A0615" w:rsidP="0077003E">
      <w:pPr>
        <w:pStyle w:val="Standard"/>
        <w:widowControl/>
        <w:numPr>
          <w:ilvl w:val="1"/>
          <w:numId w:val="15"/>
        </w:numPr>
        <w:shd w:val="clear" w:color="auto" w:fill="FFFFFF"/>
        <w:tabs>
          <w:tab w:val="left" w:pos="426"/>
        </w:tabs>
        <w:spacing w:line="276" w:lineRule="auto"/>
        <w:ind w:right="-1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Komitent předá komisionáři zboží na základě dodacího listu, vždy po ústní či písemné dohodě s komisionářem. Dodací list</w:t>
      </w:r>
      <w:r w:rsidR="006E3C2B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ve dvou vyhotovení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potvrdí komisionář svým podpisem</w:t>
      </w:r>
      <w:r w:rsidR="006E3C2B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, kdy jedno vyhotovení obdrží komitent a jedno vyhotovení bude určeno pro komisionáře.</w:t>
      </w:r>
    </w:p>
    <w:p w:rsidR="00EE3E89" w:rsidRPr="0077003E" w:rsidRDefault="00EE3E89" w:rsidP="0077003E">
      <w:pPr>
        <w:pStyle w:val="Standard"/>
        <w:widowControl/>
        <w:shd w:val="clear" w:color="auto" w:fill="FFFFFF"/>
        <w:tabs>
          <w:tab w:val="left" w:pos="0"/>
          <w:tab w:val="left" w:pos="360"/>
        </w:tabs>
        <w:spacing w:line="276" w:lineRule="auto"/>
        <w:ind w:right="-1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E3E89" w:rsidRPr="0077003E" w:rsidRDefault="00EE3E89" w:rsidP="0077003E">
      <w:pPr>
        <w:pStyle w:val="Standard"/>
        <w:widowControl/>
        <w:shd w:val="clear" w:color="auto" w:fill="FFFFFF"/>
        <w:tabs>
          <w:tab w:val="left" w:pos="0"/>
          <w:tab w:val="left" w:pos="360"/>
        </w:tabs>
        <w:spacing w:line="276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Článek </w:t>
      </w:r>
      <w:r w:rsidR="006E3C2B"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2</w:t>
      </w: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. – </w:t>
      </w:r>
      <w:r w:rsidR="006A5397"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Odměna komisionáře, d</w:t>
      </w: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odání zboží </w:t>
      </w:r>
    </w:p>
    <w:p w:rsidR="00EE3E89" w:rsidRPr="0077003E" w:rsidRDefault="00EE3E89" w:rsidP="0077003E">
      <w:pPr>
        <w:pStyle w:val="Standard"/>
        <w:widowControl/>
        <w:shd w:val="clear" w:color="auto" w:fill="FFFFFF"/>
        <w:tabs>
          <w:tab w:val="left" w:pos="0"/>
          <w:tab w:val="left" w:pos="360"/>
        </w:tabs>
        <w:spacing w:line="276" w:lineRule="auto"/>
        <w:ind w:right="-1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A97CE9" w:rsidRDefault="00E72A1B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Komitent</w:t>
      </w:r>
      <w:r w:rsidR="006A5397" w:rsidRPr="0077003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</w:t>
      </w:r>
      <w:r w:rsidR="006A5397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se zavazuje poskytnout komisionáři odměnu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specifikovanou v dodacím</w:t>
      </w:r>
      <w:r w:rsidR="006A5397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listu. Tato odměna je konečná a jsou v ní již zahrnuty účelně vynaložené náklady, které musí komisionář při obstarání záležitostí pro komitenta vynaložit.</w:t>
      </w:r>
      <w:r w:rsidR="007B16D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bookmarkStart w:id="0" w:name="_Hlk41040840"/>
      <w:r w:rsidR="007B16D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Nebude-li v dodacím listu odměna specifikována odlišně, má komisionář nárok na odměnu ve výši </w:t>
      </w:r>
      <w:r w:rsidR="005306FD">
        <w:rPr>
          <w:rFonts w:ascii="Sylfaen" w:eastAsia="Calibri" w:hAnsi="Sylfaen" w:cstheme="minorHAnsi"/>
          <w:color w:val="000000"/>
          <w:sz w:val="22"/>
          <w:szCs w:val="22"/>
        </w:rPr>
        <w:t>30</w:t>
      </w:r>
      <w:r w:rsidR="007B16D3" w:rsidRPr="007B16D3">
        <w:rPr>
          <w:rFonts w:asciiTheme="minorHAnsi" w:eastAsia="Calibri" w:hAnsiTheme="minorHAnsi" w:cstheme="minorHAnsi"/>
          <w:color w:val="000000"/>
          <w:sz w:val="22"/>
          <w:szCs w:val="22"/>
        </w:rPr>
        <w:t>%</w:t>
      </w:r>
      <w:r w:rsidR="007B16D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ceny prodaného zboží, která bude vždy vyúčtována v souladu s ustanovením čl. 3.1 této smlouvy. </w:t>
      </w:r>
      <w:bookmarkEnd w:id="0"/>
    </w:p>
    <w:p w:rsidR="00EE3E89" w:rsidRPr="0077003E" w:rsidRDefault="00EE3E89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Zboží je komitent povinen dodat komisionáři vždy:</w:t>
      </w:r>
    </w:p>
    <w:p w:rsidR="00EE3E89" w:rsidRPr="0077003E" w:rsidRDefault="00EE3E89" w:rsidP="0077003E">
      <w:pPr>
        <w:pStyle w:val="Standard"/>
        <w:widowControl/>
        <w:numPr>
          <w:ilvl w:val="0"/>
          <w:numId w:val="10"/>
        </w:numPr>
        <w:shd w:val="clear" w:color="auto" w:fill="FFFFFF"/>
        <w:tabs>
          <w:tab w:val="left" w:pos="1429"/>
        </w:tabs>
        <w:spacing w:line="276" w:lineRule="auto"/>
        <w:ind w:left="720" w:right="-1" w:hanging="294"/>
        <w:jc w:val="both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v</w:t>
      </w:r>
      <w:r w:rsidR="006E3C2B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 předem dohodnutém 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množství a provedení</w:t>
      </w:r>
      <w:r w:rsidR="006E3C2B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a v jeho obvyklé jakosti</w:t>
      </w:r>
      <w:r w:rsidR="006E3C2B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:rsidR="00EE3E89" w:rsidRPr="0077003E" w:rsidRDefault="00EE3E89" w:rsidP="0077003E">
      <w:pPr>
        <w:pStyle w:val="Standard"/>
        <w:widowControl/>
        <w:numPr>
          <w:ilvl w:val="0"/>
          <w:numId w:val="1"/>
        </w:numPr>
        <w:shd w:val="clear" w:color="auto" w:fill="FFFFFF"/>
        <w:tabs>
          <w:tab w:val="left" w:pos="1429"/>
        </w:tabs>
        <w:spacing w:line="276" w:lineRule="auto"/>
        <w:ind w:left="720" w:right="-1" w:hanging="29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do sídla komisionáře</w:t>
      </w:r>
      <w:r w:rsidR="006E3C2B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nedohodnou-li se komitent a komisionář jinak.</w:t>
      </w:r>
    </w:p>
    <w:p w:rsidR="00EE3E89" w:rsidRPr="0077003E" w:rsidRDefault="00EE3E89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Komisionář je povinen zboží v</w:t>
      </w:r>
      <w:r w:rsidR="004E67B9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 dohodnutém 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místě a době od komitenta převzít</w:t>
      </w:r>
      <w:r w:rsidR="004E67B9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a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potvrdit </w:t>
      </w:r>
      <w:r w:rsidR="00E72A1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převzetí 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na </w:t>
      </w:r>
      <w:r w:rsidRPr="0077003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dodacím listu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který bude obsahovat </w:t>
      </w:r>
      <w:r w:rsidR="004E67B9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alespoň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:rsidR="00EE3E89" w:rsidRPr="0077003E" w:rsidRDefault="00EE3E89" w:rsidP="0077003E">
      <w:pPr>
        <w:pStyle w:val="Standard"/>
        <w:widowControl/>
        <w:numPr>
          <w:ilvl w:val="0"/>
          <w:numId w:val="11"/>
        </w:numPr>
        <w:shd w:val="clear" w:color="auto" w:fill="FFFFFF"/>
        <w:tabs>
          <w:tab w:val="left" w:pos="1429"/>
        </w:tabs>
        <w:spacing w:line="276" w:lineRule="auto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označení smluvních stran včetně uvedení skutečnosti, zda komitent v době učinění nabídky je či není plátcem DPH</w:t>
      </w:r>
      <w:r w:rsidR="004E67B9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:rsidR="00EE3E89" w:rsidRPr="0077003E" w:rsidRDefault="00EE3E89" w:rsidP="0077003E">
      <w:pPr>
        <w:pStyle w:val="Standard"/>
        <w:widowControl/>
        <w:numPr>
          <w:ilvl w:val="0"/>
          <w:numId w:val="2"/>
        </w:numPr>
        <w:shd w:val="clear" w:color="auto" w:fill="FFFFFF"/>
        <w:tabs>
          <w:tab w:val="left" w:pos="1429"/>
        </w:tabs>
        <w:spacing w:line="276" w:lineRule="auto"/>
        <w:ind w:left="720" w:right="841" w:hanging="360"/>
        <w:jc w:val="both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název</w:t>
      </w:r>
      <w:r w:rsidR="004E67B9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množství a </w:t>
      </w: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specifikaci dodaného zboží</w:t>
      </w:r>
      <w:r w:rsidR="004E67B9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:rsidR="00EE3E89" w:rsidRPr="0077003E" w:rsidRDefault="00EE3E89" w:rsidP="0077003E">
      <w:pPr>
        <w:pStyle w:val="Standard"/>
        <w:widowControl/>
        <w:numPr>
          <w:ilvl w:val="0"/>
          <w:numId w:val="2"/>
        </w:numPr>
        <w:shd w:val="clear" w:color="auto" w:fill="FFFFFF"/>
        <w:tabs>
          <w:tab w:val="left" w:pos="1429"/>
        </w:tabs>
        <w:spacing w:line="276" w:lineRule="auto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vymezení zboží pro účely jeho podřízení sazbě DPH dle obecně závazných právních předpisů</w:t>
      </w:r>
      <w:r w:rsidR="004E67B9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:rsidR="00A97CE9" w:rsidRPr="0077003E" w:rsidRDefault="00EE3E89" w:rsidP="0077003E">
      <w:pPr>
        <w:pStyle w:val="Standard"/>
        <w:widowControl/>
        <w:numPr>
          <w:ilvl w:val="0"/>
          <w:numId w:val="2"/>
        </w:numPr>
        <w:shd w:val="clear" w:color="auto" w:fill="FFFFFF"/>
        <w:tabs>
          <w:tab w:val="left" w:pos="1429"/>
        </w:tabs>
        <w:spacing w:line="276" w:lineRule="auto"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cenu každého kusu zboží za jakou je komisionář povinen prodej zboží obstarat a procenty vyjádřenou částku, kterou si je komisionář oprávněn v případě obstarání prodeje zboží z ceny zboží </w:t>
      </w:r>
      <w:r w:rsidR="004E67B9" w:rsidRPr="0077003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ponechat </w:t>
      </w:r>
      <w:r w:rsidRPr="0077003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jako svou odměnu</w:t>
      </w:r>
      <w:r w:rsidR="00086A8C" w:rsidRPr="0077003E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.</w:t>
      </w:r>
    </w:p>
    <w:p w:rsidR="00EE3E89" w:rsidRPr="0077003E" w:rsidRDefault="00EE3E89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Nebezpečí škody na zboží přechází na komisionáře v okamžiku, kdy komitent splní povinnost dodat zboží komisionáři</w:t>
      </w:r>
      <w:r w:rsidR="003F2E02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v souladu s touto smlouvou</w:t>
      </w:r>
      <w:r w:rsidR="000F4172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133591" w:rsidRDefault="00EE3E89" w:rsidP="0077003E">
      <w:pPr>
        <w:pStyle w:val="Standard"/>
        <w:shd w:val="clear" w:color="auto" w:fill="FFFFFF"/>
        <w:tabs>
          <w:tab w:val="left" w:pos="426"/>
        </w:tabs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Článek </w:t>
      </w:r>
      <w:r w:rsidR="006A5397"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3</w:t>
      </w: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. – Vyúčtování činností komisionáře</w:t>
      </w:r>
    </w:p>
    <w:p w:rsidR="00133591" w:rsidRDefault="00133591" w:rsidP="0077003E">
      <w:pPr>
        <w:pStyle w:val="Standard"/>
        <w:widowControl/>
        <w:shd w:val="clear" w:color="auto" w:fill="FFFFFF"/>
        <w:spacing w:line="276" w:lineRule="auto"/>
        <w:ind w:left="36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133591" w:rsidRPr="00133591" w:rsidRDefault="00133591" w:rsidP="0077003E">
      <w:pPr>
        <w:pStyle w:val="Odstavecseseznamem"/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spacing w:line="276" w:lineRule="auto"/>
        <w:contextualSpacing w:val="0"/>
        <w:jc w:val="both"/>
        <w:rPr>
          <w:rFonts w:asciiTheme="minorHAnsi" w:eastAsia="Calibri" w:hAnsiTheme="minorHAnsi" w:cstheme="minorHAnsi"/>
          <w:vanish/>
          <w:color w:val="000000"/>
          <w:sz w:val="22"/>
          <w:szCs w:val="22"/>
        </w:rPr>
      </w:pPr>
    </w:p>
    <w:p w:rsidR="003F2E02" w:rsidRDefault="00133591" w:rsidP="00E72A1B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33591">
        <w:rPr>
          <w:rFonts w:asciiTheme="minorHAnsi" w:eastAsia="Calibri" w:hAnsiTheme="minorHAnsi" w:cstheme="minorHAnsi"/>
          <w:color w:val="000000"/>
          <w:sz w:val="22"/>
          <w:szCs w:val="22"/>
        </w:rPr>
        <w:t>Komisionář je povinen provést vyúčtování a uhradit komitentovi finanční prostředky, které utržil při obstarávání komisního prodeje zboží</w:t>
      </w:r>
      <w:r w:rsidR="003F2E02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:rsidR="00133591" w:rsidRDefault="00133591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33591">
        <w:rPr>
          <w:rFonts w:asciiTheme="minorHAnsi" w:eastAsia="Calibri" w:hAnsiTheme="minorHAnsi" w:cstheme="minorHAnsi"/>
          <w:color w:val="000000"/>
          <w:sz w:val="22"/>
          <w:szCs w:val="22"/>
        </w:rPr>
        <w:t>Komisionář je povinen provést a předložit komitentovi vyúčtování vždy do deseti (10) dní po skončení každého kalendářního měsíce, v němž obstarával prodej zboží komitenta, byl-li nějaký prodej uskutečněn, nedohodnou-li se strany jinak.</w:t>
      </w:r>
    </w:p>
    <w:p w:rsidR="00133591" w:rsidRDefault="00133591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3359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Na základě předloženého vyúčtování vystaví komitent komisionáři daňový doklad (fakturu) se splatností </w:t>
      </w:r>
      <w:r w:rsidR="005816BB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čtrnáct</w:t>
      </w:r>
      <w:r w:rsidRPr="004475E5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</w:t>
      </w:r>
      <w:r w:rsidR="005816BB"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14</w:t>
      </w:r>
      <w:r w:rsidRPr="004475E5">
        <w:rPr>
          <w:rFonts w:asciiTheme="minorHAnsi" w:eastAsia="Calibri" w:hAnsiTheme="minorHAnsi" w:cstheme="minorHAnsi"/>
          <w:color w:val="000000"/>
          <w:sz w:val="22"/>
          <w:szCs w:val="22"/>
        </w:rPr>
        <w:t>) dní</w:t>
      </w:r>
      <w:r w:rsidRPr="0013359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ode dne jejího vystavení. Neobsahuje-li daňový doklad (faktura) komitenta náležitosti dle obecně závazných právních předpisů a/nebo je-li vystaven v rozporu s touto smlouvou, není komisionář povinen na takovou fakturu plnit, je oprávněn ji vrátit komitentovi k přepracování (doplnění či opravě) a nedostává se do prodlení s její úhradou.  </w:t>
      </w:r>
    </w:p>
    <w:p w:rsidR="00133591" w:rsidRDefault="00133591" w:rsidP="0077003E">
      <w:pPr>
        <w:pStyle w:val="Standard"/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15D33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1"/>
        <w:jc w:val="center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Článek </w:t>
      </w:r>
      <w:r w:rsidR="0066090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4</w:t>
      </w: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. – Další ujednání</w:t>
      </w:r>
    </w:p>
    <w:p w:rsidR="00EE3E89" w:rsidRPr="0077003E" w:rsidRDefault="00EE3E89" w:rsidP="0077003E">
      <w:pPr>
        <w:pStyle w:val="Standard"/>
        <w:widowControl/>
        <w:shd w:val="clear" w:color="auto" w:fill="FFFFFF"/>
        <w:spacing w:line="276" w:lineRule="auto"/>
        <w:ind w:right="1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:rsidR="00E72A1B" w:rsidRPr="00E72A1B" w:rsidRDefault="00E72A1B" w:rsidP="0077003E">
      <w:pPr>
        <w:pStyle w:val="Odstavecseseznamem"/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spacing w:line="276" w:lineRule="auto"/>
        <w:contextualSpacing w:val="0"/>
        <w:jc w:val="both"/>
        <w:rPr>
          <w:rFonts w:asciiTheme="minorHAnsi" w:eastAsia="Calibri" w:hAnsiTheme="minorHAnsi" w:cstheme="minorHAnsi"/>
          <w:vanish/>
          <w:color w:val="000000"/>
          <w:sz w:val="22"/>
          <w:szCs w:val="22"/>
        </w:rPr>
      </w:pPr>
    </w:p>
    <w:p w:rsidR="00E72A1B" w:rsidRDefault="00E15D33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Komisionář se zavazuje o zboží řádně pečovat, aby nedošlo k jeho poškození. </w:t>
      </w:r>
    </w:p>
    <w:p w:rsidR="007B16D3" w:rsidRPr="007B16D3" w:rsidRDefault="007B16D3" w:rsidP="007B16D3">
      <w:pPr>
        <w:pStyle w:val="Odstavecseseznamem"/>
        <w:numPr>
          <w:ilvl w:val="1"/>
          <w:numId w:val="17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B16D3">
        <w:rPr>
          <w:rFonts w:asciiTheme="minorHAnsi" w:eastAsia="Calibri" w:hAnsiTheme="minorHAnsi" w:cstheme="minorHAnsi"/>
          <w:color w:val="000000"/>
          <w:sz w:val="22"/>
          <w:szCs w:val="22"/>
        </w:rPr>
        <w:t>Komisionář ručí po celou dobu prodeje za kvalitu zboží a jeho případné poškození jde k tíži komisionáře.</w:t>
      </w:r>
    </w:p>
    <w:p w:rsidR="00E72A1B" w:rsidRDefault="00E15D33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Komitent odpovídá za jakékoli případné nároky vyplývající z autorských práv třetích stran.</w:t>
      </w:r>
      <w:r w:rsidR="005816B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:rsidR="00E72A1B" w:rsidRDefault="00E72A1B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t>Bez ohledu na jiná ujednání této smlouvy je komisionář v případě, nepodaří-li se mu z jakéhokoli důvodu obstarat prod</w:t>
      </w:r>
      <w:r w:rsidR="00686733">
        <w:rPr>
          <w:rFonts w:asciiTheme="minorHAnsi" w:eastAsia="Calibri" w:hAnsiTheme="minorHAnsi" w:cstheme="minorHAnsi"/>
          <w:color w:val="000000"/>
          <w:sz w:val="22"/>
          <w:szCs w:val="22"/>
        </w:rPr>
        <w:t>ej zboží komitenta ani do šesti (6</w:t>
      </w:r>
      <w:r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t>) měsíců ode dne, kdy mu bylo zboží dodáno, oprávněn (nikoli povinen) bez jakéhokoli postihu či nutnosti kompenzace vrátit takové zboží zpět komitentovi.</w:t>
      </w:r>
    </w:p>
    <w:p w:rsidR="00EE3E89" w:rsidRPr="0077003E" w:rsidRDefault="00EE3E89" w:rsidP="0077003E">
      <w:pPr>
        <w:pStyle w:val="Standard"/>
        <w:widowControl/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72A1B" w:rsidRDefault="00EE3E89" w:rsidP="0077003E">
      <w:pPr>
        <w:pStyle w:val="Standard"/>
        <w:widowControl/>
        <w:shd w:val="clear" w:color="auto" w:fill="FFFFFF"/>
        <w:tabs>
          <w:tab w:val="left" w:pos="0"/>
          <w:tab w:val="left" w:pos="360"/>
        </w:tabs>
        <w:spacing w:line="276" w:lineRule="auto"/>
        <w:ind w:right="-1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Článek </w:t>
      </w:r>
      <w:r w:rsidR="0066090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5</w:t>
      </w:r>
      <w:r w:rsidRPr="0077003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. – Závěrečná ujednání</w:t>
      </w:r>
    </w:p>
    <w:p w:rsidR="00E72A1B" w:rsidRDefault="00E72A1B" w:rsidP="0077003E">
      <w:pPr>
        <w:pStyle w:val="Standard"/>
        <w:shd w:val="clear" w:color="auto" w:fill="FFFFFF"/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E72A1B" w:rsidRPr="00E72A1B" w:rsidRDefault="00E72A1B" w:rsidP="0077003E">
      <w:pPr>
        <w:pStyle w:val="Odstavecseseznamem"/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spacing w:line="276" w:lineRule="auto"/>
        <w:contextualSpacing w:val="0"/>
        <w:jc w:val="both"/>
        <w:rPr>
          <w:rFonts w:asciiTheme="minorHAnsi" w:eastAsia="Calibri" w:hAnsiTheme="minorHAnsi" w:cstheme="minorHAnsi"/>
          <w:vanish/>
          <w:color w:val="000000"/>
          <w:sz w:val="22"/>
          <w:szCs w:val="22"/>
        </w:rPr>
      </w:pPr>
    </w:p>
    <w:p w:rsidR="00E72A1B" w:rsidRPr="005306FD" w:rsidRDefault="00E72A1B" w:rsidP="009B0EFA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306F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Tato smlouva se uzavírá na dobu </w:t>
      </w:r>
      <w:r w:rsidR="005306FD" w:rsidRPr="005306FD">
        <w:rPr>
          <w:rFonts w:asciiTheme="minorHAnsi" w:eastAsia="Calibri" w:hAnsiTheme="minorHAnsi" w:cstheme="minorHAnsi"/>
          <w:color w:val="000000"/>
          <w:sz w:val="22"/>
          <w:szCs w:val="22"/>
        </w:rPr>
        <w:t>neurčitou a může být písemně vypovězena každou ze smluvních stran s účinky ke konci kalendářního měsíce následujícího po měsíci doručení výpovědi.</w:t>
      </w:r>
    </w:p>
    <w:p w:rsidR="00E72A1B" w:rsidRDefault="00DC337B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Tato smlouva</w:t>
      </w:r>
      <w:r w:rsidR="00E72A1B"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se řídí českým právem, zejména občanským zákoníkem.</w:t>
      </w:r>
    </w:p>
    <w:p w:rsidR="00E72A1B" w:rsidRDefault="00E72A1B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Tato smlouva může být měněna výlučně písemnými a číslovanými dodatky podepsanými oběma smluvními stranami.  </w:t>
      </w:r>
    </w:p>
    <w:p w:rsidR="00E72A1B" w:rsidRDefault="00E72A1B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t>Tato smlouva je sepsána ve dvou (2) vyhotoveních s platností originálu, z toho jedn</w:t>
      </w:r>
      <w:r w:rsidR="00DC337B">
        <w:rPr>
          <w:rFonts w:asciiTheme="minorHAnsi" w:eastAsia="Calibri" w:hAnsiTheme="minorHAnsi" w:cstheme="minorHAnsi"/>
          <w:color w:val="000000"/>
          <w:sz w:val="22"/>
          <w:szCs w:val="22"/>
        </w:rPr>
        <w:t>o vyhotovení</w:t>
      </w:r>
      <w:r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obdrží komitent a jedn</w:t>
      </w:r>
      <w:r w:rsidR="00DC337B">
        <w:rPr>
          <w:rFonts w:asciiTheme="minorHAnsi" w:eastAsia="Calibri" w:hAnsiTheme="minorHAnsi" w:cstheme="minorHAnsi"/>
          <w:color w:val="000000"/>
          <w:sz w:val="22"/>
          <w:szCs w:val="22"/>
        </w:rPr>
        <w:t>o</w:t>
      </w:r>
      <w:r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komisionář</w:t>
      </w:r>
      <w:r w:rsidR="00DC337B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:rsidR="00E72A1B" w:rsidRDefault="00E72A1B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t>Komi</w:t>
      </w:r>
      <w:r w:rsidR="000016DA">
        <w:rPr>
          <w:rFonts w:asciiTheme="minorHAnsi" w:eastAsia="Calibri" w:hAnsiTheme="minorHAnsi" w:cstheme="minorHAnsi"/>
          <w:color w:val="000000"/>
          <w:sz w:val="22"/>
          <w:szCs w:val="22"/>
        </w:rPr>
        <w:t>sionář</w:t>
      </w:r>
      <w:r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jako správce osobních údajů dle zákona č. 101/2000 Sb., o ochraně osobních údajů a o změně některých zákonů, ve znění pozdějších předpisů a nařízení Evropského parlamentu a rady (EU) č. 2016/679 ze dne 27. dubna 2016, o ochraně fyzických osob v souvislosti se zpracováním osobních údajů a o volném pohybu těchto údajů a o zrušení směrnice 95/46/ES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komi</w:t>
      </w:r>
      <w:r w:rsidR="000016DA">
        <w:rPr>
          <w:rFonts w:asciiTheme="minorHAnsi" w:eastAsia="Calibri" w:hAnsiTheme="minorHAnsi" w:cstheme="minorHAnsi"/>
          <w:color w:val="000000"/>
          <w:sz w:val="22"/>
          <w:szCs w:val="22"/>
        </w:rPr>
        <w:t>sionář</w:t>
      </w:r>
      <w:r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:rsidR="00E72A1B" w:rsidRDefault="00E72A1B" w:rsidP="0077003E">
      <w:pPr>
        <w:pStyle w:val="Standard"/>
        <w:numPr>
          <w:ilvl w:val="1"/>
          <w:numId w:val="17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Tato smlouva nabývá platnosti </w:t>
      </w:r>
      <w:r w:rsidR="001A53A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 účinnosti </w:t>
      </w:r>
      <w:r w:rsidRPr="00E72A1B">
        <w:rPr>
          <w:rFonts w:asciiTheme="minorHAnsi" w:eastAsia="Calibri" w:hAnsiTheme="minorHAnsi" w:cstheme="minorHAnsi"/>
          <w:color w:val="000000"/>
          <w:sz w:val="22"/>
          <w:szCs w:val="22"/>
        </w:rPr>
        <w:t>dnem podpisu oběma smluvními stranami</w:t>
      </w:r>
      <w:r w:rsidR="001A53A8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:rsidR="005306FD" w:rsidRPr="005306FD" w:rsidRDefault="005306FD" w:rsidP="005306FD">
      <w:pPr>
        <w:pStyle w:val="Odstavecseseznamem"/>
        <w:numPr>
          <w:ilvl w:val="1"/>
          <w:numId w:val="17"/>
        </w:num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306F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Smluvní strany za účelem naplnění požadavků zákona č. 340/2015 Sb., o zvláštních podmínkách účinnosti některých smluv, uveřejňování těchto smluv a o registru smluv (dále také jen jako „zákon o registru smluv“), ujednávají, že elektronický obraz textového obsahu této smlouvy v otevřeném a strojově čitelném formátu včetně </w:t>
      </w:r>
      <w:proofErr w:type="spellStart"/>
      <w:r w:rsidRPr="005306FD">
        <w:rPr>
          <w:rFonts w:asciiTheme="minorHAnsi" w:eastAsia="Calibri" w:hAnsiTheme="minorHAnsi" w:cstheme="minorHAnsi"/>
          <w:color w:val="000000"/>
          <w:sz w:val="22"/>
          <w:szCs w:val="22"/>
        </w:rPr>
        <w:t>metadat</w:t>
      </w:r>
      <w:proofErr w:type="spellEnd"/>
      <w:r w:rsidRPr="005306F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podle ustanovení § 5 odst. 5 zákona o registru smluv, bude uveřejněn vložením do registru smluv coby informačního systému veřejné správy. Smluvní strany v dané souvislosti dále ujednávají, že uveřejnění dle předchozí věty zajistí Moravská galerie v Brně, a to do třiceti (30) dní ode dne uzavření této smlouvy. Moravská galerie v Brně bude do patnácti (15) dní následující poté, co jí bude do datové schránky doručeno potvrzení správce registru smluv o uveřejnění této smlouvy v registru smluv, informovat o této skutečnosti ostatní účastníky této smlouvy formou elektronické zprávy na následující e-mailové adresy: nikola.zakovska@lasvit.com</w:t>
      </w:r>
    </w:p>
    <w:p w:rsidR="005306FD" w:rsidRDefault="005306FD" w:rsidP="005306FD">
      <w:pPr>
        <w:pStyle w:val="Standard"/>
        <w:shd w:val="clear" w:color="auto" w:fill="FFFFFF"/>
        <w:tabs>
          <w:tab w:val="left" w:pos="426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1A53A8" w:rsidRDefault="001A53A8" w:rsidP="001A53A8">
      <w:pPr>
        <w:pStyle w:val="Standard"/>
        <w:shd w:val="clear" w:color="auto" w:fill="FFFFFF"/>
        <w:tabs>
          <w:tab w:val="left" w:pos="426"/>
        </w:tabs>
        <w:spacing w:line="276" w:lineRule="auto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E3E89" w:rsidRPr="0077003E" w:rsidRDefault="00EE3E89" w:rsidP="0077003E">
      <w:pPr>
        <w:pStyle w:val="Standard"/>
        <w:widowControl/>
        <w:shd w:val="clear" w:color="auto" w:fill="FFFFFF"/>
        <w:tabs>
          <w:tab w:val="left" w:pos="426"/>
        </w:tabs>
        <w:spacing w:line="276" w:lineRule="auto"/>
        <w:ind w:right="-1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EE3E89" w:rsidRPr="0077003E" w:rsidRDefault="00EE3E89" w:rsidP="0077003E">
      <w:pPr>
        <w:pStyle w:val="Standard"/>
        <w:widowControl/>
        <w:shd w:val="clear" w:color="auto" w:fill="FFFFFF"/>
        <w:tabs>
          <w:tab w:val="left" w:pos="0"/>
          <w:tab w:val="left" w:pos="360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77003E">
        <w:rPr>
          <w:rFonts w:asciiTheme="minorHAnsi" w:eastAsia="Calibri" w:hAnsiTheme="minorHAnsi" w:cstheme="minorHAnsi"/>
          <w:color w:val="000000"/>
          <w:sz w:val="22"/>
          <w:szCs w:val="22"/>
        </w:rPr>
        <w:t>V Brně, dne:</w:t>
      </w: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7"/>
        <w:gridCol w:w="4928"/>
      </w:tblGrid>
      <w:tr w:rsidR="00EE3E89" w:rsidRPr="007D0511" w:rsidTr="00EE3E89">
        <w:trPr>
          <w:trHeight w:val="1300"/>
        </w:trPr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E89" w:rsidRPr="0077003E" w:rsidRDefault="00EE3E89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EE3E89" w:rsidRPr="0077003E" w:rsidRDefault="000406C2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77003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komitent</w:t>
            </w:r>
            <w:r w:rsidRPr="0077003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:                                                                  </w:t>
            </w:r>
          </w:p>
          <w:p w:rsidR="00EE3E89" w:rsidRDefault="00EE3E89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5306FD" w:rsidRDefault="005306FD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5306FD" w:rsidRPr="0077003E" w:rsidRDefault="005306FD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EE3E89" w:rsidRPr="0077003E" w:rsidRDefault="00EE3E89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003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</w:t>
            </w:r>
          </w:p>
          <w:p w:rsidR="00EE3E89" w:rsidRPr="005306FD" w:rsidRDefault="005306FD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306FD">
              <w:rPr>
                <w:rFonts w:asciiTheme="minorHAnsi" w:hAnsiTheme="minorHAnsi" w:cstheme="minorHAnsi"/>
                <w:b/>
                <w:sz w:val="22"/>
                <w:szCs w:val="22"/>
              </w:rPr>
              <w:t>Lasvit</w:t>
            </w:r>
            <w:proofErr w:type="spellEnd"/>
            <w:r w:rsidRPr="005306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(Prague) s.r.o.</w:t>
            </w:r>
          </w:p>
          <w:p w:rsidR="005306FD" w:rsidRPr="0077003E" w:rsidRDefault="005306FD" w:rsidP="005306FD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Aleš</w:t>
            </w:r>
            <w:r w:rsidRPr="005306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306FD">
              <w:rPr>
                <w:rFonts w:asciiTheme="minorHAnsi" w:hAnsiTheme="minorHAnsi" w:cstheme="minorHAnsi"/>
                <w:sz w:val="22"/>
                <w:szCs w:val="22"/>
              </w:rPr>
              <w:t>Stýbl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306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Group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General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Manager</w:t>
            </w:r>
            <w:proofErr w:type="spellEnd"/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E89" w:rsidRPr="0077003E" w:rsidRDefault="00EE3E89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EE3E89" w:rsidRPr="0077003E" w:rsidRDefault="000406C2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77003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komisionář</w:t>
            </w:r>
            <w:r w:rsidRPr="0077003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:</w:t>
            </w:r>
          </w:p>
          <w:p w:rsidR="00EE3E89" w:rsidRPr="0077003E" w:rsidRDefault="00EE3E89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0406C2" w:rsidRPr="0077003E" w:rsidRDefault="000406C2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EE3E89" w:rsidRPr="0077003E" w:rsidRDefault="00EE3E89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EE3E89" w:rsidRPr="0077003E" w:rsidRDefault="00EE3E89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003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………………………………………………………………</w:t>
            </w:r>
          </w:p>
          <w:p w:rsidR="000016DA" w:rsidRPr="007C1E52" w:rsidRDefault="000016DA" w:rsidP="000016DA">
            <w:pPr>
              <w:pStyle w:val="Standard"/>
              <w:shd w:val="clear" w:color="auto" w:fill="FFFFFF"/>
              <w:tabs>
                <w:tab w:val="left" w:pos="1701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1E52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Moravská galerie v Brně</w:t>
            </w:r>
          </w:p>
          <w:p w:rsidR="00EE3E89" w:rsidRPr="0077003E" w:rsidRDefault="000016DA" w:rsidP="0077003E">
            <w:pPr>
              <w:pStyle w:val="Standard"/>
              <w:widowControl/>
              <w:shd w:val="clear" w:color="auto" w:fill="FFFFFF"/>
              <w:tabs>
                <w:tab w:val="left" w:pos="0"/>
                <w:tab w:val="left" w:pos="360"/>
              </w:tabs>
              <w:spacing w:line="276" w:lineRule="auto"/>
              <w:ind w:right="-1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7C1E5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Mgr. Jan Press, ředitel                                  </w:t>
            </w:r>
          </w:p>
        </w:tc>
      </w:tr>
    </w:tbl>
    <w:p w:rsidR="00234436" w:rsidRPr="0077003E" w:rsidRDefault="00234436" w:rsidP="0077003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234436" w:rsidRPr="0077003E" w:rsidSect="005306FD">
      <w:pgSz w:w="11906" w:h="16838"/>
      <w:pgMar w:top="1417" w:right="1558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D9C"/>
    <w:multiLevelType w:val="multilevel"/>
    <w:tmpl w:val="CFF6859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b/>
        <w:color w:val="000000"/>
      </w:rPr>
    </w:lvl>
  </w:abstractNum>
  <w:abstractNum w:abstractNumId="1">
    <w:nsid w:val="020109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8D58D9"/>
    <w:multiLevelType w:val="multilevel"/>
    <w:tmpl w:val="8AC0832C"/>
    <w:lvl w:ilvl="0">
      <w:start w:val="1"/>
      <w:numFmt w:val="decimal"/>
      <w:lvlText w:val="%1"/>
      <w:lvlJc w:val="left"/>
      <w:pPr>
        <w:ind w:left="432" w:hanging="432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b/>
        <w:color w:val="000000"/>
      </w:rPr>
    </w:lvl>
  </w:abstractNum>
  <w:abstractNum w:abstractNumId="3">
    <w:nsid w:val="040A33AF"/>
    <w:multiLevelType w:val="multilevel"/>
    <w:tmpl w:val="CFF6859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b/>
        <w:color w:val="000000"/>
      </w:rPr>
    </w:lvl>
  </w:abstractNum>
  <w:abstractNum w:abstractNumId="4">
    <w:nsid w:val="15383E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784253"/>
    <w:multiLevelType w:val="multilevel"/>
    <w:tmpl w:val="CFF6859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b/>
        <w:color w:val="000000"/>
      </w:rPr>
    </w:lvl>
  </w:abstractNum>
  <w:abstractNum w:abstractNumId="6">
    <w:nsid w:val="1A9570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DDC42C9"/>
    <w:multiLevelType w:val="multilevel"/>
    <w:tmpl w:val="CFF6859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b/>
        <w:color w:val="000000"/>
      </w:rPr>
    </w:lvl>
  </w:abstractNum>
  <w:abstractNum w:abstractNumId="8">
    <w:nsid w:val="23A36531"/>
    <w:multiLevelType w:val="hybridMultilevel"/>
    <w:tmpl w:val="95CC4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A22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93108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FBA28A2"/>
    <w:multiLevelType w:val="multilevel"/>
    <w:tmpl w:val="04F2F794"/>
    <w:styleLink w:val="WWNum5"/>
    <w:lvl w:ilvl="0">
      <w:start w:val="1"/>
      <w:numFmt w:val="lowerLetter"/>
      <w:lvlText w:val="%1)"/>
      <w:lvlJc w:val="left"/>
      <w:rPr>
        <w:position w:val="0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rPr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rPr>
        <w:position w:val="0"/>
        <w:vertAlign w:val="baseline"/>
      </w:rPr>
    </w:lvl>
  </w:abstractNum>
  <w:abstractNum w:abstractNumId="12">
    <w:nsid w:val="33B9704C"/>
    <w:multiLevelType w:val="multilevel"/>
    <w:tmpl w:val="CFF6859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b/>
        <w:color w:val="000000"/>
      </w:rPr>
    </w:lvl>
  </w:abstractNum>
  <w:abstractNum w:abstractNumId="13">
    <w:nsid w:val="3747608B"/>
    <w:multiLevelType w:val="multilevel"/>
    <w:tmpl w:val="E94232D4"/>
    <w:styleLink w:val="WWNum4"/>
    <w:lvl w:ilvl="0">
      <w:start w:val="1"/>
      <w:numFmt w:val="lowerLetter"/>
      <w:lvlText w:val="%1)"/>
      <w:lvlJc w:val="left"/>
      <w:rPr>
        <w:rFonts w:eastAsia="Calibri" w:cs="Calibri"/>
        <w:b w:val="0"/>
        <w:position w:val="0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rPr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rPr>
        <w:position w:val="0"/>
        <w:vertAlign w:val="baseline"/>
      </w:rPr>
    </w:lvl>
  </w:abstractNum>
  <w:abstractNum w:abstractNumId="14">
    <w:nsid w:val="38EC6B8D"/>
    <w:multiLevelType w:val="multilevel"/>
    <w:tmpl w:val="819EF2AE"/>
    <w:styleLink w:val="WWNum2"/>
    <w:lvl w:ilvl="0">
      <w:start w:val="1"/>
      <w:numFmt w:val="lowerLetter"/>
      <w:lvlText w:val="%1)"/>
      <w:lvlJc w:val="left"/>
      <w:rPr>
        <w:rFonts w:eastAsia="Calibri" w:cs="Calibri"/>
        <w:b w:val="0"/>
        <w:position w:val="0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rPr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rPr>
        <w:position w:val="0"/>
        <w:vertAlign w:val="baseline"/>
      </w:rPr>
    </w:lvl>
  </w:abstractNum>
  <w:abstractNum w:abstractNumId="15">
    <w:nsid w:val="3B351C42"/>
    <w:multiLevelType w:val="multilevel"/>
    <w:tmpl w:val="CFF6859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b/>
        <w:color w:val="000000"/>
      </w:rPr>
    </w:lvl>
  </w:abstractNum>
  <w:abstractNum w:abstractNumId="16">
    <w:nsid w:val="4A032062"/>
    <w:multiLevelType w:val="multilevel"/>
    <w:tmpl w:val="CFF6859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b/>
        <w:color w:val="000000"/>
      </w:rPr>
    </w:lvl>
  </w:abstractNum>
  <w:abstractNum w:abstractNumId="17">
    <w:nsid w:val="4A5E471C"/>
    <w:multiLevelType w:val="multilevel"/>
    <w:tmpl w:val="6950AB26"/>
    <w:styleLink w:val="WWNum3"/>
    <w:lvl w:ilvl="0">
      <w:start w:val="1"/>
      <w:numFmt w:val="lowerLetter"/>
      <w:lvlText w:val="%1)"/>
      <w:lvlJc w:val="left"/>
      <w:rPr>
        <w:rFonts w:eastAsia="Calibri" w:cs="Calibri"/>
        <w:b w:val="0"/>
        <w:position w:val="0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rPr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rPr>
        <w:position w:val="0"/>
        <w:vertAlign w:val="baseline"/>
      </w:rPr>
    </w:lvl>
  </w:abstractNum>
  <w:abstractNum w:abstractNumId="18">
    <w:nsid w:val="4E391E8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19638F2"/>
    <w:multiLevelType w:val="hybridMultilevel"/>
    <w:tmpl w:val="A82AF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94ABF"/>
    <w:multiLevelType w:val="multilevel"/>
    <w:tmpl w:val="670489B6"/>
    <w:lvl w:ilvl="0">
      <w:start w:val="4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  <w:b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b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b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b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b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b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b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 w:hint="default"/>
        <w:b/>
        <w:color w:val="000000"/>
        <w:sz w:val="22"/>
      </w:rPr>
    </w:lvl>
  </w:abstractNum>
  <w:abstractNum w:abstractNumId="21">
    <w:nsid w:val="57D13C41"/>
    <w:multiLevelType w:val="multilevel"/>
    <w:tmpl w:val="B54CB5E6"/>
    <w:styleLink w:val="WWNum6"/>
    <w:lvl w:ilvl="0">
      <w:start w:val="7"/>
      <w:numFmt w:val="lowerLetter"/>
      <w:lvlText w:val="%1)"/>
      <w:lvlJc w:val="left"/>
      <w:rPr>
        <w:position w:val="0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rPr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rPr>
        <w:position w:val="0"/>
        <w:vertAlign w:val="baseline"/>
      </w:rPr>
    </w:lvl>
  </w:abstractNum>
  <w:abstractNum w:abstractNumId="22">
    <w:nsid w:val="5C376DF7"/>
    <w:multiLevelType w:val="multilevel"/>
    <w:tmpl w:val="CFF6859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b/>
        <w:color w:val="000000"/>
      </w:rPr>
    </w:lvl>
  </w:abstractNum>
  <w:abstractNum w:abstractNumId="23">
    <w:nsid w:val="5C637E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F917D00"/>
    <w:multiLevelType w:val="hybridMultilevel"/>
    <w:tmpl w:val="70E0B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A948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6EB60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9FF72A7"/>
    <w:multiLevelType w:val="multilevel"/>
    <w:tmpl w:val="929A985C"/>
    <w:styleLink w:val="WWNum1"/>
    <w:lvl w:ilvl="0">
      <w:start w:val="1"/>
      <w:numFmt w:val="lowerLetter"/>
      <w:lvlText w:val="%1)"/>
      <w:lvlJc w:val="left"/>
      <w:rPr>
        <w:position w:val="0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rPr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rPr>
        <w:position w:val="0"/>
        <w:vertAlign w:val="baseline"/>
      </w:rPr>
    </w:lvl>
  </w:abstractNum>
  <w:abstractNum w:abstractNumId="28">
    <w:nsid w:val="7B1226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14"/>
  </w:num>
  <w:num w:numId="3">
    <w:abstractNumId w:val="17"/>
  </w:num>
  <w:num w:numId="4">
    <w:abstractNumId w:val="13"/>
  </w:num>
  <w:num w:numId="5">
    <w:abstractNumId w:val="11"/>
  </w:num>
  <w:num w:numId="6">
    <w:abstractNumId w:val="21"/>
  </w:num>
  <w:num w:numId="7">
    <w:abstractNumId w:val="17"/>
    <w:lvlOverride w:ilvl="0">
      <w:startOverride w:val="1"/>
    </w:lvlOverride>
  </w:num>
  <w:num w:numId="8">
    <w:abstractNumId w:val="21"/>
    <w:lvlOverride w:ilvl="0">
      <w:startOverride w:val="7"/>
    </w:lvlOverride>
  </w:num>
  <w:num w:numId="9">
    <w:abstractNumId w:val="13"/>
    <w:lvlOverride w:ilvl="0">
      <w:startOverride w:val="1"/>
    </w:lvlOverride>
  </w:num>
  <w:num w:numId="10">
    <w:abstractNumId w:val="27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20"/>
  </w:num>
  <w:num w:numId="14">
    <w:abstractNumId w:val="24"/>
  </w:num>
  <w:num w:numId="15">
    <w:abstractNumId w:val="2"/>
  </w:num>
  <w:num w:numId="16">
    <w:abstractNumId w:val="19"/>
  </w:num>
  <w:num w:numId="17">
    <w:abstractNumId w:val="12"/>
  </w:num>
  <w:num w:numId="18">
    <w:abstractNumId w:val="15"/>
  </w:num>
  <w:num w:numId="19">
    <w:abstractNumId w:val="7"/>
  </w:num>
  <w:num w:numId="20">
    <w:abstractNumId w:val="22"/>
  </w:num>
  <w:num w:numId="21">
    <w:abstractNumId w:val="0"/>
  </w:num>
  <w:num w:numId="22">
    <w:abstractNumId w:val="5"/>
  </w:num>
  <w:num w:numId="23">
    <w:abstractNumId w:val="3"/>
  </w:num>
  <w:num w:numId="24">
    <w:abstractNumId w:val="16"/>
  </w:num>
  <w:num w:numId="25">
    <w:abstractNumId w:val="8"/>
  </w:num>
  <w:num w:numId="26">
    <w:abstractNumId w:val="28"/>
  </w:num>
  <w:num w:numId="27">
    <w:abstractNumId w:val="9"/>
  </w:num>
  <w:num w:numId="28">
    <w:abstractNumId w:val="10"/>
  </w:num>
  <w:num w:numId="29">
    <w:abstractNumId w:val="4"/>
  </w:num>
  <w:num w:numId="30">
    <w:abstractNumId w:val="23"/>
  </w:num>
  <w:num w:numId="31">
    <w:abstractNumId w:val="1"/>
  </w:num>
  <w:num w:numId="32">
    <w:abstractNumId w:val="25"/>
  </w:num>
  <w:num w:numId="33">
    <w:abstractNumId w:val="6"/>
  </w:num>
  <w:num w:numId="34">
    <w:abstractNumId w:val="26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89"/>
    <w:rsid w:val="000016DA"/>
    <w:rsid w:val="00023367"/>
    <w:rsid w:val="000406C2"/>
    <w:rsid w:val="00086A8C"/>
    <w:rsid w:val="000F0305"/>
    <w:rsid w:val="000F4172"/>
    <w:rsid w:val="00133591"/>
    <w:rsid w:val="001A0615"/>
    <w:rsid w:val="001A53A8"/>
    <w:rsid w:val="00234436"/>
    <w:rsid w:val="00237F4A"/>
    <w:rsid w:val="00282B6D"/>
    <w:rsid w:val="002A2064"/>
    <w:rsid w:val="003A68F5"/>
    <w:rsid w:val="003F2E02"/>
    <w:rsid w:val="004475E5"/>
    <w:rsid w:val="004A7B50"/>
    <w:rsid w:val="004E67B9"/>
    <w:rsid w:val="004F2C99"/>
    <w:rsid w:val="004F2CFF"/>
    <w:rsid w:val="005306FD"/>
    <w:rsid w:val="005816BB"/>
    <w:rsid w:val="0066090D"/>
    <w:rsid w:val="00686733"/>
    <w:rsid w:val="006A5397"/>
    <w:rsid w:val="006E3C2B"/>
    <w:rsid w:val="0077003E"/>
    <w:rsid w:val="007B16D3"/>
    <w:rsid w:val="007D0511"/>
    <w:rsid w:val="00802E8F"/>
    <w:rsid w:val="008670EC"/>
    <w:rsid w:val="009B0EFA"/>
    <w:rsid w:val="00A97CE9"/>
    <w:rsid w:val="00AA4283"/>
    <w:rsid w:val="00AB2361"/>
    <w:rsid w:val="00AD7F50"/>
    <w:rsid w:val="00D20340"/>
    <w:rsid w:val="00DC337B"/>
    <w:rsid w:val="00E15D33"/>
    <w:rsid w:val="00E72A1B"/>
    <w:rsid w:val="00ED1617"/>
    <w:rsid w:val="00EE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E3E89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E3E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seznamu"/>
    <w:rsid w:val="00EE3E89"/>
    <w:pPr>
      <w:numPr>
        <w:numId w:val="1"/>
      </w:numPr>
    </w:pPr>
  </w:style>
  <w:style w:type="numbering" w:customStyle="1" w:styleId="WWNum2">
    <w:name w:val="WWNum2"/>
    <w:basedOn w:val="Bezseznamu"/>
    <w:rsid w:val="00EE3E89"/>
    <w:pPr>
      <w:numPr>
        <w:numId w:val="2"/>
      </w:numPr>
    </w:pPr>
  </w:style>
  <w:style w:type="numbering" w:customStyle="1" w:styleId="WWNum3">
    <w:name w:val="WWNum3"/>
    <w:basedOn w:val="Bezseznamu"/>
    <w:rsid w:val="00EE3E89"/>
    <w:pPr>
      <w:numPr>
        <w:numId w:val="3"/>
      </w:numPr>
    </w:pPr>
  </w:style>
  <w:style w:type="numbering" w:customStyle="1" w:styleId="WWNum4">
    <w:name w:val="WWNum4"/>
    <w:basedOn w:val="Bezseznamu"/>
    <w:rsid w:val="00EE3E89"/>
    <w:pPr>
      <w:numPr>
        <w:numId w:val="4"/>
      </w:numPr>
    </w:pPr>
  </w:style>
  <w:style w:type="numbering" w:customStyle="1" w:styleId="WWNum5">
    <w:name w:val="WWNum5"/>
    <w:basedOn w:val="Bezseznamu"/>
    <w:rsid w:val="00EE3E89"/>
    <w:pPr>
      <w:numPr>
        <w:numId w:val="5"/>
      </w:numPr>
    </w:pPr>
  </w:style>
  <w:style w:type="numbering" w:customStyle="1" w:styleId="WWNum6">
    <w:name w:val="WWNum6"/>
    <w:basedOn w:val="Bezseznamu"/>
    <w:rsid w:val="00EE3E89"/>
    <w:pPr>
      <w:numPr>
        <w:numId w:val="6"/>
      </w:numPr>
    </w:pPr>
  </w:style>
  <w:style w:type="character" w:styleId="Hypertextovodkaz">
    <w:name w:val="Hyperlink"/>
    <w:basedOn w:val="Standardnpsmoodstavce"/>
    <w:uiPriority w:val="99"/>
    <w:unhideWhenUsed/>
    <w:rsid w:val="00EE3E89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023367"/>
  </w:style>
  <w:style w:type="paragraph" w:styleId="Odstavecseseznamem">
    <w:name w:val="List Paragraph"/>
    <w:basedOn w:val="Normln"/>
    <w:uiPriority w:val="34"/>
    <w:qFormat/>
    <w:rsid w:val="00133591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03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03E"/>
    <w:rPr>
      <w:rFonts w:ascii="Segoe UI" w:eastAsia="Arial Unicode MS" w:hAnsi="Segoe UI" w:cs="Mangal"/>
      <w:kern w:val="3"/>
      <w:sz w:val="18"/>
      <w:szCs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E3E89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E3E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seznamu"/>
    <w:rsid w:val="00EE3E89"/>
    <w:pPr>
      <w:numPr>
        <w:numId w:val="1"/>
      </w:numPr>
    </w:pPr>
  </w:style>
  <w:style w:type="numbering" w:customStyle="1" w:styleId="WWNum2">
    <w:name w:val="WWNum2"/>
    <w:basedOn w:val="Bezseznamu"/>
    <w:rsid w:val="00EE3E89"/>
    <w:pPr>
      <w:numPr>
        <w:numId w:val="2"/>
      </w:numPr>
    </w:pPr>
  </w:style>
  <w:style w:type="numbering" w:customStyle="1" w:styleId="WWNum3">
    <w:name w:val="WWNum3"/>
    <w:basedOn w:val="Bezseznamu"/>
    <w:rsid w:val="00EE3E89"/>
    <w:pPr>
      <w:numPr>
        <w:numId w:val="3"/>
      </w:numPr>
    </w:pPr>
  </w:style>
  <w:style w:type="numbering" w:customStyle="1" w:styleId="WWNum4">
    <w:name w:val="WWNum4"/>
    <w:basedOn w:val="Bezseznamu"/>
    <w:rsid w:val="00EE3E89"/>
    <w:pPr>
      <w:numPr>
        <w:numId w:val="4"/>
      </w:numPr>
    </w:pPr>
  </w:style>
  <w:style w:type="numbering" w:customStyle="1" w:styleId="WWNum5">
    <w:name w:val="WWNum5"/>
    <w:basedOn w:val="Bezseznamu"/>
    <w:rsid w:val="00EE3E89"/>
    <w:pPr>
      <w:numPr>
        <w:numId w:val="5"/>
      </w:numPr>
    </w:pPr>
  </w:style>
  <w:style w:type="numbering" w:customStyle="1" w:styleId="WWNum6">
    <w:name w:val="WWNum6"/>
    <w:basedOn w:val="Bezseznamu"/>
    <w:rsid w:val="00EE3E89"/>
    <w:pPr>
      <w:numPr>
        <w:numId w:val="6"/>
      </w:numPr>
    </w:pPr>
  </w:style>
  <w:style w:type="character" w:styleId="Hypertextovodkaz">
    <w:name w:val="Hyperlink"/>
    <w:basedOn w:val="Standardnpsmoodstavce"/>
    <w:uiPriority w:val="99"/>
    <w:unhideWhenUsed/>
    <w:rsid w:val="00EE3E89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023367"/>
  </w:style>
  <w:style w:type="paragraph" w:styleId="Odstavecseseznamem">
    <w:name w:val="List Paragraph"/>
    <w:basedOn w:val="Normln"/>
    <w:uiPriority w:val="34"/>
    <w:qFormat/>
    <w:rsid w:val="00133591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03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03E"/>
    <w:rPr>
      <w:rFonts w:ascii="Segoe UI" w:eastAsia="Arial Unicode MS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1067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Kapustová</dc:creator>
  <cp:lastModifiedBy>Kapustova Jana</cp:lastModifiedBy>
  <cp:revision>3</cp:revision>
  <cp:lastPrinted>2018-03-15T12:10:00Z</cp:lastPrinted>
  <dcterms:created xsi:type="dcterms:W3CDTF">2022-02-07T11:37:00Z</dcterms:created>
  <dcterms:modified xsi:type="dcterms:W3CDTF">2022-02-07T11:41:00Z</dcterms:modified>
</cp:coreProperties>
</file>