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9C75" w14:textId="42AC4E4D" w:rsidR="0024468F" w:rsidRPr="00737C4F" w:rsidRDefault="00737C4F" w:rsidP="004C04D0">
      <w:pPr>
        <w:rPr>
          <w:rFonts w:asciiTheme="minorHAnsi" w:hAnsiTheme="minorHAnsi"/>
          <w:sz w:val="22"/>
          <w:szCs w:val="22"/>
        </w:rPr>
      </w:pP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6" w14:textId="7C33120A"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4E11E8">
        <w:rPr>
          <w:rFonts w:asciiTheme="minorHAnsi" w:hAnsiTheme="minorHAnsi"/>
          <w:b/>
          <w:sz w:val="28"/>
          <w:szCs w:val="28"/>
        </w:rPr>
        <w:t xml:space="preserve"> 6131</w:t>
      </w:r>
      <w:r w:rsidR="00AA0D99">
        <w:rPr>
          <w:rFonts w:asciiTheme="minorHAnsi" w:hAnsiTheme="minorHAnsi"/>
          <w:b/>
          <w:sz w:val="28"/>
          <w:szCs w:val="28"/>
        </w:rPr>
        <w:t xml:space="preserve"> </w:t>
      </w:r>
      <w:r w:rsidR="00156F3F">
        <w:rPr>
          <w:rFonts w:asciiTheme="minorHAnsi" w:hAnsiTheme="minorHAnsi"/>
          <w:b/>
          <w:sz w:val="28"/>
          <w:szCs w:val="28"/>
        </w:rPr>
        <w:t>/</w:t>
      </w:r>
      <w:r w:rsidR="00FA5408">
        <w:rPr>
          <w:rFonts w:asciiTheme="minorHAnsi" w:hAnsiTheme="minorHAnsi"/>
          <w:b/>
          <w:sz w:val="28"/>
          <w:szCs w:val="28"/>
        </w:rPr>
        <w:t xml:space="preserve">            </w:t>
      </w:r>
      <w:r w:rsidR="003200B9">
        <w:rPr>
          <w:rFonts w:asciiTheme="minorHAnsi" w:hAnsiTheme="minorHAnsi"/>
          <w:b/>
          <w:sz w:val="28"/>
          <w:szCs w:val="28"/>
        </w:rPr>
        <w:t>/</w:t>
      </w:r>
      <w:r w:rsidR="005C24CC">
        <w:rPr>
          <w:rFonts w:asciiTheme="minorHAnsi" w:hAnsiTheme="minorHAnsi"/>
          <w:b/>
          <w:sz w:val="28"/>
          <w:szCs w:val="28"/>
        </w:rPr>
        <w:t>2</w:t>
      </w:r>
      <w:r w:rsidR="00262A88">
        <w:rPr>
          <w:rFonts w:asciiTheme="minorHAnsi" w:hAnsiTheme="minorHAnsi"/>
          <w:b/>
          <w:sz w:val="28"/>
          <w:szCs w:val="28"/>
        </w:rPr>
        <w:t>2</w:t>
      </w:r>
    </w:p>
    <w:p w14:paraId="792CB857" w14:textId="77777777" w:rsidR="000A0147" w:rsidRPr="00515D12" w:rsidRDefault="000A0147" w:rsidP="000A0147">
      <w:pPr>
        <w:jc w:val="center"/>
        <w:rPr>
          <w:rFonts w:asciiTheme="minorHAnsi" w:hAnsiTheme="minorHAnsi"/>
          <w:sz w:val="22"/>
          <w:szCs w:val="22"/>
        </w:rPr>
      </w:pP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7A01F4">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7777777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77777777"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792CB85F" w14:textId="570ACB5A"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71DE1A2A" w:rsidR="000A0147" w:rsidRPr="00BE0522" w:rsidRDefault="00B55968"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 xml:space="preserve"> </w:t>
      </w:r>
      <w:r w:rsidR="000A0147" w:rsidRPr="00BE0522">
        <w:rPr>
          <w:rFonts w:asciiTheme="minorHAnsi" w:hAnsiTheme="minorHAnsi"/>
          <w:i/>
          <w:sz w:val="22"/>
          <w:szCs w:val="22"/>
        </w:rPr>
        <w:t>(dále jen „poskytovatel“)</w:t>
      </w:r>
      <w:r w:rsidR="000A0147">
        <w:rPr>
          <w:rFonts w:asciiTheme="minorHAnsi" w:hAnsiTheme="minorHAnsi"/>
          <w:i/>
          <w:sz w:val="22"/>
          <w:szCs w:val="22"/>
        </w:rPr>
        <w:t>,</w:t>
      </w:r>
    </w:p>
    <w:p w14:paraId="792CB861" w14:textId="77777777" w:rsidR="000A0147" w:rsidRPr="00515D12" w:rsidRDefault="000A0147" w:rsidP="007A01F4">
      <w:pPr>
        <w:tabs>
          <w:tab w:val="left" w:pos="426"/>
        </w:tabs>
        <w:ind w:left="426" w:hanging="426"/>
        <w:jc w:val="both"/>
        <w:rPr>
          <w:rFonts w:asciiTheme="minorHAnsi" w:hAnsiTheme="minorHAnsi"/>
          <w:sz w:val="22"/>
          <w:szCs w:val="22"/>
        </w:rPr>
      </w:pPr>
    </w:p>
    <w:p w14:paraId="34C340F4" w14:textId="77777777" w:rsidR="00316101" w:rsidRDefault="00316101" w:rsidP="00316101">
      <w:pPr>
        <w:widowControl w:val="0"/>
        <w:numPr>
          <w:ilvl w:val="0"/>
          <w:numId w:val="13"/>
        </w:numPr>
        <w:tabs>
          <w:tab w:val="clear" w:pos="360"/>
          <w:tab w:val="left" w:pos="426"/>
        </w:tabs>
        <w:ind w:left="426" w:hanging="426"/>
        <w:jc w:val="both"/>
        <w:rPr>
          <w:rFonts w:asciiTheme="minorHAnsi" w:hAnsiTheme="minorHAnsi"/>
          <w:b/>
          <w:sz w:val="22"/>
          <w:szCs w:val="22"/>
        </w:rPr>
      </w:pPr>
      <w:r>
        <w:rPr>
          <w:rFonts w:asciiTheme="minorHAnsi" w:hAnsiTheme="minorHAnsi"/>
          <w:b/>
          <w:sz w:val="22"/>
          <w:szCs w:val="22"/>
        </w:rPr>
        <w:t>Příjemce dotace:</w:t>
      </w:r>
    </w:p>
    <w:p w14:paraId="419FA84F" w14:textId="77777777" w:rsidR="00316101" w:rsidRDefault="00316101" w:rsidP="00316101">
      <w:pPr>
        <w:tabs>
          <w:tab w:val="left" w:pos="426"/>
        </w:tabs>
        <w:ind w:left="426"/>
        <w:rPr>
          <w:rFonts w:ascii="Calibri" w:hAnsi="Calibri"/>
          <w:sz w:val="22"/>
          <w:szCs w:val="22"/>
        </w:rPr>
      </w:pPr>
      <w:r>
        <w:rPr>
          <w:rFonts w:ascii="Calibri" w:hAnsi="Calibri"/>
          <w:sz w:val="22"/>
          <w:szCs w:val="22"/>
        </w:rPr>
        <w:t xml:space="preserve">SKP-CENTRUM, o.p.s., </w:t>
      </w:r>
    </w:p>
    <w:p w14:paraId="2508A61C" w14:textId="77777777" w:rsidR="00316101" w:rsidRDefault="00316101" w:rsidP="00316101">
      <w:pPr>
        <w:tabs>
          <w:tab w:val="left" w:pos="426"/>
        </w:tabs>
        <w:ind w:left="426"/>
        <w:rPr>
          <w:rFonts w:ascii="Calibri" w:hAnsi="Calibri"/>
          <w:sz w:val="22"/>
          <w:szCs w:val="22"/>
        </w:rPr>
      </w:pPr>
      <w:r>
        <w:rPr>
          <w:rFonts w:ascii="Calibri" w:hAnsi="Calibri"/>
          <w:sz w:val="22"/>
          <w:szCs w:val="22"/>
        </w:rPr>
        <w:t>sídlo: Jungmannova 2550, 530 02 Pardubice – Zelené Předměstí,</w:t>
      </w:r>
    </w:p>
    <w:p w14:paraId="57D9379E" w14:textId="5B1BDAFE" w:rsidR="00316101" w:rsidRDefault="00316101" w:rsidP="00316101">
      <w:pPr>
        <w:tabs>
          <w:tab w:val="left" w:pos="426"/>
        </w:tabs>
        <w:ind w:left="426"/>
        <w:rPr>
          <w:rFonts w:ascii="Calibri" w:hAnsi="Calibri"/>
          <w:sz w:val="22"/>
          <w:szCs w:val="22"/>
        </w:rPr>
      </w:pPr>
      <w:r>
        <w:rPr>
          <w:rFonts w:ascii="Calibri" w:hAnsi="Calibri"/>
          <w:sz w:val="22"/>
          <w:szCs w:val="22"/>
        </w:rPr>
        <w:t xml:space="preserve">zapsaná v rejstříku obecně prospěšných společností vedeném Krajským soudem v Hradci Králové pod </w:t>
      </w:r>
      <w:r w:rsidR="00AA0D99">
        <w:rPr>
          <w:rFonts w:ascii="Calibri" w:hAnsi="Calibri"/>
          <w:sz w:val="22"/>
          <w:szCs w:val="22"/>
        </w:rPr>
        <w:t xml:space="preserve">odd. O vložka </w:t>
      </w:r>
      <w:r>
        <w:rPr>
          <w:rFonts w:ascii="Calibri" w:hAnsi="Calibri"/>
          <w:sz w:val="22"/>
          <w:szCs w:val="22"/>
        </w:rPr>
        <w:t>176,</w:t>
      </w:r>
    </w:p>
    <w:p w14:paraId="4337921F" w14:textId="77777777" w:rsidR="00316101" w:rsidRDefault="00316101" w:rsidP="00316101">
      <w:pPr>
        <w:tabs>
          <w:tab w:val="left" w:pos="426"/>
        </w:tabs>
        <w:ind w:left="426"/>
        <w:rPr>
          <w:rFonts w:ascii="Calibri" w:hAnsi="Calibri"/>
          <w:sz w:val="22"/>
          <w:szCs w:val="22"/>
        </w:rPr>
      </w:pPr>
      <w:r>
        <w:rPr>
          <w:rFonts w:ascii="Calibri" w:hAnsi="Calibri"/>
          <w:sz w:val="22"/>
          <w:szCs w:val="22"/>
        </w:rPr>
        <w:t>IČ: 27534804,</w:t>
      </w:r>
    </w:p>
    <w:p w14:paraId="45ED946A" w14:textId="77777777" w:rsidR="00316101" w:rsidRDefault="00316101" w:rsidP="00316101">
      <w:pPr>
        <w:tabs>
          <w:tab w:val="left" w:pos="426"/>
        </w:tabs>
        <w:ind w:left="426"/>
        <w:rPr>
          <w:rFonts w:ascii="Calibri" w:hAnsi="Calibri"/>
          <w:sz w:val="22"/>
          <w:szCs w:val="22"/>
        </w:rPr>
      </w:pPr>
      <w:r>
        <w:rPr>
          <w:rFonts w:ascii="Calibri" w:hAnsi="Calibri"/>
          <w:sz w:val="22"/>
          <w:szCs w:val="22"/>
        </w:rPr>
        <w:t>číslo bankovní účtu: 221077482/0300, Československá obchodní banka, a.s.</w:t>
      </w:r>
    </w:p>
    <w:p w14:paraId="46638897" w14:textId="6A15F325" w:rsidR="00316101" w:rsidRDefault="00316101" w:rsidP="00316101">
      <w:pPr>
        <w:tabs>
          <w:tab w:val="left" w:pos="426"/>
        </w:tabs>
        <w:ind w:left="426"/>
        <w:rPr>
          <w:rFonts w:ascii="Calibri" w:hAnsi="Calibri"/>
          <w:sz w:val="22"/>
          <w:szCs w:val="22"/>
        </w:rPr>
      </w:pPr>
      <w:r>
        <w:rPr>
          <w:rFonts w:ascii="Calibri" w:hAnsi="Calibri"/>
          <w:sz w:val="22"/>
          <w:szCs w:val="22"/>
        </w:rPr>
        <w:t xml:space="preserve">zastoupená:   Mgr. Jiřím Pitašem, ředitelem  </w:t>
      </w:r>
    </w:p>
    <w:p w14:paraId="792CB868" w14:textId="737BD9C6" w:rsidR="00EB5E74" w:rsidRPr="00BE0522" w:rsidRDefault="00316101" w:rsidP="00316101">
      <w:pPr>
        <w:tabs>
          <w:tab w:val="left" w:pos="426"/>
        </w:tabs>
        <w:ind w:left="426" w:hanging="426"/>
        <w:jc w:val="both"/>
        <w:rPr>
          <w:rFonts w:asciiTheme="minorHAnsi" w:hAnsiTheme="minorHAnsi"/>
          <w:i/>
          <w:sz w:val="22"/>
          <w:szCs w:val="22"/>
        </w:rPr>
      </w:pPr>
      <w:r>
        <w:rPr>
          <w:rFonts w:ascii="Calibri" w:hAnsi="Calibri"/>
          <w:i/>
          <w:sz w:val="22"/>
          <w:szCs w:val="22"/>
        </w:rPr>
        <w:tab/>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22BCB294" w14:textId="132FA3D8" w:rsidR="00B55968" w:rsidRDefault="00B55968" w:rsidP="00B55968">
      <w:pPr>
        <w:numPr>
          <w:ilvl w:val="0"/>
          <w:numId w:val="15"/>
        </w:numPr>
        <w:tabs>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 závazné rovněž Zásady pro poskytování dotací z rozpočtu statutárního města Pardubice přijatá Zastupitelstvem města Pardubic dne 1</w:t>
      </w:r>
      <w:r w:rsidR="00262A88">
        <w:rPr>
          <w:rFonts w:asciiTheme="minorHAnsi" w:hAnsiTheme="minorHAnsi"/>
          <w:sz w:val="22"/>
          <w:szCs w:val="22"/>
        </w:rPr>
        <w:t>6</w:t>
      </w:r>
      <w:r>
        <w:rPr>
          <w:rFonts w:asciiTheme="minorHAnsi" w:hAnsiTheme="minorHAnsi"/>
          <w:sz w:val="22"/>
          <w:szCs w:val="22"/>
        </w:rPr>
        <w:t>.12.202</w:t>
      </w:r>
      <w:r w:rsidR="00262A88">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usnesením č. Z/</w:t>
      </w:r>
      <w:r w:rsidR="00DC61A3" w:rsidRPr="00DC61A3">
        <w:rPr>
          <w:rFonts w:asciiTheme="minorHAnsi" w:hAnsiTheme="minorHAnsi"/>
          <w:sz w:val="22"/>
          <w:szCs w:val="22"/>
        </w:rPr>
        <w:t>2635</w:t>
      </w:r>
      <w:r>
        <w:rPr>
          <w:rFonts w:asciiTheme="minorHAnsi" w:hAnsiTheme="minorHAnsi"/>
          <w:sz w:val="22"/>
          <w:szCs w:val="22"/>
        </w:rPr>
        <w:t>/202</w:t>
      </w:r>
      <w:r w:rsidR="00262A88">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 xml:space="preserve">(Směrnice č. </w:t>
      </w:r>
      <w:r w:rsidR="00C77ABF" w:rsidRPr="00C77ABF">
        <w:rPr>
          <w:rFonts w:asciiTheme="minorHAnsi" w:hAnsiTheme="minorHAnsi"/>
          <w:sz w:val="22"/>
          <w:szCs w:val="22"/>
        </w:rPr>
        <w:t>11</w:t>
      </w:r>
      <w:r>
        <w:rPr>
          <w:rFonts w:asciiTheme="minorHAnsi" w:hAnsiTheme="minorHAnsi"/>
          <w:sz w:val="22"/>
          <w:szCs w:val="22"/>
        </w:rPr>
        <w:t>/202</w:t>
      </w:r>
      <w:r w:rsidR="00EE2942">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 dále jen „Zásady“). Zásady jsou zveřejněny na webových stránkách statutárního města Pardubice (</w:t>
      </w:r>
      <w:hyperlink r:id="rId12" w:history="1">
        <w:r>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4AF49196" w14:textId="36969859" w:rsidR="003E0AB6" w:rsidRPr="00A54C85" w:rsidRDefault="003E0AB6" w:rsidP="003E0AB6">
      <w:pPr>
        <w:jc w:val="both"/>
        <w:rPr>
          <w:rFonts w:asciiTheme="minorHAnsi" w:hAnsiTheme="minorHAnsi"/>
          <w:sz w:val="22"/>
          <w:szCs w:val="22"/>
        </w:rPr>
      </w:pPr>
      <w:r w:rsidRPr="00A54C85">
        <w:rPr>
          <w:rFonts w:asciiTheme="minorHAnsi" w:hAnsiTheme="minorHAnsi"/>
          <w:sz w:val="22"/>
          <w:szCs w:val="22"/>
        </w:rPr>
        <w:t xml:space="preserve">Touto smlouvou se poskytovatel zavazuje </w:t>
      </w:r>
      <w:r>
        <w:rPr>
          <w:rFonts w:asciiTheme="minorHAnsi" w:hAnsiTheme="minorHAnsi"/>
          <w:sz w:val="22"/>
          <w:szCs w:val="22"/>
        </w:rPr>
        <w:t>v souladu s uzavřenou Smlouvou o spolupráci schválenou</w:t>
      </w:r>
      <w:r w:rsidR="00725DEB">
        <w:rPr>
          <w:rFonts w:asciiTheme="minorHAnsi" w:hAnsiTheme="minorHAnsi"/>
          <w:sz w:val="22"/>
          <w:szCs w:val="22"/>
        </w:rPr>
        <w:t xml:space="preserve"> usnesením Zastupitelstva města Pardubice</w:t>
      </w:r>
      <w:r>
        <w:rPr>
          <w:rFonts w:asciiTheme="minorHAnsi" w:hAnsiTheme="minorHAnsi"/>
          <w:sz w:val="22"/>
          <w:szCs w:val="22"/>
        </w:rPr>
        <w:t xml:space="preserve"> dne </w:t>
      </w:r>
      <w:r w:rsidR="00262A88">
        <w:rPr>
          <w:rFonts w:asciiTheme="minorHAnsi" w:hAnsiTheme="minorHAnsi"/>
          <w:sz w:val="22"/>
          <w:szCs w:val="22"/>
        </w:rPr>
        <w:t>30</w:t>
      </w:r>
      <w:r>
        <w:rPr>
          <w:rFonts w:asciiTheme="minorHAnsi" w:hAnsiTheme="minorHAnsi"/>
          <w:sz w:val="22"/>
          <w:szCs w:val="22"/>
        </w:rPr>
        <w:t xml:space="preserve">.01.2017 pod č. Z/1514/2017 </w:t>
      </w:r>
      <w:r w:rsidRPr="00A54C85">
        <w:rPr>
          <w:rFonts w:asciiTheme="minorHAnsi" w:hAnsiTheme="minorHAnsi"/>
          <w:sz w:val="22"/>
          <w:szCs w:val="22"/>
        </w:rPr>
        <w:t xml:space="preserve">poskytnout příjemci při splnění sjednaných podmínek účelově určenou </w:t>
      </w:r>
      <w:r w:rsidR="00624713">
        <w:rPr>
          <w:rFonts w:asciiTheme="minorHAnsi" w:hAnsiTheme="minorHAnsi"/>
          <w:sz w:val="22"/>
          <w:szCs w:val="22"/>
        </w:rPr>
        <w:t xml:space="preserve">individuální </w:t>
      </w:r>
      <w:r w:rsidRPr="00A54C85">
        <w:rPr>
          <w:rFonts w:asciiTheme="minorHAnsi" w:hAnsiTheme="minorHAnsi"/>
          <w:sz w:val="22"/>
          <w:szCs w:val="22"/>
        </w:rPr>
        <w:t>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6" w14:textId="73F2F6D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 xml:space="preserve"> </w:t>
      </w:r>
    </w:p>
    <w:p w14:paraId="792CB877" w14:textId="6FFC5668" w:rsidR="000A0147" w:rsidRDefault="000A0147" w:rsidP="000A0147">
      <w:pPr>
        <w:jc w:val="both"/>
        <w:rPr>
          <w:rFonts w:asciiTheme="minorHAnsi" w:hAnsiTheme="minorHAnsi"/>
          <w:sz w:val="22"/>
          <w:szCs w:val="22"/>
        </w:rPr>
      </w:pPr>
    </w:p>
    <w:p w14:paraId="3E8BC48C" w14:textId="77777777" w:rsidR="00C77ABF" w:rsidRDefault="00C77ABF" w:rsidP="000A0147">
      <w:pPr>
        <w:jc w:val="both"/>
        <w:rPr>
          <w:rFonts w:asciiTheme="minorHAnsi" w:hAnsiTheme="minorHAnsi"/>
          <w:sz w:val="22"/>
          <w:szCs w:val="22"/>
        </w:rPr>
      </w:pPr>
    </w:p>
    <w:p w14:paraId="792CB879" w14:textId="5B8CFCB9" w:rsidR="000A0147" w:rsidRDefault="000A0147" w:rsidP="009E7CED">
      <w:pPr>
        <w:spacing w:after="200" w:line="276" w:lineRule="auto"/>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55D8A1F1" w14:textId="2542D769" w:rsidR="00284E90" w:rsidRPr="006A387B" w:rsidRDefault="00284E90" w:rsidP="00284E90">
      <w:pPr>
        <w:numPr>
          <w:ilvl w:val="0"/>
          <w:numId w:val="5"/>
        </w:numPr>
        <w:ind w:left="284" w:hanging="284"/>
        <w:jc w:val="both"/>
        <w:rPr>
          <w:rFonts w:asciiTheme="minorHAnsi" w:hAnsiTheme="minorHAnsi" w:cs="Calibri"/>
          <w:sz w:val="22"/>
          <w:szCs w:val="22"/>
        </w:rPr>
      </w:pPr>
      <w:r w:rsidRPr="00A14C50">
        <w:rPr>
          <w:rFonts w:ascii="Calibri" w:hAnsi="Calibri"/>
          <w:sz w:val="22"/>
          <w:szCs w:val="22"/>
        </w:rPr>
        <w:t xml:space="preserve">Poskytovatel touto smlouvou poskytuje příjemci </w:t>
      </w:r>
      <w:r>
        <w:rPr>
          <w:rFonts w:ascii="Calibri" w:hAnsi="Calibri"/>
          <w:sz w:val="22"/>
          <w:szCs w:val="22"/>
        </w:rPr>
        <w:t xml:space="preserve">individuální </w:t>
      </w:r>
      <w:r w:rsidRPr="00A14C50">
        <w:rPr>
          <w:rFonts w:ascii="Calibri" w:hAnsi="Calibri"/>
          <w:sz w:val="22"/>
          <w:szCs w:val="22"/>
        </w:rPr>
        <w:t xml:space="preserve">dotaci na období </w:t>
      </w:r>
      <w:r>
        <w:rPr>
          <w:rFonts w:ascii="Calibri" w:hAnsi="Calibri"/>
          <w:sz w:val="22"/>
          <w:szCs w:val="22"/>
        </w:rPr>
        <w:t>roku 2022</w:t>
      </w:r>
      <w:r w:rsidRPr="00A14C50">
        <w:rPr>
          <w:rFonts w:ascii="Calibri" w:hAnsi="Calibri"/>
          <w:sz w:val="22"/>
          <w:szCs w:val="22"/>
        </w:rPr>
        <w:t xml:space="preserve"> z rozpočtu města Pardubic v celkové výši </w:t>
      </w:r>
      <w:r>
        <w:rPr>
          <w:rFonts w:ascii="Calibri" w:hAnsi="Calibri"/>
          <w:b/>
          <w:sz w:val="22"/>
          <w:szCs w:val="22"/>
        </w:rPr>
        <w:t>1 026 000,00</w:t>
      </w:r>
      <w:r w:rsidRPr="00390188">
        <w:rPr>
          <w:rFonts w:ascii="Calibri" w:hAnsi="Calibri"/>
          <w:b/>
          <w:sz w:val="22"/>
          <w:szCs w:val="22"/>
        </w:rPr>
        <w:t xml:space="preserve"> Kč</w:t>
      </w:r>
      <w:r w:rsidRPr="00A14C50">
        <w:rPr>
          <w:rFonts w:ascii="Calibri" w:hAnsi="Calibri"/>
          <w:sz w:val="22"/>
          <w:szCs w:val="22"/>
        </w:rPr>
        <w:t xml:space="preserve"> (slovy: </w:t>
      </w:r>
      <w:r>
        <w:rPr>
          <w:rFonts w:ascii="Calibri" w:hAnsi="Calibri"/>
          <w:sz w:val="22"/>
          <w:szCs w:val="22"/>
        </w:rPr>
        <w:t xml:space="preserve">jeden milion dvacet šest tisíc </w:t>
      </w:r>
      <w:r w:rsidRPr="00A14C50">
        <w:rPr>
          <w:rFonts w:ascii="Calibri" w:hAnsi="Calibri"/>
          <w:sz w:val="22"/>
          <w:szCs w:val="22"/>
        </w:rPr>
        <w:t>korun českých</w:t>
      </w:r>
      <w:r>
        <w:rPr>
          <w:rFonts w:ascii="Calibri" w:hAnsi="Calibri"/>
          <w:sz w:val="22"/>
          <w:szCs w:val="22"/>
        </w:rPr>
        <w:t xml:space="preserve">) na komplex sociálních služeb </w:t>
      </w:r>
      <w:r w:rsidRPr="00A14C50">
        <w:rPr>
          <w:rFonts w:ascii="Calibri" w:hAnsi="Calibri"/>
          <w:sz w:val="22"/>
          <w:szCs w:val="22"/>
        </w:rPr>
        <w:t>poskytovan</w:t>
      </w:r>
      <w:r>
        <w:rPr>
          <w:rFonts w:ascii="Calibri" w:hAnsi="Calibri"/>
          <w:sz w:val="22"/>
          <w:szCs w:val="22"/>
        </w:rPr>
        <w:t>ých</w:t>
      </w:r>
      <w:r w:rsidRPr="00A14C50">
        <w:rPr>
          <w:rFonts w:ascii="Calibri" w:hAnsi="Calibri"/>
          <w:sz w:val="22"/>
          <w:szCs w:val="22"/>
        </w:rPr>
        <w:t xml:space="preserve"> v objektu Městského azylového domu </w:t>
      </w:r>
      <w:r>
        <w:rPr>
          <w:rFonts w:ascii="Calibri" w:hAnsi="Calibri"/>
          <w:sz w:val="22"/>
          <w:szCs w:val="22"/>
        </w:rPr>
        <w:t>pro ženy a matky s dětmi čp. 803</w:t>
      </w:r>
      <w:r w:rsidRPr="00A14C50">
        <w:rPr>
          <w:rFonts w:ascii="Calibri" w:hAnsi="Calibri"/>
          <w:sz w:val="22"/>
          <w:szCs w:val="22"/>
        </w:rPr>
        <w:t xml:space="preserve"> v ulici Na Spravedlnosti v Pardubicích. </w:t>
      </w:r>
      <w:r>
        <w:rPr>
          <w:rFonts w:ascii="Calibri" w:hAnsi="Calibri"/>
          <w:sz w:val="22"/>
          <w:szCs w:val="22"/>
        </w:rPr>
        <w:t>Jedná se o registrované sociální služby (projekty)</w:t>
      </w:r>
      <w:r w:rsidRPr="00A14C50">
        <w:rPr>
          <w:rFonts w:ascii="Calibri" w:hAnsi="Calibri"/>
          <w:sz w:val="22"/>
          <w:szCs w:val="22"/>
        </w:rPr>
        <w:t>: azylový dům, noclehárna a krizová pomoc</w:t>
      </w:r>
      <w:r>
        <w:rPr>
          <w:rFonts w:ascii="Calibri" w:hAnsi="Calibri"/>
          <w:sz w:val="22"/>
          <w:szCs w:val="22"/>
        </w:rPr>
        <w:t xml:space="preserve">, jež jsou podrobně specifikovány ve Smlouvě o spolupráci </w:t>
      </w:r>
      <w:r w:rsidRPr="006A387B">
        <w:rPr>
          <w:rFonts w:ascii="Calibri" w:hAnsi="Calibri"/>
          <w:sz w:val="22"/>
          <w:szCs w:val="22"/>
        </w:rPr>
        <w:t>ze dne 30.1.2017. Částky na jednotlivé sociální služby jsou konkretizovány v rozpočtech, které jsou nedílnou částí této smlouvy.</w:t>
      </w:r>
    </w:p>
    <w:p w14:paraId="278EEA18" w14:textId="77777777" w:rsidR="005751AD" w:rsidRDefault="005751AD" w:rsidP="005751AD">
      <w:pPr>
        <w:ind w:left="284"/>
        <w:jc w:val="both"/>
        <w:rPr>
          <w:rFonts w:ascii="Calibri" w:hAnsi="Calibri"/>
          <w:sz w:val="22"/>
          <w:szCs w:val="22"/>
        </w:rPr>
      </w:pPr>
    </w:p>
    <w:p w14:paraId="7120F2A7" w14:textId="25A73110" w:rsidR="00E86361" w:rsidRPr="00A7760F" w:rsidRDefault="005751AD" w:rsidP="00702EDD">
      <w:pPr>
        <w:numPr>
          <w:ilvl w:val="0"/>
          <w:numId w:val="5"/>
        </w:numPr>
        <w:ind w:left="284" w:hanging="284"/>
        <w:jc w:val="both"/>
        <w:rPr>
          <w:rFonts w:asciiTheme="minorHAnsi" w:hAnsiTheme="minorHAnsi"/>
          <w:sz w:val="22"/>
          <w:szCs w:val="22"/>
        </w:rPr>
      </w:pPr>
      <w:r w:rsidRPr="00A7760F">
        <w:rPr>
          <w:rFonts w:ascii="Calibri" w:hAnsi="Calibri"/>
          <w:sz w:val="22"/>
          <w:szCs w:val="22"/>
        </w:rPr>
        <w:t xml:space="preserve">Poskytovatel poukáže dotaci příjemci jednorázově, </w:t>
      </w:r>
      <w:r w:rsidR="00A7760F">
        <w:rPr>
          <w:rFonts w:asciiTheme="minorHAnsi" w:hAnsiTheme="minorHAnsi"/>
          <w:sz w:val="22"/>
          <w:szCs w:val="22"/>
        </w:rPr>
        <w:t>nejpozději do 60 dnů ode dne nabytí účinnosti této smlouvy</w:t>
      </w:r>
      <w:r w:rsidR="007C312E">
        <w:rPr>
          <w:rFonts w:asciiTheme="minorHAnsi" w:hAnsiTheme="minorHAnsi"/>
          <w:sz w:val="22"/>
          <w:szCs w:val="22"/>
        </w:rPr>
        <w:t>, a to bankovním převodem na účet příjemce uvedený v záhlaví smlouvy.</w:t>
      </w: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3B5D747C"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3200B9">
        <w:rPr>
          <w:rFonts w:asciiTheme="minorHAnsi" w:hAnsiTheme="minorHAnsi"/>
          <w:sz w:val="22"/>
          <w:szCs w:val="22"/>
        </w:rPr>
        <w:t>31.12.20</w:t>
      </w:r>
      <w:r w:rsidR="005C24CC">
        <w:rPr>
          <w:rFonts w:asciiTheme="minorHAnsi" w:hAnsiTheme="minorHAnsi"/>
          <w:sz w:val="22"/>
          <w:szCs w:val="22"/>
        </w:rPr>
        <w:t>2</w:t>
      </w:r>
      <w:r w:rsidR="00262A88">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602A888D"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Zásadách a obecně závaznými právními předpisy,</w:t>
      </w:r>
    </w:p>
    <w:p w14:paraId="792CB88C" w14:textId="4C82989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786472">
        <w:rPr>
          <w:rFonts w:asciiTheme="minorHAnsi" w:hAnsiTheme="minorHAnsi"/>
          <w:sz w:val="22"/>
          <w:szCs w:val="22"/>
        </w:rPr>
        <w:t>30</w:t>
      </w:r>
      <w:r w:rsidR="00F5796A" w:rsidRPr="00F5796A">
        <w:rPr>
          <w:rFonts w:asciiTheme="minorHAnsi" w:hAnsiTheme="minorHAnsi"/>
          <w:sz w:val="22"/>
          <w:szCs w:val="22"/>
        </w:rPr>
        <w:t>.1</w:t>
      </w:r>
      <w:r w:rsidR="00786472">
        <w:rPr>
          <w:rFonts w:asciiTheme="minorHAnsi" w:hAnsiTheme="minorHAnsi"/>
          <w:sz w:val="22"/>
          <w:szCs w:val="22"/>
        </w:rPr>
        <w:t>1</w:t>
      </w:r>
      <w:r w:rsidR="00F5796A" w:rsidRPr="00F5796A">
        <w:rPr>
          <w:rFonts w:asciiTheme="minorHAnsi" w:hAnsiTheme="minorHAnsi"/>
          <w:sz w:val="22"/>
          <w:szCs w:val="22"/>
        </w:rPr>
        <w:t>.20</w:t>
      </w:r>
      <w:r w:rsidR="00491C58">
        <w:rPr>
          <w:rFonts w:asciiTheme="minorHAnsi" w:hAnsiTheme="minorHAnsi"/>
          <w:sz w:val="22"/>
          <w:szCs w:val="22"/>
        </w:rPr>
        <w:t>2</w:t>
      </w:r>
      <w:r w:rsidR="00786472">
        <w:rPr>
          <w:rFonts w:asciiTheme="minorHAnsi" w:hAnsiTheme="minorHAnsi"/>
          <w:sz w:val="22"/>
          <w:szCs w:val="22"/>
        </w:rPr>
        <w:t>1</w:t>
      </w:r>
      <w:r w:rsidR="00F5796A" w:rsidRPr="00F5796A">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 xml:space="preserve">MmP </w:t>
      </w:r>
      <w:r w:rsidR="00786472">
        <w:rPr>
          <w:rFonts w:asciiTheme="minorHAnsi" w:hAnsiTheme="minorHAnsi"/>
          <w:sz w:val="22"/>
          <w:szCs w:val="22"/>
        </w:rPr>
        <w:t>125</w:t>
      </w:r>
      <w:r w:rsidR="00284E90">
        <w:rPr>
          <w:rFonts w:asciiTheme="minorHAnsi" w:hAnsiTheme="minorHAnsi"/>
          <w:sz w:val="22"/>
          <w:szCs w:val="22"/>
        </w:rPr>
        <w:t>370</w:t>
      </w:r>
      <w:r w:rsidR="00F5796A">
        <w:rPr>
          <w:rFonts w:asciiTheme="minorHAnsi" w:hAnsiTheme="minorHAnsi"/>
          <w:sz w:val="22"/>
          <w:szCs w:val="22"/>
        </w:rPr>
        <w:t>/20</w:t>
      </w:r>
      <w:r w:rsidR="00491C58">
        <w:rPr>
          <w:rFonts w:asciiTheme="minorHAnsi" w:hAnsiTheme="minorHAnsi"/>
          <w:sz w:val="22"/>
          <w:szCs w:val="22"/>
        </w:rPr>
        <w:t>2</w:t>
      </w:r>
      <w:r w:rsidR="00786472">
        <w:rPr>
          <w:rFonts w:asciiTheme="minorHAnsi" w:hAnsiTheme="minorHAnsi"/>
          <w:sz w:val="22"/>
          <w:szCs w:val="22"/>
        </w:rPr>
        <w:t>1</w:t>
      </w:r>
      <w:r w:rsidRPr="0077759E">
        <w:rPr>
          <w:rFonts w:asciiTheme="minorHAnsi" w:hAnsiTheme="minorHAnsi"/>
          <w:sz w:val="22"/>
          <w:szCs w:val="22"/>
        </w:rPr>
        <w:t xml:space="preserve">, </w:t>
      </w:r>
    </w:p>
    <w:p w14:paraId="792CB88D" w14:textId="7A260864" w:rsidR="000A0147" w:rsidRPr="0077759E" w:rsidRDefault="0053420A" w:rsidP="000A0147">
      <w:pPr>
        <w:pStyle w:val="Odstavecseseznamem"/>
        <w:numPr>
          <w:ilvl w:val="0"/>
          <w:numId w:val="8"/>
        </w:numPr>
        <w:jc w:val="both"/>
        <w:rPr>
          <w:rFonts w:asciiTheme="minorHAnsi" w:hAnsiTheme="minorHAnsi"/>
          <w:sz w:val="22"/>
          <w:szCs w:val="22"/>
        </w:rPr>
      </w:pPr>
      <w:r>
        <w:rPr>
          <w:rFonts w:asciiTheme="minorHAnsi" w:hAnsiTheme="minorHAnsi"/>
          <w:sz w:val="22"/>
          <w:szCs w:val="22"/>
        </w:rPr>
        <w:t>řádně vyúčtovat dotaci na položky stanovené v</w:t>
      </w:r>
      <w:r w:rsidR="001605A9">
        <w:rPr>
          <w:rFonts w:asciiTheme="minorHAnsi" w:hAnsiTheme="minorHAnsi"/>
          <w:sz w:val="22"/>
          <w:szCs w:val="22"/>
        </w:rPr>
        <w:t> </w:t>
      </w:r>
      <w:r>
        <w:rPr>
          <w:rFonts w:asciiTheme="minorHAnsi" w:hAnsiTheme="minorHAnsi"/>
          <w:sz w:val="22"/>
          <w:szCs w:val="22"/>
        </w:rPr>
        <w:t>rozpočt</w:t>
      </w:r>
      <w:r w:rsidR="001605A9">
        <w:rPr>
          <w:rFonts w:asciiTheme="minorHAnsi" w:hAnsiTheme="minorHAnsi"/>
          <w:sz w:val="22"/>
          <w:szCs w:val="22"/>
        </w:rPr>
        <w:t>ech projektů</w:t>
      </w:r>
      <w:r>
        <w:rPr>
          <w:rFonts w:asciiTheme="minorHAnsi" w:hAnsiTheme="minorHAnsi"/>
          <w:sz w:val="22"/>
          <w:szCs w:val="22"/>
        </w:rPr>
        <w:t>, kter</w:t>
      </w:r>
      <w:r w:rsidR="001605A9">
        <w:rPr>
          <w:rFonts w:asciiTheme="minorHAnsi" w:hAnsiTheme="minorHAnsi"/>
          <w:sz w:val="22"/>
          <w:szCs w:val="22"/>
        </w:rPr>
        <w:t>é</w:t>
      </w:r>
      <w:r>
        <w:rPr>
          <w:rFonts w:asciiTheme="minorHAnsi" w:hAnsiTheme="minorHAnsi"/>
          <w:sz w:val="22"/>
          <w:szCs w:val="22"/>
        </w:rPr>
        <w:t xml:space="preserve"> j</w:t>
      </w:r>
      <w:r w:rsidR="001605A9">
        <w:rPr>
          <w:rFonts w:asciiTheme="minorHAnsi" w:hAnsiTheme="minorHAnsi"/>
          <w:sz w:val="22"/>
          <w:szCs w:val="22"/>
        </w:rPr>
        <w:t>sou</w:t>
      </w:r>
      <w:r>
        <w:rPr>
          <w:rFonts w:asciiTheme="minorHAnsi" w:hAnsiTheme="minorHAnsi"/>
          <w:sz w:val="22"/>
          <w:szCs w:val="22"/>
        </w:rPr>
        <w:t xml:space="preserve"> nedílnou součástí této smlouvy jako příloh</w:t>
      </w:r>
      <w:r w:rsidR="001605A9">
        <w:rPr>
          <w:rFonts w:asciiTheme="minorHAnsi" w:hAnsiTheme="minorHAnsi"/>
          <w:sz w:val="22"/>
          <w:szCs w:val="22"/>
        </w:rPr>
        <w:t>y</w:t>
      </w:r>
      <w:r>
        <w:rPr>
          <w:rFonts w:asciiTheme="minorHAnsi" w:hAnsiTheme="minorHAnsi"/>
          <w:sz w:val="22"/>
          <w:szCs w:val="22"/>
        </w:rPr>
        <w:t>,</w:t>
      </w:r>
    </w:p>
    <w:p w14:paraId="792CB88E" w14:textId="201CE894" w:rsidR="000A0147" w:rsidRPr="0077759E" w:rsidRDefault="0053420A" w:rsidP="0053420A">
      <w:pPr>
        <w:pStyle w:val="Odstavecseseznamem"/>
        <w:numPr>
          <w:ilvl w:val="0"/>
          <w:numId w:val="8"/>
        </w:numPr>
        <w:jc w:val="both"/>
        <w:rPr>
          <w:rFonts w:asciiTheme="minorHAnsi" w:hAnsiTheme="minorHAnsi"/>
          <w:sz w:val="22"/>
          <w:szCs w:val="22"/>
        </w:rPr>
      </w:pPr>
      <w:r w:rsidRPr="00C60C33">
        <w:rPr>
          <w:rFonts w:asciiTheme="minorHAnsi" w:hAnsiTheme="minorHAnsi"/>
          <w:sz w:val="22"/>
          <w:szCs w:val="22"/>
        </w:rPr>
        <w:t>vést ve svém účetnictví přehled o čerpání dotace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0A0147" w:rsidRPr="0077759E">
        <w:rPr>
          <w:rFonts w:asciiTheme="minorHAnsi" w:hAnsiTheme="minorHAnsi"/>
          <w:sz w:val="22"/>
          <w:szCs w:val="22"/>
        </w:rPr>
        <w:t xml:space="preserve"> </w:t>
      </w:r>
    </w:p>
    <w:p w14:paraId="792CB88F" w14:textId="17C4CA70" w:rsidR="000A0147" w:rsidRPr="00571C32"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5796A">
        <w:rPr>
          <w:rFonts w:ascii="Calibri" w:hAnsi="Calibri"/>
          <w:b/>
          <w:sz w:val="22"/>
          <w:szCs w:val="22"/>
        </w:rPr>
        <w:t xml:space="preserve">nejpozději </w:t>
      </w:r>
      <w:r w:rsidR="00F5796A">
        <w:rPr>
          <w:rFonts w:ascii="Calibri" w:hAnsi="Calibri"/>
          <w:b/>
          <w:sz w:val="22"/>
          <w:szCs w:val="22"/>
        </w:rPr>
        <w:t>do </w:t>
      </w:r>
      <w:r w:rsidR="00262A88">
        <w:rPr>
          <w:rFonts w:ascii="Calibri" w:hAnsi="Calibri"/>
          <w:b/>
          <w:sz w:val="22"/>
          <w:szCs w:val="22"/>
        </w:rPr>
        <w:t>6</w:t>
      </w:r>
      <w:r w:rsidR="00F5796A">
        <w:rPr>
          <w:rFonts w:ascii="Calibri" w:hAnsi="Calibri"/>
          <w:b/>
          <w:sz w:val="22"/>
          <w:szCs w:val="22"/>
        </w:rPr>
        <w:t>.1.202</w:t>
      </w:r>
      <w:r w:rsidR="00262A88">
        <w:rPr>
          <w:rFonts w:ascii="Calibri" w:hAnsi="Calibri"/>
          <w:b/>
          <w:sz w:val="22"/>
          <w:szCs w:val="22"/>
        </w:rPr>
        <w:t>3</w:t>
      </w:r>
      <w:r w:rsidRPr="00F5796A">
        <w:rPr>
          <w:rFonts w:ascii="Calibri" w:hAnsi="Calibri"/>
          <w:sz w:val="22"/>
          <w:szCs w:val="22"/>
        </w:rPr>
        <w:t xml:space="preserve"> </w:t>
      </w:r>
      <w:r w:rsidRPr="00571C32">
        <w:rPr>
          <w:rFonts w:ascii="Calibri" w:hAnsi="Calibri"/>
          <w:sz w:val="22"/>
          <w:szCs w:val="22"/>
        </w:rPr>
        <w:t xml:space="preserve">vyúčtování dotace </w:t>
      </w:r>
      <w:r w:rsidR="00C8663A">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F5796A">
        <w:rPr>
          <w:rFonts w:ascii="Calibri" w:hAnsi="Calibri"/>
          <w:sz w:val="22"/>
          <w:szCs w:val="22"/>
        </w:rPr>
        <w:t xml:space="preserve"> a všech požadovaných příloh,</w:t>
      </w:r>
    </w:p>
    <w:p w14:paraId="792CB890" w14:textId="65FA9C43"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 xml:space="preserve">e k dotaci viditelně a nesmazatelně </w:t>
      </w:r>
      <w:r w:rsidR="00F5796A">
        <w:rPr>
          <w:rFonts w:asciiTheme="minorHAnsi" w:hAnsiTheme="minorHAnsi"/>
          <w:sz w:val="22"/>
          <w:szCs w:val="22"/>
        </w:rPr>
        <w:t xml:space="preserve">a způsobem zaručujícím trvalost </w:t>
      </w:r>
      <w:r w:rsidRPr="0077759E">
        <w:rPr>
          <w:rFonts w:asciiTheme="minorHAnsi" w:hAnsiTheme="minorHAnsi"/>
          <w:sz w:val="22"/>
          <w:szCs w:val="22"/>
        </w:rPr>
        <w:t xml:space="preserve">označit textem, </w:t>
      </w:r>
      <w:r w:rsidR="00F5796A">
        <w:rPr>
          <w:rFonts w:asciiTheme="minorHAnsi" w:hAnsiTheme="minorHAnsi"/>
          <w:sz w:val="22"/>
          <w:szCs w:val="22"/>
        </w:rPr>
        <w:t>ze kterého bude jednoznačně zřejmé, že doklad byl hrazen z dotace poskyto</w:t>
      </w:r>
      <w:r w:rsidR="00874A9E">
        <w:rPr>
          <w:rFonts w:asciiTheme="minorHAnsi" w:hAnsiTheme="minorHAnsi"/>
          <w:sz w:val="22"/>
          <w:szCs w:val="22"/>
        </w:rPr>
        <w:t>v</w:t>
      </w:r>
      <w:r w:rsidR="00F5796A">
        <w:rPr>
          <w:rFonts w:asciiTheme="minorHAnsi" w:hAnsiTheme="minorHAnsi"/>
          <w:sz w:val="22"/>
          <w:szCs w:val="22"/>
        </w:rPr>
        <w:t>atele (např. uvedení nápisu: financováno</w:t>
      </w:r>
      <w:r w:rsidRPr="0077759E">
        <w:rPr>
          <w:rFonts w:asciiTheme="minorHAnsi" w:hAnsiTheme="minorHAnsi"/>
          <w:sz w:val="22"/>
          <w:szCs w:val="22"/>
        </w:rPr>
        <w:t xml:space="preserve"> </w:t>
      </w:r>
      <w:r w:rsidRPr="0077759E">
        <w:rPr>
          <w:rFonts w:asciiTheme="minorHAnsi" w:hAnsiTheme="minorHAnsi"/>
          <w:b/>
          <w:sz w:val="22"/>
          <w:szCs w:val="22"/>
        </w:rPr>
        <w:t>ze zdrojů statutárního města Pardubice</w:t>
      </w:r>
      <w:r w:rsidR="00F5796A">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792CB896" w14:textId="77777777" w:rsidR="000A0147" w:rsidRPr="00796217" w:rsidRDefault="000A0147" w:rsidP="000A014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0199174F" w14:textId="77777777" w:rsidR="00990FF5" w:rsidRDefault="00990FF5" w:rsidP="000A0147">
      <w:pPr>
        <w:jc w:val="both"/>
        <w:rPr>
          <w:rFonts w:asciiTheme="minorHAnsi" w:hAnsiTheme="minorHAnsi"/>
          <w:sz w:val="22"/>
          <w:szCs w:val="22"/>
          <w:u w:val="single"/>
        </w:rPr>
      </w:pPr>
    </w:p>
    <w:p w14:paraId="792CB89B"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792CB89D" w14:textId="77777777" w:rsidR="000A0147" w:rsidRPr="006301A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92CB89E" w14:textId="2AF2ADCA" w:rsidR="000A0147" w:rsidRPr="00571C32"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sidR="00990FF5">
        <w:rPr>
          <w:rFonts w:ascii="Calibri" w:hAnsi="Calibri"/>
          <w:sz w:val="22"/>
          <w:szCs w:val="22"/>
        </w:rPr>
        <w:t xml:space="preserve"> a nahlížet do veškeré účetní dokumentace v rozsahu nezbytném ke splnění účelu kontroly</w:t>
      </w:r>
      <w:r w:rsidR="000A0147" w:rsidRPr="00571C32">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77777777"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2" w14:textId="77777777" w:rsidR="000A0147" w:rsidRPr="00965418" w:rsidRDefault="000A0147" w:rsidP="000A0147">
      <w:pPr>
        <w:tabs>
          <w:tab w:val="left" w:pos="426"/>
        </w:tabs>
        <w:jc w:val="both"/>
        <w:rPr>
          <w:rFonts w:asciiTheme="minorHAnsi" w:hAnsiTheme="minorHAnsi"/>
          <w:sz w:val="22"/>
          <w:szCs w:val="22"/>
        </w:rPr>
      </w:pPr>
    </w:p>
    <w:p w14:paraId="792CB8A3"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3FFE38A6"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do </w:t>
      </w:r>
      <w:r w:rsidR="00F5796A">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4518E0D9"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F5796A">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69725F8"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0EC68821" w:rsidR="000A0147" w:rsidRDefault="000A0147" w:rsidP="000A0147">
      <w:pPr>
        <w:ind w:left="284" w:hanging="284"/>
        <w:jc w:val="both"/>
        <w:rPr>
          <w:rFonts w:asciiTheme="minorHAnsi" w:hAnsiTheme="minorHAnsi"/>
          <w:sz w:val="22"/>
          <w:szCs w:val="22"/>
        </w:rPr>
      </w:pPr>
    </w:p>
    <w:p w14:paraId="2489887B" w14:textId="77777777" w:rsidR="00A8774D" w:rsidRDefault="00A8774D"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3E0586BD" w:rsidR="000A0147"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750ED540" w14:textId="77777777" w:rsidR="007B4E26" w:rsidRPr="00515D12" w:rsidRDefault="007B4E26" w:rsidP="000A0147">
      <w:pPr>
        <w:jc w:val="center"/>
        <w:rPr>
          <w:rFonts w:asciiTheme="minorHAnsi" w:hAnsiTheme="minorHAnsi"/>
          <w:b/>
        </w:rPr>
      </w:pPr>
    </w:p>
    <w:p w14:paraId="792CB8B5" w14:textId="08C9BA87" w:rsidR="000A0147" w:rsidRPr="007B4E26" w:rsidRDefault="007B4E26" w:rsidP="00BF412E">
      <w:pPr>
        <w:pStyle w:val="Odstavecseseznamem"/>
        <w:numPr>
          <w:ilvl w:val="0"/>
          <w:numId w:val="10"/>
        </w:numPr>
        <w:jc w:val="both"/>
        <w:rPr>
          <w:rFonts w:asciiTheme="minorHAnsi" w:hAnsiTheme="minorHAnsi"/>
          <w:sz w:val="22"/>
          <w:szCs w:val="22"/>
        </w:rPr>
      </w:pPr>
      <w:r>
        <w:rPr>
          <w:rFonts w:asciiTheme="minorHAnsi" w:hAnsiTheme="minorHAnsi"/>
          <w:sz w:val="22"/>
          <w:szCs w:val="22"/>
        </w:rPr>
        <w:t xml:space="preserve">Dotaci lze použít pouze na úhradu způsobilých (uznatelných) nákladů příjemce spojených s realizací projektu při dodržení zásad hospodárnosti, účelnosti a efektivnosti vynaložených prostředků. </w:t>
      </w:r>
    </w:p>
    <w:p w14:paraId="792CB8B6" w14:textId="77777777" w:rsidR="000A0147" w:rsidRPr="00E52AC4" w:rsidRDefault="000A0147" w:rsidP="00BF412E">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61942158"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Zásadách</w:t>
      </w:r>
      <w:r w:rsidRPr="00E52AC4">
        <w:rPr>
          <w:rFonts w:asciiTheme="minorHAnsi" w:hAnsiTheme="minorHAnsi" w:cs="Tahoma"/>
          <w:sz w:val="22"/>
          <w:szCs w:val="22"/>
        </w:rPr>
        <w:t>,</w:t>
      </w:r>
    </w:p>
    <w:p w14:paraId="792CB8B9" w14:textId="52178C2A"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sidR="002F0FEA">
        <w:rPr>
          <w:rFonts w:asciiTheme="minorHAnsi" w:hAnsiTheme="minorHAnsi" w:cs="Tahoma"/>
          <w:sz w:val="22"/>
          <w:szCs w:val="22"/>
        </w:rPr>
        <w:t>,</w:t>
      </w:r>
    </w:p>
    <w:p w14:paraId="792CB8BA" w14:textId="4478D6E0" w:rsidR="000A0147"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p>
    <w:p w14:paraId="6AD8197A" w14:textId="5A01537F" w:rsidR="007B4E26" w:rsidRDefault="007B4E26"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w:t>
      </w:r>
      <w:r w:rsidR="00163963">
        <w:rPr>
          <w:rFonts w:asciiTheme="minorHAnsi" w:hAnsiTheme="minorHAnsi" w:cs="Tahoma"/>
          <w:sz w:val="22"/>
          <w:szCs w:val="22"/>
        </w:rPr>
        <w:t>ý</w:t>
      </w:r>
      <w:r>
        <w:rPr>
          <w:rFonts w:asciiTheme="minorHAnsi" w:hAnsiTheme="minorHAnsi" w:cs="Tahoma"/>
          <w:sz w:val="22"/>
          <w:szCs w:val="22"/>
        </w:rPr>
        <w:t xml:space="preserve"> (neuznateln</w:t>
      </w:r>
      <w:r w:rsidR="00163963">
        <w:rPr>
          <w:rFonts w:asciiTheme="minorHAnsi" w:hAnsiTheme="minorHAnsi" w:cs="Tahoma"/>
          <w:sz w:val="22"/>
          <w:szCs w:val="22"/>
        </w:rPr>
        <w:t>ý</w:t>
      </w:r>
      <w:r>
        <w:rPr>
          <w:rFonts w:asciiTheme="minorHAnsi" w:hAnsiTheme="minorHAnsi" w:cs="Tahoma"/>
          <w:sz w:val="22"/>
          <w:szCs w:val="22"/>
        </w:rPr>
        <w:t>) náklad uvedený v odst. 3 tohoto článku smlouvy.</w:t>
      </w:r>
    </w:p>
    <w:p w14:paraId="5837EA97" w14:textId="77777777" w:rsidR="007B4E26" w:rsidRPr="00E52AC4" w:rsidRDefault="007B4E26" w:rsidP="007B4E26">
      <w:pPr>
        <w:tabs>
          <w:tab w:val="left" w:pos="720"/>
        </w:tabs>
        <w:suppressAutoHyphens/>
        <w:spacing w:before="60"/>
        <w:ind w:left="720"/>
        <w:jc w:val="both"/>
        <w:rPr>
          <w:rFonts w:asciiTheme="minorHAnsi" w:hAnsiTheme="minorHAnsi" w:cs="Tahoma"/>
          <w:sz w:val="22"/>
          <w:szCs w:val="22"/>
        </w:rPr>
      </w:pPr>
    </w:p>
    <w:p w14:paraId="3BF36B3B" w14:textId="77777777" w:rsidR="00917732" w:rsidRDefault="00917732" w:rsidP="00917732">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046590E0" w14:textId="09EB98B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lastRenderedPageBreak/>
        <w:t>výdaj za zboží, činnosti, služby a nájem poskytovaný pro příjemce dotace fyzickou osobu, která je členem statutárního nebo kontrolního orgánu tohoto příjemce dotace,</w:t>
      </w:r>
    </w:p>
    <w:p w14:paraId="47739E11" w14:textId="7777777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výdaj za zboží, činnosti, služby a nájem poskytovaný pro příjemce dotace právnickou osobou, jejíž statutární zástupce či člen statutárního orgánu je současně statutárním zástupcem či členem statutárního nebo kontrolního orgánu příjemce dotace,</w:t>
      </w:r>
    </w:p>
    <w:p w14:paraId="3983D0F6" w14:textId="739B13E1" w:rsidR="00917732" w:rsidRPr="00D6430B" w:rsidRDefault="00917732" w:rsidP="00FE1ADB">
      <w:pPr>
        <w:pStyle w:val="Odstavecseseznamem"/>
        <w:numPr>
          <w:ilvl w:val="1"/>
          <w:numId w:val="10"/>
        </w:numPr>
        <w:jc w:val="both"/>
        <w:rPr>
          <w:rFonts w:asciiTheme="minorHAnsi" w:eastAsiaTheme="minorHAnsi" w:hAnsiTheme="minorHAnsi" w:cstheme="minorHAnsi"/>
          <w:sz w:val="22"/>
          <w:szCs w:val="22"/>
          <w:lang w:eastAsia="en-US"/>
        </w:rPr>
      </w:pPr>
      <w:r w:rsidRPr="00E10F5C">
        <w:rPr>
          <w:rFonts w:asciiTheme="minorHAnsi" w:hAnsiTheme="minorHAnsi" w:cstheme="minorHAnsi"/>
          <w:sz w:val="22"/>
          <w:szCs w:val="22"/>
        </w:rPr>
        <w:t>výdaje na pohoštění, dary, reprezentaci, leasing, splátky úvěrů, zápůjček a podobných finančních produktů, včetně příslušenství (úroky, úroky z prodlení a náklady spojené s jejím uplatněním), a dále veškeré plnění vzniklé v důsledku porušení povinnosti plnit svůj peněžní závazek (např. smluvní pokuty a penále),</w:t>
      </w:r>
      <w:r w:rsidRPr="00E10F5C">
        <w:rPr>
          <w:rFonts w:asciiTheme="minorHAnsi" w:hAnsiTheme="minorHAnsi"/>
          <w:sz w:val="22"/>
          <w:szCs w:val="22"/>
        </w:rPr>
        <w:t xml:space="preserve"> pojištění majetku, bankovní poplatky, správní a soudní poplatky, úhrady penále, srážek a dalších finančních postihů, DPH (pokud je příjemcem dotace plátce DPH). Do dotace nelze zahrnout položky uhrazené formou vzájemného zápočtu</w:t>
      </w:r>
      <w:r>
        <w:rPr>
          <w:rFonts w:asciiTheme="minorHAnsi" w:hAnsiTheme="minorHAnsi"/>
          <w:sz w:val="22"/>
          <w:szCs w:val="22"/>
        </w:rPr>
        <w:t>,</w:t>
      </w:r>
      <w:r w:rsidR="00D123F4">
        <w:rPr>
          <w:rFonts w:asciiTheme="minorHAnsi" w:hAnsiTheme="minorHAnsi"/>
          <w:sz w:val="22"/>
          <w:szCs w:val="22"/>
        </w:rPr>
        <w:t xml:space="preserve"> </w:t>
      </w:r>
    </w:p>
    <w:p w14:paraId="14AC5710" w14:textId="0C9FDA0D" w:rsidR="00D123F4" w:rsidRPr="00D123F4" w:rsidRDefault="00352A75" w:rsidP="00FE1ADB">
      <w:pPr>
        <w:pStyle w:val="Odstavecseseznamem"/>
        <w:numPr>
          <w:ilvl w:val="1"/>
          <w:numId w:val="10"/>
        </w:numPr>
        <w:jc w:val="both"/>
        <w:rPr>
          <w:rFonts w:asciiTheme="minorHAnsi" w:hAnsiTheme="minorHAnsi"/>
          <w:bCs/>
          <w:sz w:val="22"/>
          <w:szCs w:val="22"/>
        </w:rPr>
      </w:pPr>
      <w:r>
        <w:rPr>
          <w:rFonts w:asciiTheme="minorHAnsi" w:hAnsiTheme="minorHAnsi"/>
          <w:bCs/>
          <w:sz w:val="22"/>
          <w:szCs w:val="22"/>
        </w:rPr>
        <w:t>i</w:t>
      </w:r>
      <w:r w:rsidR="00D123F4" w:rsidRPr="00D123F4">
        <w:rPr>
          <w:rFonts w:asciiTheme="minorHAnsi" w:hAnsiTheme="minorHAnsi"/>
          <w:bCs/>
          <w:sz w:val="22"/>
          <w:szCs w:val="22"/>
        </w:rPr>
        <w:t xml:space="preserve">nvestiční výdaje, nebyla-li dotace schválena jako investiční. Pro účely poskytování dotací z rozpočtu statutárního města Pardubice se investičním výdajem rozumí: </w:t>
      </w:r>
    </w:p>
    <w:p w14:paraId="313EC60D" w14:textId="2253CCFE"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1. Pořízení dlouhodobého hmotného majetku – samostatné hmotné movité věci a soubory  </w:t>
      </w:r>
    </w:p>
    <w:p w14:paraId="1F67F3AB" w14:textId="77777777"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majetku, které jsou charakterizovány samostatným technicko-ekonomickým určením, u  </w:t>
      </w:r>
    </w:p>
    <w:p w14:paraId="7F21B9DF" w14:textId="4D751050"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kterých doba použitelnosti je delší než jeden rok a ocenění samostatné hmotné movit</w:t>
      </w:r>
      <w:r w:rsidR="00C15B94">
        <w:rPr>
          <w:rFonts w:asciiTheme="minorHAnsi" w:hAnsiTheme="minorHAnsi"/>
          <w:bCs/>
          <w:sz w:val="22"/>
          <w:szCs w:val="22"/>
        </w:rPr>
        <w:t>é</w:t>
      </w:r>
      <w:r>
        <w:rPr>
          <w:rFonts w:asciiTheme="minorHAnsi" w:hAnsiTheme="minorHAnsi"/>
          <w:bCs/>
          <w:sz w:val="22"/>
          <w:szCs w:val="22"/>
        </w:rPr>
        <w:t xml:space="preserve"> věci  </w:t>
      </w:r>
    </w:p>
    <w:p w14:paraId="7D8EFD5C"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nebo souboru majetku převyšuje částku 40.000,- Kč. Za dlouhodobý hmotný majetek se dále</w:t>
      </w:r>
    </w:p>
    <w:p w14:paraId="78F8E86A"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 </w:t>
      </w:r>
      <w:r>
        <w:rPr>
          <w:rFonts w:asciiTheme="minorHAnsi" w:hAnsiTheme="minorHAnsi"/>
          <w:bCs/>
          <w:sz w:val="22"/>
          <w:szCs w:val="22"/>
        </w:rPr>
        <w:t xml:space="preserve">            </w:t>
      </w:r>
      <w:r w:rsidRPr="00D123F4">
        <w:rPr>
          <w:rFonts w:asciiTheme="minorHAnsi" w:hAnsiTheme="minorHAnsi"/>
          <w:bCs/>
          <w:sz w:val="22"/>
          <w:szCs w:val="22"/>
        </w:rPr>
        <w:t xml:space="preserve">považuje technické zhodnocení staveb, jehož ocenění jedné položky převyšuje částku 40.000,- </w:t>
      </w:r>
      <w:r>
        <w:rPr>
          <w:rFonts w:asciiTheme="minorHAnsi" w:hAnsiTheme="minorHAnsi"/>
          <w:bCs/>
          <w:sz w:val="22"/>
          <w:szCs w:val="22"/>
        </w:rPr>
        <w:t xml:space="preserve">  </w:t>
      </w:r>
    </w:p>
    <w:p w14:paraId="16F66D91" w14:textId="6F4FAF3F" w:rsidR="00D123F4" w:rsidRP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Kč. </w:t>
      </w:r>
    </w:p>
    <w:p w14:paraId="5FB795B6" w14:textId="190EFCB9" w:rsidR="00CD4C6F"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2. P</w:t>
      </w:r>
      <w:r w:rsidR="00D123F4" w:rsidRPr="00CD4C6F">
        <w:rPr>
          <w:rFonts w:asciiTheme="minorHAnsi" w:hAnsiTheme="minorHAnsi"/>
          <w:bCs/>
          <w:sz w:val="22"/>
          <w:szCs w:val="22"/>
        </w:rPr>
        <w:t xml:space="preserve">ořízení dlouhodobého nehmotného majetku – nehmotné výsledky výzkumu a vývoje, </w:t>
      </w:r>
      <w:r w:rsidRPr="00CD4C6F">
        <w:rPr>
          <w:rFonts w:asciiTheme="minorHAnsi" w:hAnsiTheme="minorHAnsi"/>
          <w:bCs/>
          <w:sz w:val="22"/>
          <w:szCs w:val="22"/>
        </w:rPr>
        <w:t xml:space="preserve">  </w:t>
      </w:r>
    </w:p>
    <w:p w14:paraId="456F7324" w14:textId="65AC6D7E" w:rsidR="00CD4C6F" w:rsidRDefault="00CD4C6F" w:rsidP="00FE1ADB">
      <w:pPr>
        <w:pStyle w:val="Odstavecseseznamem"/>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Pr>
          <w:rFonts w:asciiTheme="minorHAnsi" w:hAnsiTheme="minorHAnsi"/>
          <w:bCs/>
          <w:sz w:val="22"/>
          <w:szCs w:val="22"/>
        </w:rPr>
        <w:t>software, databáze a oceniteln</w:t>
      </w:r>
      <w:r w:rsidR="00D8032F">
        <w:rPr>
          <w:rFonts w:asciiTheme="minorHAnsi" w:hAnsiTheme="minorHAnsi"/>
          <w:bCs/>
          <w:sz w:val="22"/>
          <w:szCs w:val="22"/>
        </w:rPr>
        <w:t>á</w:t>
      </w:r>
      <w:r w:rsidR="00D123F4">
        <w:rPr>
          <w:rFonts w:asciiTheme="minorHAnsi" w:hAnsiTheme="minorHAnsi"/>
          <w:bCs/>
          <w:sz w:val="22"/>
          <w:szCs w:val="22"/>
        </w:rPr>
        <w:t xml:space="preserve"> práva s dobou použitelnosti delší než jeden rok, u kterých </w:t>
      </w:r>
      <w:r>
        <w:rPr>
          <w:rFonts w:asciiTheme="minorHAnsi" w:hAnsiTheme="minorHAnsi"/>
          <w:bCs/>
          <w:sz w:val="22"/>
          <w:szCs w:val="22"/>
        </w:rPr>
        <w:t xml:space="preserve">   </w:t>
      </w:r>
    </w:p>
    <w:p w14:paraId="0A75666E" w14:textId="59E67BEE"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ocenění převyšuje částku 60.000,- Kč. Za dlouhodobý nehmotný majetek se dále považuje </w:t>
      </w:r>
      <w:r>
        <w:rPr>
          <w:rFonts w:asciiTheme="minorHAnsi" w:hAnsiTheme="minorHAnsi"/>
          <w:bCs/>
          <w:sz w:val="22"/>
          <w:szCs w:val="22"/>
        </w:rPr>
        <w:t xml:space="preserve">  </w:t>
      </w:r>
    </w:p>
    <w:p w14:paraId="18A50334" w14:textId="325DEAEC"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technické zhodnocení dlouhodobého nehmotného majetku, jehož ocenění převyšuje částku </w:t>
      </w:r>
      <w:r>
        <w:rPr>
          <w:rFonts w:asciiTheme="minorHAnsi" w:hAnsiTheme="minorHAnsi"/>
          <w:bCs/>
          <w:sz w:val="22"/>
          <w:szCs w:val="22"/>
        </w:rPr>
        <w:t xml:space="preserve">  </w:t>
      </w:r>
    </w:p>
    <w:p w14:paraId="30FA7F20" w14:textId="1A8C16DF" w:rsidR="00D6430B"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60.000,- Kč. </w:t>
      </w:r>
    </w:p>
    <w:p w14:paraId="10F43E98" w14:textId="77777777" w:rsidR="00917732" w:rsidRPr="009072AB" w:rsidRDefault="00917732" w:rsidP="00FE1ADB">
      <w:pPr>
        <w:pStyle w:val="Zkladntextodsazen2"/>
        <w:widowControl w:val="0"/>
        <w:numPr>
          <w:ilvl w:val="1"/>
          <w:numId w:val="10"/>
        </w:numPr>
        <w:spacing w:after="0" w:line="240" w:lineRule="auto"/>
        <w:jc w:val="both"/>
        <w:rPr>
          <w:rFonts w:asciiTheme="minorHAnsi" w:hAnsiTheme="minorHAnsi"/>
          <w:sz w:val="22"/>
          <w:szCs w:val="22"/>
        </w:rPr>
      </w:pPr>
      <w:r>
        <w:rPr>
          <w:rFonts w:asciiTheme="minorHAnsi" w:hAnsiTheme="minorHAnsi"/>
          <w:sz w:val="22"/>
          <w:szCs w:val="22"/>
        </w:rPr>
        <w:t>právní a ekonomické služby nad 10 % objemu rozpočtu z požadované dotace ze statutárního města na jednotlivý projekt.</w:t>
      </w:r>
    </w:p>
    <w:p w14:paraId="792CB8BB" w14:textId="5517FB39"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792CB8BC"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92CB8BD" w14:textId="1BE51D80" w:rsidR="000A0147"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39FEB99" w14:textId="30D03C3C" w:rsidR="00D2429E" w:rsidRDefault="00D2429E"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Poskytovatel je oprávněn v souladu se zákonem č. 320/2001 Sb., o finanční kontrole, ve znění pozdější předpisů, kontrolovat dodržování podmínek, za kterých je dotace poskytována. </w:t>
      </w:r>
    </w:p>
    <w:p w14:paraId="3FA38AD6" w14:textId="77777777" w:rsidR="00D2429E" w:rsidRDefault="00D2429E" w:rsidP="00D2429E">
      <w:pPr>
        <w:ind w:left="357"/>
        <w:jc w:val="both"/>
        <w:rPr>
          <w:rFonts w:asciiTheme="minorHAnsi" w:hAnsiTheme="minorHAnsi"/>
          <w:sz w:val="22"/>
          <w:szCs w:val="22"/>
        </w:rPr>
      </w:pPr>
    </w:p>
    <w:p w14:paraId="792CB8C1" w14:textId="2115064A"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r w:rsidR="00D2429E">
        <w:rPr>
          <w:rFonts w:asciiTheme="minorHAnsi" w:hAnsiTheme="minorHAnsi"/>
          <w:sz w:val="22"/>
          <w:szCs w:val="22"/>
        </w:rPr>
        <w:t xml:space="preserve"> Za neoprávněné použití peněžních prostředků se považuje také: </w:t>
      </w:r>
    </w:p>
    <w:p w14:paraId="3E9EF98F" w14:textId="643966D8"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porušení povinnosti, která souvisí s účelem, na který byly peněžní prostředky poskytnuty, stanovené právním předpisem, přímo použitelným předpisem Evropské unie a touto smlouvou, ke kterému došlo po připsání peněžních prostředků na účet příjemce, </w:t>
      </w:r>
    </w:p>
    <w:p w14:paraId="092B5017" w14:textId="40E32ED4"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B49B436" w14:textId="54C5BCA7" w:rsidR="00D2429E" w:rsidRP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neprokáže-li příjemce peněžních prostředků, jak byly tyto prostředky použity. </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B90D97B" w14:textId="77777777" w:rsidR="00D2429E" w:rsidRPr="00FA2CBA" w:rsidRDefault="00D2429E" w:rsidP="00D2429E">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w:t>
      </w:r>
      <w:r w:rsidRPr="00EA616B">
        <w:rPr>
          <w:rFonts w:asciiTheme="minorHAnsi" w:hAnsiTheme="minorHAnsi"/>
          <w:sz w:val="22"/>
          <w:szCs w:val="22"/>
        </w:rPr>
        <w:lastRenderedPageBreak/>
        <w:t xml:space="preserve">kázně nižší, než odpovídá výši neoprávněně použitých nebo zadržených peněžních prostředků. </w:t>
      </w:r>
      <w:r w:rsidRPr="00FA2CBA">
        <w:rPr>
          <w:rFonts w:asciiTheme="minorHAnsi" w:hAnsiTheme="minorHAnsi"/>
          <w:sz w:val="22"/>
          <w:szCs w:val="22"/>
        </w:rPr>
        <w:t xml:space="preserve">Za porušení méně závažné povinnosti ve smyslu ust. § </w:t>
      </w:r>
      <w:r>
        <w:rPr>
          <w:rFonts w:asciiTheme="minorHAnsi" w:hAnsiTheme="minorHAnsi"/>
          <w:sz w:val="22"/>
          <w:szCs w:val="22"/>
        </w:rPr>
        <w:t xml:space="preserve">10a odst. 6 </w:t>
      </w:r>
      <w:r w:rsidRPr="00FA2CBA">
        <w:rPr>
          <w:rFonts w:asciiTheme="minorHAnsi" w:hAnsiTheme="minorHAnsi"/>
          <w:sz w:val="22"/>
          <w:szCs w:val="22"/>
        </w:rPr>
        <w:t>zákona o rozpočtových pravidlech územních rozpočtů se považuje:</w:t>
      </w:r>
    </w:p>
    <w:p w14:paraId="7EF43486" w14:textId="77777777" w:rsidR="00D2429E" w:rsidRPr="00FA2CB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798FE7CC" w14:textId="77777777" w:rsidR="00D2429E" w:rsidRPr="00137E4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w:t>
      </w:r>
      <w:r w:rsidRPr="00137E4A">
        <w:t xml:space="preserve"> </w:t>
      </w:r>
    </w:p>
    <w:p w14:paraId="20BC6556" w14:textId="037D7DBF"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w:t>
      </w:r>
      <w:r w:rsidR="0033158B">
        <w:rPr>
          <w:rFonts w:ascii="Calibri" w:hAnsi="Calibri"/>
          <w:sz w:val="22"/>
          <w:szCs w:val="22"/>
        </w:rPr>
        <w:t>ené v čl. VI. odst. 1 písm. f)</w:t>
      </w:r>
      <w:r w:rsidRPr="00137E4A">
        <w:rPr>
          <w:rFonts w:ascii="Calibri" w:hAnsi="Calibri"/>
          <w:sz w:val="22"/>
          <w:szCs w:val="22"/>
        </w:rPr>
        <w:t xml:space="preserve"> této smlouvy; v tomto případě činí odvod za porušení rozpočtové kázně 10 % z poskytnuté dotace,</w:t>
      </w:r>
    </w:p>
    <w:p w14:paraId="76886131" w14:textId="0AC75CC3"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w:t>
      </w:r>
      <w:r w:rsidR="0033158B">
        <w:rPr>
          <w:rFonts w:ascii="Calibri" w:hAnsi="Calibri"/>
          <w:sz w:val="22"/>
          <w:szCs w:val="22"/>
        </w:rPr>
        <w:t>vedené v čl. VI. odst. 1 písm. l</w:t>
      </w:r>
      <w:r w:rsidRPr="00137E4A">
        <w:rPr>
          <w:rFonts w:ascii="Calibri" w:hAnsi="Calibri"/>
          <w:sz w:val="22"/>
          <w:szCs w:val="22"/>
        </w:rPr>
        <w:t>) této smlouvy; v tomto případě činí odvod za porušení rozpočtové kázně 10 % z poskytnuté dotace.</w:t>
      </w:r>
    </w:p>
    <w:p w14:paraId="792CB8C7" w14:textId="7EC5D2B6" w:rsidR="000A0147" w:rsidRPr="00FA2CBA" w:rsidRDefault="00571C32" w:rsidP="00D2429E">
      <w:pPr>
        <w:pStyle w:val="Odstavecseseznamem"/>
        <w:ind w:left="1077"/>
        <w:jc w:val="both"/>
        <w:rPr>
          <w:rFonts w:asciiTheme="minorHAnsi" w:hAnsiTheme="minorHAnsi"/>
          <w:sz w:val="22"/>
          <w:szCs w:val="22"/>
        </w:rPr>
      </w:pPr>
      <w:r w:rsidRPr="00FA2CBA">
        <w:rPr>
          <w:rFonts w:ascii="Calibri" w:hAnsi="Calibri"/>
          <w:sz w:val="22"/>
          <w:szCs w:val="22"/>
        </w:rPr>
        <w:t xml:space="preserve"> </w:t>
      </w:r>
      <w:r w:rsidR="000A0147" w:rsidRPr="00FA2CBA">
        <w:rPr>
          <w:rFonts w:ascii="Calibri" w:hAnsi="Calibri"/>
          <w:sz w:val="22"/>
          <w:szCs w:val="22"/>
        </w:rPr>
        <w:t xml:space="preserve"> </w:t>
      </w:r>
    </w:p>
    <w:p w14:paraId="792CB8C8" w14:textId="77777777" w:rsidR="000A0147" w:rsidRDefault="000A0147" w:rsidP="000A0147">
      <w:pPr>
        <w:ind w:left="357"/>
        <w:jc w:val="both"/>
        <w:rPr>
          <w:rFonts w:asciiTheme="minorHAnsi" w:hAnsiTheme="minorHAnsi"/>
          <w:sz w:val="22"/>
          <w:szCs w:val="22"/>
        </w:rPr>
      </w:pPr>
    </w:p>
    <w:p w14:paraId="792CB8C9" w14:textId="54E8F7E0"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zadržovaných prostředků za každý den prodlení ode dne porušení rozpočtové kázně, do dne jejich opětovného připsání na účet poskytovatele, nejvýše však do výše částky zadržených prostředků.</w:t>
      </w:r>
    </w:p>
    <w:p w14:paraId="71D9BB92" w14:textId="77777777" w:rsidR="009121C2" w:rsidRDefault="009121C2" w:rsidP="009121C2">
      <w:pPr>
        <w:ind w:left="357"/>
        <w:jc w:val="both"/>
        <w:rPr>
          <w:rFonts w:asciiTheme="minorHAnsi" w:hAnsiTheme="minorHAnsi"/>
          <w:sz w:val="22"/>
          <w:szCs w:val="22"/>
        </w:rPr>
      </w:pPr>
    </w:p>
    <w:p w14:paraId="0DBBBE30" w14:textId="27BCD3F8" w:rsidR="009121C2" w:rsidRPr="00AE6546" w:rsidRDefault="009121C2"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 xml:space="preserve">V ostatních případech neoprávněného použití dotace nebo její části je příjemce povinen poskytnutou dotaci, případně její část, k níž se neoprávněné použití vztahuje, vrátit na účet poskytovatele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denně z neoprávněně použitých prostředků, nejvýše však do výše částky neoprávněně použitých prostředků. Prostředky se považují za neoprávněně použité počínajíce dnem, kdy byly použity v rozporu s touto smlouvou.</w:t>
      </w:r>
    </w:p>
    <w:p w14:paraId="792CB8CA" w14:textId="77777777" w:rsidR="000A0147" w:rsidRPr="00AE6546" w:rsidRDefault="000A0147" w:rsidP="000A0147">
      <w:pPr>
        <w:jc w:val="both"/>
        <w:rPr>
          <w:rFonts w:asciiTheme="minorHAnsi" w:hAnsiTheme="minorHAnsi"/>
          <w:sz w:val="22"/>
          <w:szCs w:val="22"/>
        </w:rPr>
      </w:pPr>
    </w:p>
    <w:p w14:paraId="792CB8CD" w14:textId="2280D500" w:rsidR="00FA2CBA" w:rsidRDefault="00FA2CBA" w:rsidP="009376FD">
      <w:pPr>
        <w:keepLines/>
        <w:jc w:val="both"/>
        <w:rPr>
          <w:rFonts w:asciiTheme="minorHAnsi" w:hAnsiTheme="minorHAnsi"/>
          <w:sz w:val="22"/>
          <w:szCs w:val="22"/>
        </w:rPr>
      </w:pPr>
    </w:p>
    <w:p w14:paraId="792CB8CE"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F34EC26" w14:textId="77777777" w:rsidR="00D56228" w:rsidRPr="00C64B35" w:rsidRDefault="00D56228" w:rsidP="00D56228">
      <w:pPr>
        <w:ind w:left="426" w:hanging="426"/>
        <w:rPr>
          <w:rFonts w:asciiTheme="minorHAnsi" w:hAnsiTheme="minorHAnsi"/>
          <w:sz w:val="22"/>
          <w:szCs w:val="22"/>
        </w:rPr>
      </w:pPr>
    </w:p>
    <w:p w14:paraId="04F5C659" w14:textId="1D13928E" w:rsidR="00EC53C3" w:rsidRPr="00D56228" w:rsidRDefault="00EC53C3" w:rsidP="00F1525E">
      <w:pPr>
        <w:pStyle w:val="Odstavecseseznamem"/>
        <w:numPr>
          <w:ilvl w:val="0"/>
          <w:numId w:val="14"/>
        </w:numPr>
        <w:tabs>
          <w:tab w:val="clear" w:pos="720"/>
          <w:tab w:val="num" w:pos="426"/>
        </w:tabs>
        <w:ind w:left="426"/>
        <w:jc w:val="both"/>
        <w:rPr>
          <w:rFonts w:ascii="Calibri" w:eastAsia="Calibri" w:hAnsi="Calibri" w:cs="Arial"/>
          <w:sz w:val="22"/>
          <w:szCs w:val="22"/>
          <w:lang w:eastAsia="en-US"/>
        </w:rPr>
      </w:pPr>
      <w:r w:rsidRPr="00D56228">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63C6E500" w14:textId="77777777" w:rsidR="00EC53C3" w:rsidRPr="0089260F" w:rsidRDefault="00EC53C3" w:rsidP="00EC53C3">
      <w:pPr>
        <w:jc w:val="both"/>
        <w:rPr>
          <w:rFonts w:ascii="Calibri" w:eastAsia="Calibri" w:hAnsi="Calibri" w:cs="Arial"/>
          <w:sz w:val="22"/>
          <w:szCs w:val="22"/>
          <w:lang w:eastAsia="en-US"/>
        </w:rPr>
      </w:pPr>
    </w:p>
    <w:p w14:paraId="604C1255" w14:textId="77777777" w:rsidR="00EC53C3" w:rsidRPr="008764D9" w:rsidRDefault="00EC53C3" w:rsidP="00F1525E">
      <w:pPr>
        <w:pStyle w:val="Odstavecseseznamem"/>
        <w:numPr>
          <w:ilvl w:val="0"/>
          <w:numId w:val="14"/>
        </w:numPr>
        <w:tabs>
          <w:tab w:val="clear" w:pos="720"/>
        </w:tabs>
        <w:ind w:left="426"/>
        <w:jc w:val="both"/>
        <w:rPr>
          <w:rFonts w:ascii="Calibri" w:eastAsia="Calibri" w:hAnsi="Calibri" w:cs="Arial"/>
          <w:sz w:val="22"/>
          <w:szCs w:val="22"/>
          <w:lang w:eastAsia="en-US"/>
        </w:rPr>
      </w:pPr>
      <w:r w:rsidRPr="008764D9">
        <w:rPr>
          <w:rFonts w:ascii="Calibri" w:hAnsi="Calibri"/>
          <w:sz w:val="22"/>
          <w:szCs w:val="22"/>
        </w:rPr>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727427BF" w14:textId="77777777" w:rsidR="00EC53C3" w:rsidRPr="002F0776" w:rsidRDefault="00EC53C3" w:rsidP="00EC53C3">
      <w:pPr>
        <w:jc w:val="both"/>
        <w:rPr>
          <w:rFonts w:ascii="Calibri" w:hAnsi="Calibri"/>
          <w:sz w:val="22"/>
          <w:szCs w:val="22"/>
        </w:rPr>
      </w:pPr>
    </w:p>
    <w:p w14:paraId="6D25BE13" w14:textId="77777777" w:rsidR="00EC53C3" w:rsidRPr="002F0776" w:rsidRDefault="00EC53C3" w:rsidP="00F1525E">
      <w:pPr>
        <w:numPr>
          <w:ilvl w:val="0"/>
          <w:numId w:val="14"/>
        </w:numPr>
        <w:tabs>
          <w:tab w:val="clear" w:pos="720"/>
        </w:tabs>
        <w:ind w:left="426"/>
        <w:jc w:val="both"/>
        <w:rPr>
          <w:rFonts w:ascii="Calibri" w:hAnsi="Calibri"/>
          <w:sz w:val="22"/>
          <w:szCs w:val="22"/>
        </w:rPr>
      </w:pPr>
      <w:r w:rsidRPr="002F0776">
        <w:rPr>
          <w:rFonts w:ascii="Calibri" w:hAnsi="Calibri"/>
          <w:sz w:val="22"/>
          <w:szCs w:val="22"/>
        </w:rPr>
        <w:t>Smluvní strany berou na vědomí, že nebude-li smlouva zveřejněna ani d</w:t>
      </w:r>
      <w:r>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BF9CA20" w14:textId="77777777" w:rsidR="00EC53C3" w:rsidRPr="002F0776" w:rsidRDefault="00EC53C3" w:rsidP="00EC53C3">
      <w:pPr>
        <w:jc w:val="both"/>
        <w:rPr>
          <w:rFonts w:ascii="Calibri" w:hAnsi="Calibri"/>
          <w:sz w:val="22"/>
          <w:szCs w:val="22"/>
        </w:rPr>
      </w:pPr>
    </w:p>
    <w:p w14:paraId="18CC04C5" w14:textId="19792173" w:rsidR="00EC53C3" w:rsidRPr="002C75C5" w:rsidRDefault="00EC53C3" w:rsidP="00F1525E">
      <w:pPr>
        <w:numPr>
          <w:ilvl w:val="0"/>
          <w:numId w:val="14"/>
        </w:numPr>
        <w:tabs>
          <w:tab w:val="clear" w:pos="720"/>
        </w:tabs>
        <w:ind w:left="426"/>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009912B6">
        <w:rPr>
          <w:rFonts w:ascii="Calibri" w:hAnsi="Calibri"/>
          <w:sz w:val="22"/>
          <w:szCs w:val="22"/>
        </w:rPr>
        <w:t>, ve znění pozdějších předpisů</w:t>
      </w:r>
      <w:r w:rsidRPr="002C75C5">
        <w:rPr>
          <w:rFonts w:ascii="Calibri" w:hAnsi="Calibri"/>
          <w:sz w:val="22"/>
          <w:szCs w:val="22"/>
        </w:rPr>
        <w:t>)</w:t>
      </w:r>
      <w:r w:rsidRPr="002C75C5">
        <w:rPr>
          <w:rFonts w:ascii="Calibri" w:hAnsi="Calibri" w:cs="Arial"/>
          <w:sz w:val="22"/>
          <w:szCs w:val="22"/>
        </w:rPr>
        <w:t>.</w:t>
      </w:r>
    </w:p>
    <w:p w14:paraId="65DFB68E" w14:textId="77777777" w:rsidR="00EC53C3" w:rsidRDefault="00EC53C3" w:rsidP="00EC53C3">
      <w:pPr>
        <w:pStyle w:val="Odstavecseseznamem"/>
        <w:rPr>
          <w:rFonts w:ascii="Calibri" w:hAnsi="Calibri"/>
          <w:sz w:val="22"/>
          <w:szCs w:val="22"/>
        </w:rPr>
      </w:pPr>
    </w:p>
    <w:p w14:paraId="526B603E" w14:textId="77777777" w:rsidR="00EC53C3" w:rsidRDefault="00EC53C3" w:rsidP="00F1525E">
      <w:pPr>
        <w:pStyle w:val="Odstavecseseznamem"/>
        <w:numPr>
          <w:ilvl w:val="0"/>
          <w:numId w:val="14"/>
        </w:numPr>
        <w:tabs>
          <w:tab w:val="clear" w:pos="720"/>
        </w:tabs>
        <w:ind w:left="426"/>
        <w:jc w:val="both"/>
        <w:rPr>
          <w:rFonts w:ascii="Calibri" w:hAnsi="Calibri"/>
          <w:sz w:val="22"/>
          <w:szCs w:val="22"/>
        </w:rPr>
      </w:pPr>
      <w:r w:rsidRPr="00A37F9F">
        <w:rPr>
          <w:rFonts w:ascii="Calibri" w:hAnsi="Calibri"/>
          <w:sz w:val="22"/>
          <w:szCs w:val="22"/>
        </w:rPr>
        <w:lastRenderedPageBreak/>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7C58119F" w14:textId="77777777" w:rsidR="00EC53C3" w:rsidRPr="00A37F9F" w:rsidRDefault="00EC53C3" w:rsidP="00EC53C3">
      <w:pPr>
        <w:pStyle w:val="Odstavecseseznamem"/>
        <w:rPr>
          <w:rFonts w:ascii="Calibri" w:hAnsi="Calibri"/>
          <w:sz w:val="22"/>
          <w:szCs w:val="22"/>
        </w:rPr>
      </w:pPr>
    </w:p>
    <w:p w14:paraId="59A8FE91" w14:textId="77777777" w:rsidR="00EC53C3" w:rsidRPr="00A37F9F" w:rsidRDefault="00EC53C3" w:rsidP="00F1525E">
      <w:pPr>
        <w:pStyle w:val="Odstavecseseznamem"/>
        <w:numPr>
          <w:ilvl w:val="0"/>
          <w:numId w:val="14"/>
        </w:numPr>
        <w:tabs>
          <w:tab w:val="clear" w:pos="720"/>
        </w:tabs>
        <w:ind w:left="426"/>
        <w:jc w:val="both"/>
        <w:rPr>
          <w:rFonts w:ascii="Calibri" w:hAnsi="Calibri"/>
          <w:sz w:val="22"/>
          <w:szCs w:val="22"/>
        </w:rPr>
      </w:pPr>
      <w:r w:rsidRPr="00A37F9F">
        <w:rPr>
          <w:rFonts w:ascii="Calibri" w:hAnsi="Calibri"/>
          <w:sz w:val="22"/>
          <w:szCs w:val="22"/>
        </w:rPr>
        <w:t xml:space="preserve"> 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43BB4D2D" w14:textId="77777777" w:rsidR="00EC53C3" w:rsidRPr="00C64B35" w:rsidRDefault="00EC53C3" w:rsidP="00BF412E">
      <w:pPr>
        <w:autoSpaceDE w:val="0"/>
        <w:autoSpaceDN w:val="0"/>
        <w:adjustRightInd w:val="0"/>
        <w:jc w:val="both"/>
        <w:rPr>
          <w:rFonts w:ascii="Arial" w:hAnsi="Arial" w:cs="Arial"/>
          <w:color w:val="000000"/>
          <w:sz w:val="22"/>
          <w:szCs w:val="22"/>
        </w:rPr>
      </w:pPr>
    </w:p>
    <w:p w14:paraId="038C9BD5" w14:textId="77777777" w:rsidR="00EC53C3" w:rsidRDefault="00EC53C3" w:rsidP="00F1525E">
      <w:pPr>
        <w:numPr>
          <w:ilvl w:val="0"/>
          <w:numId w:val="14"/>
        </w:numPr>
        <w:tabs>
          <w:tab w:val="clear" w:pos="720"/>
        </w:tabs>
        <w:autoSpaceDE w:val="0"/>
        <w:autoSpaceDN w:val="0"/>
        <w:adjustRightInd w:val="0"/>
        <w:ind w:left="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4442DDBF" w14:textId="77777777" w:rsidR="00EC53C3" w:rsidRDefault="00EC53C3" w:rsidP="00EC53C3">
      <w:pPr>
        <w:pStyle w:val="Odstavecseseznamem"/>
        <w:ind w:left="426" w:hanging="426"/>
        <w:rPr>
          <w:rFonts w:asciiTheme="minorHAnsi" w:hAnsiTheme="minorHAnsi" w:cs="Arial"/>
          <w:color w:val="000000"/>
          <w:sz w:val="22"/>
          <w:szCs w:val="22"/>
        </w:rPr>
      </w:pPr>
    </w:p>
    <w:p w14:paraId="5441B809" w14:textId="77777777" w:rsidR="00EC53C3" w:rsidRPr="003B2B91" w:rsidRDefault="00EC53C3" w:rsidP="00F1525E">
      <w:pPr>
        <w:numPr>
          <w:ilvl w:val="0"/>
          <w:numId w:val="14"/>
        </w:numPr>
        <w:tabs>
          <w:tab w:val="clear" w:pos="720"/>
        </w:tabs>
        <w:ind w:left="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783E0E54" w14:textId="77777777" w:rsidR="00EC53C3" w:rsidRPr="005A5D6E" w:rsidRDefault="00EC53C3" w:rsidP="00EC53C3">
      <w:pPr>
        <w:tabs>
          <w:tab w:val="num" w:pos="0"/>
        </w:tabs>
        <w:autoSpaceDE w:val="0"/>
        <w:autoSpaceDN w:val="0"/>
        <w:adjustRightInd w:val="0"/>
        <w:ind w:left="426" w:hanging="426"/>
        <w:jc w:val="both"/>
        <w:rPr>
          <w:rFonts w:asciiTheme="minorHAnsi" w:hAnsiTheme="minorHAnsi" w:cs="Arial"/>
          <w:color w:val="000000"/>
          <w:sz w:val="22"/>
          <w:szCs w:val="22"/>
        </w:rPr>
      </w:pPr>
    </w:p>
    <w:p w14:paraId="7FB89D47" w14:textId="77777777" w:rsidR="00EC53C3" w:rsidRPr="002C32E6" w:rsidRDefault="00EC53C3" w:rsidP="00F1525E">
      <w:pPr>
        <w:pStyle w:val="Odstavecseseznamem"/>
        <w:numPr>
          <w:ilvl w:val="0"/>
          <w:numId w:val="14"/>
        </w:numPr>
        <w:tabs>
          <w:tab w:val="clear" w:pos="720"/>
        </w:tabs>
        <w:ind w:left="426"/>
        <w:jc w:val="both"/>
        <w:rPr>
          <w:rFonts w:asciiTheme="minorHAnsi" w:hAnsiTheme="minorHAnsi"/>
          <w:sz w:val="22"/>
          <w:szCs w:val="22"/>
        </w:rPr>
      </w:pPr>
      <w:r w:rsidRPr="002C32E6">
        <w:rPr>
          <w:rFonts w:asciiTheme="minorHAnsi" w:hAnsiTheme="minorHAnsi"/>
          <w:sz w:val="22"/>
          <w:szCs w:val="22"/>
        </w:rPr>
        <w:t>Tato smlouva je vyhotovena ve dvou stejnopisech, z nichž každá ze smluvních stran obdrží po jednom vyhotovení</w:t>
      </w:r>
      <w:r>
        <w:rPr>
          <w:rFonts w:asciiTheme="minorHAnsi" w:hAnsiTheme="minorHAnsi"/>
          <w:sz w:val="22"/>
          <w:szCs w:val="22"/>
        </w:rPr>
        <w:t xml:space="preserve">. </w:t>
      </w:r>
    </w:p>
    <w:p w14:paraId="7D05967F" w14:textId="77777777" w:rsidR="00F1525E" w:rsidRDefault="00F1525E" w:rsidP="00F1525E">
      <w:pPr>
        <w:ind w:left="720"/>
        <w:jc w:val="both"/>
        <w:rPr>
          <w:rFonts w:asciiTheme="minorHAnsi" w:hAnsiTheme="minorHAnsi"/>
          <w:sz w:val="22"/>
          <w:szCs w:val="22"/>
        </w:rPr>
      </w:pPr>
    </w:p>
    <w:p w14:paraId="6FB91DE4" w14:textId="6265F8C5" w:rsidR="00372FC8" w:rsidRDefault="00EC53C3" w:rsidP="00F1525E">
      <w:pPr>
        <w:numPr>
          <w:ilvl w:val="0"/>
          <w:numId w:val="14"/>
        </w:numPr>
        <w:tabs>
          <w:tab w:val="clear" w:pos="720"/>
          <w:tab w:val="num" w:pos="426"/>
        </w:tabs>
        <w:ind w:left="426"/>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2BBCAB0A" w14:textId="77777777" w:rsidR="00372FC8" w:rsidRDefault="00372FC8" w:rsidP="00372FC8">
      <w:pPr>
        <w:pStyle w:val="Odstavecseseznamem"/>
        <w:rPr>
          <w:rFonts w:asciiTheme="minorHAnsi" w:hAnsiTheme="minorHAnsi"/>
          <w:sz w:val="22"/>
          <w:szCs w:val="22"/>
        </w:rPr>
      </w:pPr>
    </w:p>
    <w:p w14:paraId="7FFA782B" w14:textId="77777777" w:rsidR="00372FC8" w:rsidRDefault="00372FC8" w:rsidP="00372FC8">
      <w:pPr>
        <w:jc w:val="both"/>
        <w:rPr>
          <w:rFonts w:asciiTheme="minorHAnsi" w:hAnsiTheme="minorHAnsi"/>
          <w:sz w:val="22"/>
          <w:szCs w:val="22"/>
        </w:rPr>
      </w:pPr>
    </w:p>
    <w:p w14:paraId="46E10C25" w14:textId="3C57ABE8" w:rsidR="00372FC8" w:rsidRDefault="00372FC8" w:rsidP="00372FC8">
      <w:pPr>
        <w:jc w:val="both"/>
        <w:rPr>
          <w:rFonts w:asciiTheme="minorHAnsi" w:hAnsiTheme="minorHAnsi"/>
          <w:sz w:val="22"/>
          <w:szCs w:val="22"/>
        </w:rPr>
      </w:pPr>
      <w:r>
        <w:rPr>
          <w:rFonts w:asciiTheme="minorHAnsi" w:hAnsiTheme="minorHAnsi"/>
          <w:sz w:val="22"/>
          <w:szCs w:val="22"/>
        </w:rPr>
        <w:t xml:space="preserve">Přílohy: č. 1 - </w:t>
      </w:r>
      <w:r w:rsidR="00DB336C">
        <w:rPr>
          <w:rFonts w:asciiTheme="minorHAnsi" w:hAnsiTheme="minorHAnsi"/>
          <w:sz w:val="22"/>
          <w:szCs w:val="22"/>
        </w:rPr>
        <w:t>3</w:t>
      </w:r>
      <w:r>
        <w:rPr>
          <w:rFonts w:asciiTheme="minorHAnsi" w:hAnsiTheme="minorHAnsi"/>
          <w:sz w:val="22"/>
          <w:szCs w:val="22"/>
        </w:rPr>
        <w:t xml:space="preserve"> - Rozpoč</w:t>
      </w:r>
      <w:r w:rsidR="00352A75">
        <w:rPr>
          <w:rFonts w:asciiTheme="minorHAnsi" w:hAnsiTheme="minorHAnsi"/>
          <w:sz w:val="22"/>
          <w:szCs w:val="22"/>
        </w:rPr>
        <w:t>ty</w:t>
      </w:r>
      <w:r>
        <w:rPr>
          <w:rFonts w:asciiTheme="minorHAnsi" w:hAnsiTheme="minorHAnsi"/>
          <w:sz w:val="22"/>
          <w:szCs w:val="22"/>
        </w:rPr>
        <w:t xml:space="preserve"> uznatelných nákladů projektu na rok 202</w:t>
      </w:r>
      <w:r w:rsidR="00240F0C">
        <w:rPr>
          <w:rFonts w:asciiTheme="minorHAnsi" w:hAnsiTheme="minorHAnsi"/>
          <w:sz w:val="22"/>
          <w:szCs w:val="22"/>
        </w:rPr>
        <w:t>2</w:t>
      </w:r>
      <w:r>
        <w:rPr>
          <w:rFonts w:asciiTheme="minorHAnsi" w:hAnsiTheme="minorHAnsi"/>
          <w:sz w:val="22"/>
          <w:szCs w:val="22"/>
        </w:rPr>
        <w:t xml:space="preserve"> </w:t>
      </w:r>
    </w:p>
    <w:p w14:paraId="429BD177" w14:textId="77777777" w:rsidR="00372FC8" w:rsidRDefault="00372FC8" w:rsidP="00372FC8">
      <w:pPr>
        <w:jc w:val="both"/>
        <w:rPr>
          <w:rFonts w:asciiTheme="minorHAnsi" w:hAnsiTheme="minorHAnsi"/>
          <w:sz w:val="22"/>
          <w:szCs w:val="22"/>
        </w:rPr>
      </w:pPr>
    </w:p>
    <w:p w14:paraId="50F9AA0D" w14:textId="77777777" w:rsidR="00372FC8" w:rsidRDefault="00372FC8" w:rsidP="00372FC8">
      <w:pPr>
        <w:jc w:val="both"/>
        <w:rPr>
          <w:rFonts w:asciiTheme="minorHAnsi" w:hAnsiTheme="minorHAnsi"/>
          <w:sz w:val="22"/>
          <w:szCs w:val="22"/>
        </w:rPr>
      </w:pPr>
    </w:p>
    <w:p w14:paraId="14FDA258" w14:textId="77777777" w:rsidR="00372FC8" w:rsidRDefault="00372FC8" w:rsidP="00372FC8">
      <w:pPr>
        <w:jc w:val="both"/>
        <w:rPr>
          <w:rFonts w:asciiTheme="minorHAnsi" w:hAnsiTheme="minorHAnsi"/>
          <w:sz w:val="22"/>
          <w:szCs w:val="22"/>
        </w:rPr>
      </w:pPr>
    </w:p>
    <w:p w14:paraId="6149D9D7" w14:textId="77777777" w:rsidR="00372FC8" w:rsidRDefault="00372FC8" w:rsidP="00372FC8">
      <w:pPr>
        <w:jc w:val="both"/>
        <w:rPr>
          <w:rFonts w:asciiTheme="minorHAnsi" w:hAnsiTheme="minorHAnsi"/>
          <w:sz w:val="22"/>
          <w:szCs w:val="22"/>
        </w:rPr>
      </w:pPr>
      <w:r>
        <w:rPr>
          <w:rFonts w:asciiTheme="minorHAnsi" w:hAnsiTheme="minorHAnsi"/>
          <w:sz w:val="22"/>
          <w:szCs w:val="22"/>
        </w:rPr>
        <w:t xml:space="preserve">V Pardubicích dne: </w:t>
      </w:r>
    </w:p>
    <w:p w14:paraId="6936FF12" w14:textId="77777777" w:rsidR="00372FC8" w:rsidRDefault="00372FC8" w:rsidP="00372FC8">
      <w:pPr>
        <w:tabs>
          <w:tab w:val="left" w:pos="5040"/>
        </w:tabs>
        <w:jc w:val="both"/>
        <w:rPr>
          <w:rFonts w:asciiTheme="minorHAnsi" w:hAnsiTheme="minorHAnsi"/>
          <w:sz w:val="22"/>
          <w:szCs w:val="22"/>
        </w:rPr>
      </w:pPr>
    </w:p>
    <w:p w14:paraId="7DE439F1" w14:textId="77777777" w:rsidR="00372FC8" w:rsidRDefault="00372FC8" w:rsidP="00372FC8">
      <w:pPr>
        <w:tabs>
          <w:tab w:val="left" w:pos="5040"/>
        </w:tabs>
        <w:jc w:val="both"/>
        <w:rPr>
          <w:rFonts w:asciiTheme="minorHAnsi" w:hAnsiTheme="minorHAnsi"/>
          <w:sz w:val="22"/>
          <w:szCs w:val="22"/>
        </w:rPr>
      </w:pPr>
    </w:p>
    <w:p w14:paraId="378FBBAD" w14:textId="77777777" w:rsidR="00372FC8" w:rsidRDefault="00372FC8" w:rsidP="00372FC8">
      <w:pPr>
        <w:tabs>
          <w:tab w:val="left" w:pos="5040"/>
        </w:tabs>
        <w:jc w:val="both"/>
        <w:rPr>
          <w:rFonts w:asciiTheme="minorHAnsi" w:hAnsiTheme="minorHAnsi"/>
          <w:sz w:val="22"/>
          <w:szCs w:val="22"/>
        </w:rPr>
      </w:pPr>
    </w:p>
    <w:p w14:paraId="201FAFB2" w14:textId="77777777" w:rsidR="00372FC8" w:rsidRDefault="00372FC8" w:rsidP="00372FC8">
      <w:pPr>
        <w:tabs>
          <w:tab w:val="left" w:pos="5040"/>
        </w:tabs>
        <w:jc w:val="both"/>
        <w:rPr>
          <w:rFonts w:asciiTheme="minorHAnsi" w:hAnsiTheme="minorHAnsi"/>
          <w:sz w:val="22"/>
          <w:szCs w:val="22"/>
        </w:rPr>
      </w:pPr>
    </w:p>
    <w:p w14:paraId="7AA3FCF4" w14:textId="77777777" w:rsidR="00372FC8" w:rsidRDefault="00372FC8" w:rsidP="00372FC8">
      <w:pPr>
        <w:tabs>
          <w:tab w:val="left" w:pos="5040"/>
        </w:tabs>
        <w:jc w:val="both"/>
        <w:rPr>
          <w:rFonts w:asciiTheme="minorHAnsi" w:hAnsiTheme="minorHAnsi"/>
          <w:sz w:val="22"/>
          <w:szCs w:val="22"/>
        </w:rPr>
      </w:pPr>
      <w:r>
        <w:rPr>
          <w:rFonts w:asciiTheme="minorHAnsi" w:hAnsiTheme="minorHAnsi"/>
          <w:sz w:val="22"/>
          <w:szCs w:val="22"/>
        </w:rPr>
        <w:t>Za poskytovatele:</w:t>
      </w:r>
      <w:r>
        <w:rPr>
          <w:rFonts w:asciiTheme="minorHAnsi" w:hAnsiTheme="minorHAnsi"/>
          <w:sz w:val="22"/>
          <w:szCs w:val="22"/>
        </w:rPr>
        <w:tab/>
        <w:t>Za příjemce:</w:t>
      </w:r>
    </w:p>
    <w:p w14:paraId="002C0CD0" w14:textId="77777777" w:rsidR="00372FC8" w:rsidRDefault="00372FC8" w:rsidP="00372FC8">
      <w:pPr>
        <w:rPr>
          <w:rFonts w:asciiTheme="minorHAnsi" w:hAnsiTheme="minorHAnsi"/>
          <w:sz w:val="22"/>
          <w:szCs w:val="22"/>
        </w:rPr>
      </w:pPr>
    </w:p>
    <w:p w14:paraId="34F437E4" w14:textId="77777777" w:rsidR="00372FC8" w:rsidRDefault="00372FC8" w:rsidP="00372FC8">
      <w:pPr>
        <w:rPr>
          <w:rFonts w:asciiTheme="minorHAnsi" w:hAnsiTheme="minorHAnsi"/>
          <w:sz w:val="22"/>
          <w:szCs w:val="22"/>
        </w:rPr>
      </w:pPr>
    </w:p>
    <w:p w14:paraId="181105BE" w14:textId="77777777" w:rsidR="00372FC8" w:rsidRDefault="00372FC8" w:rsidP="00372FC8">
      <w:pPr>
        <w:rPr>
          <w:rFonts w:asciiTheme="minorHAnsi" w:hAnsiTheme="minorHAnsi"/>
          <w:sz w:val="22"/>
          <w:szCs w:val="22"/>
        </w:rPr>
      </w:pPr>
    </w:p>
    <w:p w14:paraId="6015F8B4" w14:textId="77777777" w:rsidR="00372FC8" w:rsidRDefault="00372FC8" w:rsidP="00372FC8">
      <w:pPr>
        <w:rPr>
          <w:rFonts w:asciiTheme="minorHAnsi" w:hAnsiTheme="minorHAnsi"/>
          <w:sz w:val="22"/>
          <w:szCs w:val="22"/>
        </w:rPr>
      </w:pPr>
    </w:p>
    <w:p w14:paraId="45F2F173" w14:textId="77777777" w:rsidR="00372FC8" w:rsidRDefault="00372FC8" w:rsidP="00372FC8">
      <w:pPr>
        <w:rPr>
          <w:rFonts w:asciiTheme="minorHAnsi" w:hAnsiTheme="minorHAnsi"/>
          <w:sz w:val="22"/>
          <w:szCs w:val="22"/>
        </w:rPr>
      </w:pPr>
    </w:p>
    <w:p w14:paraId="14259D60" w14:textId="77777777" w:rsidR="00372FC8" w:rsidRDefault="00372FC8" w:rsidP="00372FC8">
      <w:pPr>
        <w:rPr>
          <w:rFonts w:asciiTheme="minorHAnsi" w:hAnsiTheme="minorHAnsi"/>
          <w:sz w:val="22"/>
          <w:szCs w:val="22"/>
        </w:rPr>
      </w:pPr>
    </w:p>
    <w:p w14:paraId="02132221" w14:textId="77777777" w:rsidR="00372FC8" w:rsidRDefault="00372FC8" w:rsidP="00372FC8">
      <w:pPr>
        <w:tabs>
          <w:tab w:val="left" w:pos="5040"/>
        </w:tabs>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w:t>
      </w:r>
    </w:p>
    <w:p w14:paraId="3310EC95" w14:textId="77777777" w:rsidR="00372FC8" w:rsidRDefault="00372FC8" w:rsidP="00372FC8">
      <w:pPr>
        <w:tabs>
          <w:tab w:val="center" w:pos="1843"/>
          <w:tab w:val="center" w:pos="7088"/>
        </w:tabs>
        <w:rPr>
          <w:rFonts w:asciiTheme="minorHAnsi" w:hAnsiTheme="minorHAnsi"/>
          <w:sz w:val="22"/>
          <w:szCs w:val="22"/>
        </w:rPr>
      </w:pPr>
      <w:r>
        <w:rPr>
          <w:rFonts w:asciiTheme="minorHAnsi" w:hAnsiTheme="minorHAnsi"/>
          <w:sz w:val="22"/>
          <w:szCs w:val="22"/>
        </w:rPr>
        <w:tab/>
        <w:t>Mgr. Iva Bartošová</w:t>
      </w:r>
      <w:r>
        <w:rPr>
          <w:rFonts w:asciiTheme="minorHAnsi" w:hAnsiTheme="minorHAnsi"/>
          <w:sz w:val="22"/>
          <w:szCs w:val="22"/>
        </w:rPr>
        <w:tab/>
        <w:t xml:space="preserve">Mgr. Jiří Pitaš </w:t>
      </w:r>
    </w:p>
    <w:p w14:paraId="2B50EA7F" w14:textId="77777777" w:rsidR="00372FC8" w:rsidRDefault="00372FC8" w:rsidP="00372FC8">
      <w:pPr>
        <w:tabs>
          <w:tab w:val="center" w:pos="1985"/>
          <w:tab w:val="center" w:pos="7088"/>
        </w:tabs>
        <w:rPr>
          <w:rFonts w:asciiTheme="minorHAnsi" w:hAnsiTheme="minorHAnsi"/>
          <w:sz w:val="22"/>
          <w:szCs w:val="22"/>
        </w:rPr>
      </w:pPr>
    </w:p>
    <w:p w14:paraId="5A40D6DD" w14:textId="77777777" w:rsidR="00372FC8" w:rsidRDefault="00372FC8" w:rsidP="00372FC8">
      <w:pPr>
        <w:rPr>
          <w:rFonts w:asciiTheme="minorHAnsi" w:hAnsiTheme="minorHAnsi"/>
          <w:sz w:val="22"/>
          <w:szCs w:val="22"/>
        </w:rPr>
      </w:pPr>
    </w:p>
    <w:p w14:paraId="047FB621" w14:textId="77777777" w:rsidR="00372FC8" w:rsidRDefault="00372FC8" w:rsidP="00372FC8">
      <w:pPr>
        <w:rPr>
          <w:rFonts w:asciiTheme="minorHAnsi" w:hAnsiTheme="minorHAnsi"/>
          <w:sz w:val="22"/>
          <w:szCs w:val="22"/>
        </w:rPr>
      </w:pPr>
    </w:p>
    <w:p w14:paraId="327ABB4C" w14:textId="77777777" w:rsidR="00372FC8" w:rsidRDefault="00372FC8" w:rsidP="00372FC8">
      <w:pPr>
        <w:rPr>
          <w:rFonts w:asciiTheme="minorHAnsi" w:hAnsiTheme="minorHAnsi"/>
          <w:sz w:val="22"/>
          <w:szCs w:val="22"/>
        </w:rPr>
      </w:pPr>
    </w:p>
    <w:p w14:paraId="29702C00" w14:textId="77777777" w:rsidR="00372FC8" w:rsidRDefault="00372FC8" w:rsidP="00372FC8">
      <w:pPr>
        <w:rPr>
          <w:rFonts w:asciiTheme="minorHAnsi" w:hAnsiTheme="minorHAnsi"/>
          <w:sz w:val="22"/>
          <w:szCs w:val="22"/>
        </w:rPr>
      </w:pPr>
    </w:p>
    <w:p w14:paraId="4F54CA39" w14:textId="77777777" w:rsidR="00372FC8" w:rsidRDefault="00372FC8" w:rsidP="00372FC8">
      <w:pPr>
        <w:rPr>
          <w:rFonts w:asciiTheme="minorHAnsi" w:hAnsiTheme="minorHAnsi"/>
          <w:sz w:val="22"/>
          <w:szCs w:val="22"/>
        </w:rPr>
      </w:pPr>
    </w:p>
    <w:p w14:paraId="02DEDED4" w14:textId="6F6C529F" w:rsidR="00372FC8" w:rsidRDefault="00372FC8" w:rsidP="00372FC8">
      <w:pPr>
        <w:jc w:val="both"/>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              /202</w:t>
      </w:r>
      <w:r w:rsidR="00240F0C">
        <w:rPr>
          <w:rFonts w:asciiTheme="minorHAnsi" w:hAnsiTheme="minorHAnsi"/>
          <w:sz w:val="20"/>
          <w:szCs w:val="20"/>
        </w:rPr>
        <w:t>2</w:t>
      </w:r>
      <w:r>
        <w:rPr>
          <w:rFonts w:asciiTheme="minorHAnsi" w:hAnsiTheme="minorHAnsi"/>
          <w:sz w:val="20"/>
          <w:szCs w:val="20"/>
        </w:rPr>
        <w:t xml:space="preserve"> ze dne</w:t>
      </w:r>
      <w:r w:rsidR="00240F0C">
        <w:rPr>
          <w:rFonts w:asciiTheme="minorHAnsi" w:hAnsiTheme="minorHAnsi"/>
          <w:sz w:val="20"/>
          <w:szCs w:val="20"/>
        </w:rPr>
        <w:t xml:space="preserve"> </w:t>
      </w:r>
      <w:r w:rsidR="00C77ABF">
        <w:rPr>
          <w:rFonts w:asciiTheme="minorHAnsi" w:hAnsiTheme="minorHAnsi"/>
          <w:sz w:val="20"/>
          <w:szCs w:val="20"/>
        </w:rPr>
        <w:t>20.01.</w:t>
      </w:r>
      <w:r>
        <w:rPr>
          <w:rFonts w:asciiTheme="minorHAnsi" w:hAnsiTheme="minorHAnsi"/>
          <w:sz w:val="20"/>
          <w:szCs w:val="20"/>
        </w:rPr>
        <w:t>202</w:t>
      </w:r>
      <w:r w:rsidR="00240F0C">
        <w:rPr>
          <w:rFonts w:asciiTheme="minorHAnsi" w:hAnsiTheme="minorHAnsi"/>
          <w:sz w:val="20"/>
          <w:szCs w:val="20"/>
        </w:rPr>
        <w:t>2</w:t>
      </w:r>
      <w:r>
        <w:rPr>
          <w:rFonts w:asciiTheme="minorHAnsi" w:hAnsiTheme="minorHAnsi"/>
          <w:sz w:val="20"/>
          <w:szCs w:val="20"/>
        </w:rPr>
        <w:t xml:space="preserve"> </w:t>
      </w:r>
    </w:p>
    <w:p w14:paraId="3B1710A1" w14:textId="338EDB6A" w:rsidR="00372FC8" w:rsidRDefault="002D7223" w:rsidP="00372FC8">
      <w:pPr>
        <w:jc w:val="center"/>
        <w:rPr>
          <w:rFonts w:asciiTheme="minorHAnsi" w:hAnsiTheme="minorHAnsi"/>
          <w:sz w:val="20"/>
          <w:szCs w:val="20"/>
        </w:rPr>
      </w:pPr>
      <w:r>
        <w:rPr>
          <w:rFonts w:asciiTheme="minorHAnsi" w:hAnsiTheme="minorHAnsi"/>
          <w:sz w:val="20"/>
          <w:szCs w:val="20"/>
        </w:rPr>
        <w:t>Daniela Víznerová</w:t>
      </w:r>
      <w:r w:rsidR="00372FC8">
        <w:rPr>
          <w:rFonts w:asciiTheme="minorHAnsi" w:hAnsiTheme="minorHAnsi"/>
          <w:sz w:val="20"/>
          <w:szCs w:val="20"/>
        </w:rPr>
        <w:t>, oddělení ekonomické a rozvojových koncepcí odboru sociálních věcí</w:t>
      </w:r>
    </w:p>
    <w:p w14:paraId="7397DAF7" w14:textId="726FC636" w:rsidR="00862941" w:rsidRDefault="00372FC8" w:rsidP="00D8032F">
      <w:pPr>
        <w:jc w:val="center"/>
        <w:rPr>
          <w:rFonts w:asciiTheme="minorHAnsi" w:hAnsiTheme="minorHAnsi"/>
          <w:sz w:val="20"/>
          <w:szCs w:val="20"/>
        </w:rPr>
      </w:pPr>
      <w:r>
        <w:rPr>
          <w:rFonts w:asciiTheme="minorHAnsi" w:hAnsiTheme="minorHAnsi"/>
          <w:sz w:val="20"/>
          <w:szCs w:val="20"/>
        </w:rPr>
        <w:t>Magistrátu města Pardubi</w:t>
      </w:r>
      <w:r w:rsidR="00F2387B">
        <w:rPr>
          <w:rFonts w:asciiTheme="minorHAnsi" w:hAnsiTheme="minorHAnsi"/>
          <w:sz w:val="20"/>
          <w:szCs w:val="20"/>
        </w:rPr>
        <w:t>c</w:t>
      </w:r>
    </w:p>
    <w:p w14:paraId="057CB422" w14:textId="77777777" w:rsidR="00C77ABF" w:rsidRDefault="00C77ABF">
      <w:pPr>
        <w:spacing w:after="200" w:line="276" w:lineRule="auto"/>
        <w:rPr>
          <w:rFonts w:asciiTheme="minorHAnsi" w:hAnsiTheme="minorHAnsi"/>
          <w:sz w:val="22"/>
          <w:szCs w:val="22"/>
        </w:rPr>
      </w:pPr>
    </w:p>
    <w:p w14:paraId="3E25C59F" w14:textId="77777777" w:rsidR="00C77ABF" w:rsidRDefault="00C77ABF">
      <w:pPr>
        <w:spacing w:after="200" w:line="276" w:lineRule="auto"/>
        <w:rPr>
          <w:rFonts w:asciiTheme="minorHAnsi" w:hAnsiTheme="minorHAnsi"/>
          <w:sz w:val="22"/>
          <w:szCs w:val="22"/>
        </w:rPr>
      </w:pPr>
    </w:p>
    <w:p w14:paraId="7E199134" w14:textId="1C171FA5" w:rsidR="00316E90" w:rsidRPr="006A39AC" w:rsidRDefault="006A39AC">
      <w:pPr>
        <w:spacing w:after="200" w:line="276" w:lineRule="auto"/>
        <w:rPr>
          <w:rFonts w:asciiTheme="minorHAnsi" w:hAnsiTheme="minorHAnsi"/>
          <w:sz w:val="22"/>
          <w:szCs w:val="22"/>
        </w:rPr>
      </w:pPr>
      <w:r w:rsidRPr="006A39AC">
        <w:rPr>
          <w:rFonts w:asciiTheme="minorHAnsi" w:hAnsiTheme="minorHAnsi"/>
          <w:sz w:val="22"/>
          <w:szCs w:val="22"/>
        </w:rPr>
        <w:lastRenderedPageBreak/>
        <w:t>Příloha č. 1</w:t>
      </w:r>
    </w:p>
    <w:p w14:paraId="22291FC0" w14:textId="421ABE97" w:rsidR="00316E90" w:rsidRDefault="0077190F">
      <w:pPr>
        <w:spacing w:after="200" w:line="276" w:lineRule="auto"/>
        <w:rPr>
          <w:rFonts w:asciiTheme="minorHAnsi" w:hAnsiTheme="minorHAnsi"/>
          <w:sz w:val="20"/>
          <w:szCs w:val="20"/>
        </w:rPr>
      </w:pPr>
      <w:r w:rsidRPr="0077190F">
        <w:rPr>
          <w:noProof/>
        </w:rPr>
        <w:drawing>
          <wp:inline distT="0" distB="0" distL="0" distR="0" wp14:anchorId="6EFEF871" wp14:editId="46478DE1">
            <wp:extent cx="5904865" cy="7999730"/>
            <wp:effectExtent l="0" t="0" r="635"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170E7622" w14:textId="37AEA27D" w:rsidR="0077190F" w:rsidRDefault="0077190F">
      <w:pPr>
        <w:spacing w:after="200" w:line="276" w:lineRule="auto"/>
        <w:rPr>
          <w:rFonts w:asciiTheme="minorHAnsi" w:hAnsiTheme="minorHAnsi"/>
          <w:sz w:val="20"/>
          <w:szCs w:val="20"/>
        </w:rPr>
      </w:pPr>
    </w:p>
    <w:p w14:paraId="419C5EFD" w14:textId="26F4F7FD" w:rsidR="0077190F" w:rsidRDefault="0077190F">
      <w:pPr>
        <w:spacing w:after="200" w:line="276" w:lineRule="auto"/>
        <w:rPr>
          <w:rFonts w:asciiTheme="minorHAnsi" w:hAnsiTheme="minorHAnsi"/>
          <w:sz w:val="20"/>
          <w:szCs w:val="20"/>
        </w:rPr>
      </w:pPr>
    </w:p>
    <w:p w14:paraId="275C3620" w14:textId="77777777" w:rsidR="0077190F" w:rsidRDefault="0077190F">
      <w:pPr>
        <w:spacing w:after="200" w:line="276" w:lineRule="auto"/>
      </w:pPr>
    </w:p>
    <w:p w14:paraId="51C8FABE" w14:textId="77777777" w:rsidR="0077190F" w:rsidRDefault="0077190F">
      <w:pPr>
        <w:spacing w:after="200" w:line="276" w:lineRule="auto"/>
      </w:pPr>
    </w:p>
    <w:p w14:paraId="3867A7B5" w14:textId="409CCEFD" w:rsidR="0077190F" w:rsidRPr="006A39AC" w:rsidRDefault="006A39AC">
      <w:pPr>
        <w:spacing w:after="200" w:line="276" w:lineRule="auto"/>
        <w:rPr>
          <w:rFonts w:asciiTheme="minorHAnsi" w:hAnsiTheme="minorHAnsi" w:cstheme="minorHAnsi"/>
          <w:sz w:val="22"/>
          <w:szCs w:val="22"/>
        </w:rPr>
      </w:pPr>
      <w:r w:rsidRPr="006A39AC">
        <w:rPr>
          <w:rFonts w:asciiTheme="minorHAnsi" w:hAnsiTheme="minorHAnsi" w:cstheme="minorHAnsi"/>
          <w:sz w:val="22"/>
          <w:szCs w:val="22"/>
        </w:rPr>
        <w:lastRenderedPageBreak/>
        <w:t>Příloha č. 2</w:t>
      </w:r>
    </w:p>
    <w:p w14:paraId="1EDA63DA" w14:textId="7B99A890" w:rsidR="0077190F" w:rsidRDefault="0077190F">
      <w:pPr>
        <w:spacing w:after="200" w:line="276" w:lineRule="auto"/>
        <w:rPr>
          <w:rFonts w:asciiTheme="minorHAnsi" w:hAnsiTheme="minorHAnsi"/>
          <w:sz w:val="20"/>
          <w:szCs w:val="20"/>
        </w:rPr>
      </w:pPr>
      <w:r w:rsidRPr="0077190F">
        <w:rPr>
          <w:noProof/>
        </w:rPr>
        <w:drawing>
          <wp:inline distT="0" distB="0" distL="0" distR="0" wp14:anchorId="7317599F" wp14:editId="0F346BD9">
            <wp:extent cx="5904865" cy="7999730"/>
            <wp:effectExtent l="0" t="0" r="635"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50E48609" w14:textId="17411FF8" w:rsidR="0077190F" w:rsidRDefault="0077190F">
      <w:pPr>
        <w:spacing w:after="200" w:line="276" w:lineRule="auto"/>
        <w:rPr>
          <w:rFonts w:asciiTheme="minorHAnsi" w:hAnsiTheme="minorHAnsi"/>
          <w:sz w:val="20"/>
          <w:szCs w:val="20"/>
        </w:rPr>
      </w:pPr>
    </w:p>
    <w:p w14:paraId="38743AA5" w14:textId="5DFAA5B4" w:rsidR="0077190F" w:rsidRDefault="0077190F">
      <w:pPr>
        <w:spacing w:after="200" w:line="276" w:lineRule="auto"/>
        <w:rPr>
          <w:rFonts w:asciiTheme="minorHAnsi" w:hAnsiTheme="minorHAnsi"/>
          <w:sz w:val="20"/>
          <w:szCs w:val="20"/>
        </w:rPr>
      </w:pPr>
    </w:p>
    <w:p w14:paraId="73B3DB74" w14:textId="6EB9F006" w:rsidR="0077190F" w:rsidRDefault="0077190F">
      <w:pPr>
        <w:spacing w:after="200" w:line="276" w:lineRule="auto"/>
        <w:rPr>
          <w:rFonts w:asciiTheme="minorHAnsi" w:hAnsiTheme="minorHAnsi"/>
          <w:sz w:val="20"/>
          <w:szCs w:val="20"/>
        </w:rPr>
      </w:pPr>
    </w:p>
    <w:p w14:paraId="6E3A1302" w14:textId="31B7D60B" w:rsidR="00856637" w:rsidRDefault="00856637">
      <w:pPr>
        <w:spacing w:after="200" w:line="276" w:lineRule="auto"/>
        <w:rPr>
          <w:rFonts w:asciiTheme="minorHAnsi" w:hAnsiTheme="minorHAnsi"/>
          <w:sz w:val="20"/>
          <w:szCs w:val="20"/>
        </w:rPr>
      </w:pPr>
    </w:p>
    <w:p w14:paraId="749B318B" w14:textId="3C0E7303" w:rsidR="00856637" w:rsidRPr="006A39AC" w:rsidRDefault="006A39AC">
      <w:pPr>
        <w:spacing w:after="200" w:line="276" w:lineRule="auto"/>
        <w:rPr>
          <w:rFonts w:asciiTheme="minorHAnsi" w:hAnsiTheme="minorHAnsi"/>
          <w:sz w:val="22"/>
          <w:szCs w:val="22"/>
        </w:rPr>
      </w:pPr>
      <w:r w:rsidRPr="006A39AC">
        <w:rPr>
          <w:rFonts w:asciiTheme="minorHAnsi" w:hAnsiTheme="minorHAnsi"/>
          <w:sz w:val="22"/>
          <w:szCs w:val="22"/>
        </w:rPr>
        <w:lastRenderedPageBreak/>
        <w:t>Příloha č. 3</w:t>
      </w:r>
    </w:p>
    <w:p w14:paraId="7E22684D" w14:textId="2170AEEF" w:rsidR="0077190F" w:rsidRDefault="00856637">
      <w:pPr>
        <w:spacing w:after="200" w:line="276" w:lineRule="auto"/>
        <w:rPr>
          <w:rFonts w:asciiTheme="minorHAnsi" w:hAnsiTheme="minorHAnsi"/>
          <w:sz w:val="20"/>
          <w:szCs w:val="20"/>
        </w:rPr>
      </w:pPr>
      <w:r w:rsidRPr="00856637">
        <w:rPr>
          <w:noProof/>
        </w:rPr>
        <w:drawing>
          <wp:inline distT="0" distB="0" distL="0" distR="0" wp14:anchorId="44588663" wp14:editId="5B79E7AE">
            <wp:extent cx="5904865" cy="7999730"/>
            <wp:effectExtent l="0" t="0" r="635"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1DB00C68" w14:textId="77777777" w:rsidR="0077190F" w:rsidRDefault="0077190F">
      <w:pPr>
        <w:spacing w:after="200" w:line="276" w:lineRule="auto"/>
        <w:rPr>
          <w:rFonts w:asciiTheme="minorHAnsi" w:hAnsiTheme="minorHAnsi"/>
          <w:sz w:val="20"/>
          <w:szCs w:val="20"/>
        </w:rPr>
      </w:pPr>
    </w:p>
    <w:sectPr w:rsidR="0077190F" w:rsidSect="00BC41E3">
      <w:footerReference w:type="even" r:id="rId16"/>
      <w:footerReference w:type="default" r:id="rId17"/>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B913" w14:textId="77777777" w:rsidR="00271822" w:rsidRDefault="00271822">
      <w:r>
        <w:separator/>
      </w:r>
    </w:p>
  </w:endnote>
  <w:endnote w:type="continuationSeparator" w:id="0">
    <w:p w14:paraId="792CB914" w14:textId="77777777"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C77A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7" w14:textId="77777777" w:rsidR="00241A8F" w:rsidRDefault="00C77A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B911" w14:textId="77777777" w:rsidR="00271822" w:rsidRDefault="00271822">
      <w:r>
        <w:separator/>
      </w:r>
    </w:p>
  </w:footnote>
  <w:footnote w:type="continuationSeparator" w:id="0">
    <w:p w14:paraId="792CB912" w14:textId="77777777" w:rsidR="00271822" w:rsidRDefault="0027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03" w:hanging="283"/>
      </w:pPr>
      <w:rPr>
        <w:rFonts w:ascii="Tahoma" w:hAnsi="Tahoma" w:cs="Tahoma" w:hint="default"/>
        <w:sz w:val="20"/>
        <w:szCs w:val="2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78659B"/>
    <w:multiLevelType w:val="hybridMultilevel"/>
    <w:tmpl w:val="C53ACE62"/>
    <w:lvl w:ilvl="0" w:tplc="130E4C6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10"/>
  </w:num>
  <w:num w:numId="3">
    <w:abstractNumId w:val="1"/>
  </w:num>
  <w:num w:numId="4">
    <w:abstractNumId w:val="11"/>
  </w:num>
  <w:num w:numId="5">
    <w:abstractNumId w:val="2"/>
  </w:num>
  <w:num w:numId="6">
    <w:abstractNumId w:val="4"/>
  </w:num>
  <w:num w:numId="7">
    <w:abstractNumId w:val="9"/>
  </w:num>
  <w:num w:numId="8">
    <w:abstractNumId w:val="3"/>
  </w:num>
  <w:num w:numId="9">
    <w:abstractNumId w:val="5"/>
  </w:num>
  <w:num w:numId="10">
    <w:abstractNumId w:val="0"/>
  </w:num>
  <w:num w:numId="11">
    <w:abstractNumId w:val="6"/>
  </w:num>
  <w:num w:numId="12">
    <w:abstractNumId w:val="8"/>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60A2"/>
    <w:rsid w:val="00043842"/>
    <w:rsid w:val="00050899"/>
    <w:rsid w:val="000A0147"/>
    <w:rsid w:val="000A5871"/>
    <w:rsid w:val="000B321E"/>
    <w:rsid w:val="000C5054"/>
    <w:rsid w:val="000E0844"/>
    <w:rsid w:val="000E391C"/>
    <w:rsid w:val="00124A15"/>
    <w:rsid w:val="00136593"/>
    <w:rsid w:val="00156F3F"/>
    <w:rsid w:val="001605A9"/>
    <w:rsid w:val="00163963"/>
    <w:rsid w:val="00177B9D"/>
    <w:rsid w:val="00196C43"/>
    <w:rsid w:val="001A7479"/>
    <w:rsid w:val="001E144A"/>
    <w:rsid w:val="001E1DB5"/>
    <w:rsid w:val="00240F0C"/>
    <w:rsid w:val="00243D9C"/>
    <w:rsid w:val="0024468F"/>
    <w:rsid w:val="00256B6C"/>
    <w:rsid w:val="00262A88"/>
    <w:rsid w:val="00271822"/>
    <w:rsid w:val="00274B67"/>
    <w:rsid w:val="0027527A"/>
    <w:rsid w:val="002810BC"/>
    <w:rsid w:val="00284E90"/>
    <w:rsid w:val="002A2362"/>
    <w:rsid w:val="002A2E1A"/>
    <w:rsid w:val="002B3740"/>
    <w:rsid w:val="002D48AC"/>
    <w:rsid w:val="002D7223"/>
    <w:rsid w:val="002E6D8D"/>
    <w:rsid w:val="002F00F9"/>
    <w:rsid w:val="002F0FEA"/>
    <w:rsid w:val="00310AEF"/>
    <w:rsid w:val="00311AD6"/>
    <w:rsid w:val="00316101"/>
    <w:rsid w:val="00316E90"/>
    <w:rsid w:val="003200B9"/>
    <w:rsid w:val="00322240"/>
    <w:rsid w:val="0033158B"/>
    <w:rsid w:val="00346869"/>
    <w:rsid w:val="00352A75"/>
    <w:rsid w:val="00372FC8"/>
    <w:rsid w:val="00381FA7"/>
    <w:rsid w:val="003E0AB6"/>
    <w:rsid w:val="003F37F8"/>
    <w:rsid w:val="00402340"/>
    <w:rsid w:val="00417534"/>
    <w:rsid w:val="00443D9D"/>
    <w:rsid w:val="00491C58"/>
    <w:rsid w:val="004A2832"/>
    <w:rsid w:val="004C04D0"/>
    <w:rsid w:val="004E11E8"/>
    <w:rsid w:val="004F671B"/>
    <w:rsid w:val="0053420A"/>
    <w:rsid w:val="00537483"/>
    <w:rsid w:val="005629B3"/>
    <w:rsid w:val="00567AFD"/>
    <w:rsid w:val="00571C32"/>
    <w:rsid w:val="005751AD"/>
    <w:rsid w:val="00581ECC"/>
    <w:rsid w:val="00595F95"/>
    <w:rsid w:val="005A3B1A"/>
    <w:rsid w:val="005C24CC"/>
    <w:rsid w:val="005E38F8"/>
    <w:rsid w:val="00621543"/>
    <w:rsid w:val="0062263B"/>
    <w:rsid w:val="00624713"/>
    <w:rsid w:val="00655F72"/>
    <w:rsid w:val="00696A0E"/>
    <w:rsid w:val="006A387B"/>
    <w:rsid w:val="006A39AC"/>
    <w:rsid w:val="006C24B1"/>
    <w:rsid w:val="006C3222"/>
    <w:rsid w:val="006C3714"/>
    <w:rsid w:val="00717871"/>
    <w:rsid w:val="00725DEB"/>
    <w:rsid w:val="00737C4F"/>
    <w:rsid w:val="0075505B"/>
    <w:rsid w:val="00771467"/>
    <w:rsid w:val="0077190F"/>
    <w:rsid w:val="00772A39"/>
    <w:rsid w:val="00786472"/>
    <w:rsid w:val="007933FA"/>
    <w:rsid w:val="007973D9"/>
    <w:rsid w:val="00797435"/>
    <w:rsid w:val="007A01F4"/>
    <w:rsid w:val="007A3913"/>
    <w:rsid w:val="007B4E26"/>
    <w:rsid w:val="007C312E"/>
    <w:rsid w:val="007C648F"/>
    <w:rsid w:val="007D36C9"/>
    <w:rsid w:val="007F144C"/>
    <w:rsid w:val="007F765A"/>
    <w:rsid w:val="00803593"/>
    <w:rsid w:val="00805CE5"/>
    <w:rsid w:val="00844BB2"/>
    <w:rsid w:val="00856637"/>
    <w:rsid w:val="00862941"/>
    <w:rsid w:val="00874A9E"/>
    <w:rsid w:val="00877910"/>
    <w:rsid w:val="00896C26"/>
    <w:rsid w:val="008C22A2"/>
    <w:rsid w:val="008D53F1"/>
    <w:rsid w:val="008D7FF1"/>
    <w:rsid w:val="008E7E19"/>
    <w:rsid w:val="009121C2"/>
    <w:rsid w:val="00917732"/>
    <w:rsid w:val="00930478"/>
    <w:rsid w:val="0093086A"/>
    <w:rsid w:val="00932B78"/>
    <w:rsid w:val="009363E3"/>
    <w:rsid w:val="009376FD"/>
    <w:rsid w:val="009810E7"/>
    <w:rsid w:val="00990FF5"/>
    <w:rsid w:val="009912B6"/>
    <w:rsid w:val="009D60BC"/>
    <w:rsid w:val="009E7CED"/>
    <w:rsid w:val="00A16F26"/>
    <w:rsid w:val="00A2236F"/>
    <w:rsid w:val="00A24FD7"/>
    <w:rsid w:val="00A31125"/>
    <w:rsid w:val="00A505FC"/>
    <w:rsid w:val="00A60F23"/>
    <w:rsid w:val="00A7760F"/>
    <w:rsid w:val="00A8774D"/>
    <w:rsid w:val="00AA0D99"/>
    <w:rsid w:val="00AC05DE"/>
    <w:rsid w:val="00B05443"/>
    <w:rsid w:val="00B172C8"/>
    <w:rsid w:val="00B17FC0"/>
    <w:rsid w:val="00B25A6A"/>
    <w:rsid w:val="00B46E3A"/>
    <w:rsid w:val="00B55968"/>
    <w:rsid w:val="00B9295E"/>
    <w:rsid w:val="00BB297F"/>
    <w:rsid w:val="00BC41E3"/>
    <w:rsid w:val="00BC5983"/>
    <w:rsid w:val="00BF412E"/>
    <w:rsid w:val="00C00D1C"/>
    <w:rsid w:val="00C0252D"/>
    <w:rsid w:val="00C15B94"/>
    <w:rsid w:val="00C5483B"/>
    <w:rsid w:val="00C60888"/>
    <w:rsid w:val="00C77ABF"/>
    <w:rsid w:val="00C80682"/>
    <w:rsid w:val="00C8265D"/>
    <w:rsid w:val="00C8663A"/>
    <w:rsid w:val="00C91914"/>
    <w:rsid w:val="00C94C43"/>
    <w:rsid w:val="00CA0616"/>
    <w:rsid w:val="00CD4C6F"/>
    <w:rsid w:val="00CF2BB9"/>
    <w:rsid w:val="00D012F3"/>
    <w:rsid w:val="00D123F4"/>
    <w:rsid w:val="00D2429E"/>
    <w:rsid w:val="00D33593"/>
    <w:rsid w:val="00D527C2"/>
    <w:rsid w:val="00D56228"/>
    <w:rsid w:val="00D6430B"/>
    <w:rsid w:val="00D77278"/>
    <w:rsid w:val="00D8032F"/>
    <w:rsid w:val="00D82303"/>
    <w:rsid w:val="00DA3B85"/>
    <w:rsid w:val="00DA6D12"/>
    <w:rsid w:val="00DB16DF"/>
    <w:rsid w:val="00DB336C"/>
    <w:rsid w:val="00DC61A3"/>
    <w:rsid w:val="00DE410E"/>
    <w:rsid w:val="00DE74F5"/>
    <w:rsid w:val="00DE768C"/>
    <w:rsid w:val="00E01234"/>
    <w:rsid w:val="00E10816"/>
    <w:rsid w:val="00E205A8"/>
    <w:rsid w:val="00E21A6E"/>
    <w:rsid w:val="00E40219"/>
    <w:rsid w:val="00E51775"/>
    <w:rsid w:val="00E76C9B"/>
    <w:rsid w:val="00E77A44"/>
    <w:rsid w:val="00E85EBF"/>
    <w:rsid w:val="00E86361"/>
    <w:rsid w:val="00E919C9"/>
    <w:rsid w:val="00EB381F"/>
    <w:rsid w:val="00EB5E74"/>
    <w:rsid w:val="00EC53C3"/>
    <w:rsid w:val="00ED2D4B"/>
    <w:rsid w:val="00EE2942"/>
    <w:rsid w:val="00F1525E"/>
    <w:rsid w:val="00F2387B"/>
    <w:rsid w:val="00F5796A"/>
    <w:rsid w:val="00F63730"/>
    <w:rsid w:val="00FA2CBA"/>
    <w:rsid w:val="00FA5408"/>
    <w:rsid w:val="00FC4306"/>
    <w:rsid w:val="00FC649C"/>
    <w:rsid w:val="00FE1ADB"/>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rsid w:val="00917732"/>
    <w:pPr>
      <w:spacing w:after="120" w:line="480" w:lineRule="auto"/>
      <w:ind w:left="283"/>
    </w:pPr>
    <w:rPr>
      <w:rFonts w:eastAsia="SimSun"/>
      <w:lang w:eastAsia="zh-CN"/>
    </w:rPr>
  </w:style>
  <w:style w:type="character" w:customStyle="1" w:styleId="Zkladntextodsazen2Char">
    <w:name w:val="Základní text odsazený 2 Char"/>
    <w:basedOn w:val="Standardnpsmoodstavce"/>
    <w:link w:val="Zkladntextodsazen2"/>
    <w:rsid w:val="0091773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782">
      <w:bodyDiv w:val="1"/>
      <w:marLeft w:val="0"/>
      <w:marRight w:val="0"/>
      <w:marTop w:val="0"/>
      <w:marBottom w:val="0"/>
      <w:divBdr>
        <w:top w:val="none" w:sz="0" w:space="0" w:color="auto"/>
        <w:left w:val="none" w:sz="0" w:space="0" w:color="auto"/>
        <w:bottom w:val="none" w:sz="0" w:space="0" w:color="auto"/>
        <w:right w:val="none" w:sz="0" w:space="0" w:color="auto"/>
      </w:divBdr>
    </w:div>
    <w:div w:id="197352929">
      <w:bodyDiv w:val="1"/>
      <w:marLeft w:val="0"/>
      <w:marRight w:val="0"/>
      <w:marTop w:val="0"/>
      <w:marBottom w:val="0"/>
      <w:divBdr>
        <w:top w:val="none" w:sz="0" w:space="0" w:color="auto"/>
        <w:left w:val="none" w:sz="0" w:space="0" w:color="auto"/>
        <w:bottom w:val="none" w:sz="0" w:space="0" w:color="auto"/>
        <w:right w:val="none" w:sz="0" w:space="0" w:color="auto"/>
      </w:divBdr>
    </w:div>
    <w:div w:id="421493649">
      <w:bodyDiv w:val="1"/>
      <w:marLeft w:val="0"/>
      <w:marRight w:val="0"/>
      <w:marTop w:val="0"/>
      <w:marBottom w:val="0"/>
      <w:divBdr>
        <w:top w:val="none" w:sz="0" w:space="0" w:color="auto"/>
        <w:left w:val="none" w:sz="0" w:space="0" w:color="auto"/>
        <w:bottom w:val="none" w:sz="0" w:space="0" w:color="auto"/>
        <w:right w:val="none" w:sz="0" w:space="0" w:color="auto"/>
      </w:divBdr>
    </w:div>
    <w:div w:id="521355406">
      <w:bodyDiv w:val="1"/>
      <w:marLeft w:val="0"/>
      <w:marRight w:val="0"/>
      <w:marTop w:val="0"/>
      <w:marBottom w:val="0"/>
      <w:divBdr>
        <w:top w:val="none" w:sz="0" w:space="0" w:color="auto"/>
        <w:left w:val="none" w:sz="0" w:space="0" w:color="auto"/>
        <w:bottom w:val="none" w:sz="0" w:space="0" w:color="auto"/>
        <w:right w:val="none" w:sz="0" w:space="0" w:color="auto"/>
      </w:divBdr>
    </w:div>
    <w:div w:id="651981463">
      <w:bodyDiv w:val="1"/>
      <w:marLeft w:val="0"/>
      <w:marRight w:val="0"/>
      <w:marTop w:val="0"/>
      <w:marBottom w:val="0"/>
      <w:divBdr>
        <w:top w:val="none" w:sz="0" w:space="0" w:color="auto"/>
        <w:left w:val="none" w:sz="0" w:space="0" w:color="auto"/>
        <w:bottom w:val="none" w:sz="0" w:space="0" w:color="auto"/>
        <w:right w:val="none" w:sz="0" w:space="0" w:color="auto"/>
      </w:divBdr>
    </w:div>
    <w:div w:id="686948691">
      <w:bodyDiv w:val="1"/>
      <w:marLeft w:val="0"/>
      <w:marRight w:val="0"/>
      <w:marTop w:val="0"/>
      <w:marBottom w:val="0"/>
      <w:divBdr>
        <w:top w:val="none" w:sz="0" w:space="0" w:color="auto"/>
        <w:left w:val="none" w:sz="0" w:space="0" w:color="auto"/>
        <w:bottom w:val="none" w:sz="0" w:space="0" w:color="auto"/>
        <w:right w:val="none" w:sz="0" w:space="0" w:color="auto"/>
      </w:divBdr>
    </w:div>
    <w:div w:id="727923550">
      <w:bodyDiv w:val="1"/>
      <w:marLeft w:val="0"/>
      <w:marRight w:val="0"/>
      <w:marTop w:val="0"/>
      <w:marBottom w:val="0"/>
      <w:divBdr>
        <w:top w:val="none" w:sz="0" w:space="0" w:color="auto"/>
        <w:left w:val="none" w:sz="0" w:space="0" w:color="auto"/>
        <w:bottom w:val="none" w:sz="0" w:space="0" w:color="auto"/>
        <w:right w:val="none" w:sz="0" w:space="0" w:color="auto"/>
      </w:divBdr>
    </w:div>
    <w:div w:id="863523477">
      <w:bodyDiv w:val="1"/>
      <w:marLeft w:val="0"/>
      <w:marRight w:val="0"/>
      <w:marTop w:val="0"/>
      <w:marBottom w:val="0"/>
      <w:divBdr>
        <w:top w:val="none" w:sz="0" w:space="0" w:color="auto"/>
        <w:left w:val="none" w:sz="0" w:space="0" w:color="auto"/>
        <w:bottom w:val="none" w:sz="0" w:space="0" w:color="auto"/>
        <w:right w:val="none" w:sz="0" w:space="0" w:color="auto"/>
      </w:divBdr>
    </w:div>
    <w:div w:id="980576671">
      <w:bodyDiv w:val="1"/>
      <w:marLeft w:val="0"/>
      <w:marRight w:val="0"/>
      <w:marTop w:val="0"/>
      <w:marBottom w:val="0"/>
      <w:divBdr>
        <w:top w:val="none" w:sz="0" w:space="0" w:color="auto"/>
        <w:left w:val="none" w:sz="0" w:space="0" w:color="auto"/>
        <w:bottom w:val="none" w:sz="0" w:space="0" w:color="auto"/>
        <w:right w:val="none" w:sz="0" w:space="0" w:color="auto"/>
      </w:divBdr>
    </w:div>
    <w:div w:id="1348092826">
      <w:bodyDiv w:val="1"/>
      <w:marLeft w:val="0"/>
      <w:marRight w:val="0"/>
      <w:marTop w:val="0"/>
      <w:marBottom w:val="0"/>
      <w:divBdr>
        <w:top w:val="none" w:sz="0" w:space="0" w:color="auto"/>
        <w:left w:val="none" w:sz="0" w:space="0" w:color="auto"/>
        <w:bottom w:val="none" w:sz="0" w:space="0" w:color="auto"/>
        <w:right w:val="none" w:sz="0" w:space="0" w:color="auto"/>
      </w:divBdr>
    </w:div>
    <w:div w:id="1389307064">
      <w:bodyDiv w:val="1"/>
      <w:marLeft w:val="0"/>
      <w:marRight w:val="0"/>
      <w:marTop w:val="0"/>
      <w:marBottom w:val="0"/>
      <w:divBdr>
        <w:top w:val="none" w:sz="0" w:space="0" w:color="auto"/>
        <w:left w:val="none" w:sz="0" w:space="0" w:color="auto"/>
        <w:bottom w:val="none" w:sz="0" w:space="0" w:color="auto"/>
        <w:right w:val="none" w:sz="0" w:space="0" w:color="auto"/>
      </w:divBdr>
    </w:div>
    <w:div w:id="1580870928">
      <w:bodyDiv w:val="1"/>
      <w:marLeft w:val="0"/>
      <w:marRight w:val="0"/>
      <w:marTop w:val="0"/>
      <w:marBottom w:val="0"/>
      <w:divBdr>
        <w:top w:val="none" w:sz="0" w:space="0" w:color="auto"/>
        <w:left w:val="none" w:sz="0" w:space="0" w:color="auto"/>
        <w:bottom w:val="none" w:sz="0" w:space="0" w:color="auto"/>
        <w:right w:val="none" w:sz="0" w:space="0" w:color="auto"/>
      </w:divBdr>
    </w:div>
    <w:div w:id="1637446795">
      <w:bodyDiv w:val="1"/>
      <w:marLeft w:val="0"/>
      <w:marRight w:val="0"/>
      <w:marTop w:val="0"/>
      <w:marBottom w:val="0"/>
      <w:divBdr>
        <w:top w:val="none" w:sz="0" w:space="0" w:color="auto"/>
        <w:left w:val="none" w:sz="0" w:space="0" w:color="auto"/>
        <w:bottom w:val="none" w:sz="0" w:space="0" w:color="auto"/>
        <w:right w:val="none" w:sz="0" w:space="0" w:color="auto"/>
      </w:divBdr>
    </w:div>
    <w:div w:id="2101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Props1.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4B699-340B-46E8-B65E-26F9F202B1F2}">
  <ds:schemaRefs>
    <ds:schemaRef ds:uri="http://schemas.openxmlformats.org/officeDocument/2006/bibliography"/>
  </ds:schemaRefs>
</ds:datastoreItem>
</file>

<file path=customXml/itemProps3.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4.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5.xml><?xml version="1.0" encoding="utf-8"?>
<ds:datastoreItem xmlns:ds="http://schemas.openxmlformats.org/officeDocument/2006/customXml" ds:itemID="{47FB0505-F1FB-42CC-9597-0B42BF4B12A3}">
  <ds:schemaRefs>
    <ds:schemaRef ds:uri="df30a891-99dc-44a0-9782-3a4c8c525d86"/>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f94004b3-5c85-4b6f-b2cb-b6e165aced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2713</Words>
  <Characters>16012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Víznerová Daniela</cp:lastModifiedBy>
  <cp:revision>78</cp:revision>
  <cp:lastPrinted>2019-01-29T14:09:00Z</cp:lastPrinted>
  <dcterms:created xsi:type="dcterms:W3CDTF">2019-02-12T10:56:00Z</dcterms:created>
  <dcterms:modified xsi:type="dcterms:W3CDTF">2022-01-24T08:33:00Z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