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A13E3" w:rsidRPr="000A13E3" w:rsidRDefault="000A13E3" w:rsidP="000A13E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HAnsi" w:hAnsiTheme="minorHAnsi" w:cstheme="minorBidi"/>
        </w:rPr>
      </w:pPr>
      <w:r w:rsidRPr="000A13E3">
        <w:rPr>
          <w:rFonts w:asciiTheme="minorHAnsi" w:eastAsiaTheme="minorHAnsi" w:hAnsiTheme="minorHAnsi" w:cstheme="minorBidi"/>
        </w:rPr>
        <w:t>VEŘEJNOPRÁVNÍ SMLOUVA O POSKYTNUTÍ DOTACE Z ROZPOČTU MĚSTA KROMĚŘÍŽE</w:t>
      </w:r>
    </w:p>
    <w:p w:rsidR="000A13E3" w:rsidRPr="000A13E3" w:rsidRDefault="000A13E3" w:rsidP="000A13E3">
      <w:pPr>
        <w:spacing w:after="0" w:line="240" w:lineRule="auto"/>
        <w:rPr>
          <w:rFonts w:asciiTheme="minorHAnsi" w:eastAsiaTheme="minorHAnsi" w:hAnsiTheme="minorHAnsi" w:cstheme="minorBidi"/>
        </w:rPr>
      </w:pP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č. smlouvy: SML/035/2022</w:t>
      </w:r>
    </w:p>
    <w:p w:rsidR="000A13E3" w:rsidRPr="000A13E3" w:rsidRDefault="000A13E3" w:rsidP="000A13E3">
      <w:pPr>
        <w:spacing w:after="0" w:line="240" w:lineRule="auto"/>
        <w:rPr>
          <w:rFonts w:asciiTheme="minorHAnsi" w:eastAsiaTheme="minorHAnsi" w:hAnsiTheme="minorHAnsi" w:cstheme="minorBidi"/>
        </w:rPr>
      </w:pP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Smluvní strany:</w:t>
      </w:r>
    </w:p>
    <w:p w:rsidR="000A13E3" w:rsidRPr="000A13E3" w:rsidRDefault="000A13E3" w:rsidP="000A13E3">
      <w:pPr>
        <w:spacing w:after="0" w:line="240" w:lineRule="auto"/>
        <w:rPr>
          <w:rFonts w:asciiTheme="minorHAnsi" w:eastAsiaTheme="minorHAnsi" w:hAnsiTheme="minorHAnsi" w:cstheme="minorBidi"/>
        </w:rPr>
      </w:pPr>
    </w:p>
    <w:p w:rsidR="000A13E3" w:rsidRPr="000A13E3" w:rsidRDefault="000A13E3" w:rsidP="000A13E3">
      <w:pPr>
        <w:numPr>
          <w:ilvl w:val="0"/>
          <w:numId w:val="15"/>
        </w:numPr>
        <w:spacing w:after="0" w:line="240" w:lineRule="auto"/>
        <w:ind w:left="426" w:hanging="426"/>
        <w:contextualSpacing/>
        <w:rPr>
          <w:rFonts w:asciiTheme="minorHAnsi" w:eastAsiaTheme="minorHAnsi" w:hAnsiTheme="minorHAnsi" w:cstheme="minorBidi"/>
        </w:rPr>
      </w:pPr>
      <w:r w:rsidRPr="000A13E3">
        <w:rPr>
          <w:rFonts w:asciiTheme="minorHAnsi" w:eastAsiaTheme="minorHAnsi" w:hAnsiTheme="minorHAnsi" w:cstheme="minorBidi"/>
        </w:rPr>
        <w:t xml:space="preserve">POSKYTOVATEL DOTACE </w:t>
      </w:r>
      <w:r w:rsidRPr="000A13E3">
        <w:rPr>
          <w:rFonts w:asciiTheme="minorHAnsi" w:eastAsiaTheme="minorHAnsi" w:hAnsiTheme="minorHAnsi" w:cstheme="minorBidi"/>
        </w:rPr>
        <w:tab/>
        <w:t>Město Kroměříž</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Zastoupen:</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t>Mgr. Jaroslavem Němcem, starostou města</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Sídlo:</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t>Velké nám. 115/1, 767 01 Kroměříž</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IČ:</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t>00287351</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Bankovní spojení:</w:t>
      </w:r>
      <w:r w:rsidRPr="000A13E3">
        <w:rPr>
          <w:rFonts w:asciiTheme="minorHAnsi" w:eastAsiaTheme="minorHAnsi" w:hAnsiTheme="minorHAnsi" w:cstheme="minorBidi"/>
        </w:rPr>
        <w:tab/>
      </w:r>
      <w:r w:rsidRPr="000A13E3">
        <w:rPr>
          <w:rFonts w:asciiTheme="minorHAnsi" w:eastAsiaTheme="minorHAnsi" w:hAnsiTheme="minorHAnsi" w:cstheme="minorBidi"/>
        </w:rPr>
        <w:tab/>
        <w:t>KB, a.s., č. účtu 8326340247/0100</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(dále jen „poskytovatel“)</w:t>
      </w:r>
    </w:p>
    <w:p w:rsidR="000A13E3" w:rsidRPr="000A13E3" w:rsidRDefault="000A13E3" w:rsidP="000A13E3">
      <w:pPr>
        <w:spacing w:after="0" w:line="240" w:lineRule="auto"/>
        <w:rPr>
          <w:rFonts w:asciiTheme="minorHAnsi" w:eastAsiaTheme="minorHAnsi" w:hAnsiTheme="minorHAnsi" w:cstheme="minorBidi"/>
        </w:rPr>
      </w:pPr>
    </w:p>
    <w:p w:rsidR="000A13E3" w:rsidRPr="000A13E3" w:rsidRDefault="000A13E3" w:rsidP="000A13E3">
      <w:pPr>
        <w:numPr>
          <w:ilvl w:val="0"/>
          <w:numId w:val="15"/>
        </w:numPr>
        <w:spacing w:after="0" w:line="240" w:lineRule="auto"/>
        <w:ind w:left="426" w:hanging="426"/>
        <w:contextualSpacing/>
        <w:rPr>
          <w:rFonts w:asciiTheme="minorHAnsi" w:eastAsiaTheme="minorHAnsi" w:hAnsiTheme="minorHAnsi" w:cstheme="minorBidi"/>
        </w:rPr>
      </w:pPr>
      <w:r w:rsidRPr="000A13E3">
        <w:rPr>
          <w:rFonts w:asciiTheme="minorHAnsi" w:eastAsiaTheme="minorHAnsi" w:hAnsiTheme="minorHAnsi" w:cstheme="minorBidi"/>
        </w:rPr>
        <w:t>PŘÍJEMCE DOTACE</w:t>
      </w:r>
      <w:r w:rsidRPr="000A13E3">
        <w:rPr>
          <w:rFonts w:asciiTheme="minorHAnsi" w:eastAsiaTheme="minorHAnsi" w:hAnsiTheme="minorHAnsi" w:cstheme="minorBidi"/>
        </w:rPr>
        <w:tab/>
      </w:r>
      <w:r w:rsidRPr="000A13E3">
        <w:rPr>
          <w:rFonts w:asciiTheme="minorHAnsi" w:eastAsiaTheme="minorHAnsi" w:hAnsiTheme="minorHAnsi" w:cstheme="minorBidi"/>
        </w:rPr>
        <w:tab/>
        <w:t>Astras, o. p. s.</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Zastoupen:</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t>Mgr. Robert Hasala, ředitel</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Sídlo/trvalý pobyt:</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00B6688D">
        <w:rPr>
          <w:rFonts w:asciiTheme="minorHAnsi" w:eastAsiaTheme="minorHAnsi" w:hAnsiTheme="minorHAnsi" w:cstheme="minorBidi"/>
        </w:rPr>
        <w:t>Purkyňova 702/3</w:t>
      </w:r>
      <w:bookmarkStart w:id="0" w:name="_GoBack"/>
      <w:bookmarkEnd w:id="0"/>
      <w:r w:rsidRPr="000A13E3">
        <w:rPr>
          <w:rFonts w:asciiTheme="minorHAnsi" w:eastAsiaTheme="minorHAnsi" w:hAnsiTheme="minorHAnsi" w:cstheme="minorBidi"/>
        </w:rPr>
        <w:t>, 767 01 Kroměříž</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IČ/datum narození:</w:t>
      </w:r>
      <w:r w:rsidRPr="000A13E3">
        <w:rPr>
          <w:rFonts w:asciiTheme="minorHAnsi" w:eastAsiaTheme="minorHAnsi" w:hAnsiTheme="minorHAnsi" w:cstheme="minorBidi"/>
        </w:rPr>
        <w:tab/>
      </w:r>
      <w:r w:rsidRPr="000A13E3">
        <w:rPr>
          <w:rFonts w:asciiTheme="minorHAnsi" w:eastAsiaTheme="minorHAnsi" w:hAnsiTheme="minorHAnsi" w:cstheme="minorBidi"/>
        </w:rPr>
        <w:tab/>
        <w:t>292 67 609</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Bankovní spojení:</w:t>
      </w:r>
      <w:r w:rsidRPr="000A13E3">
        <w:rPr>
          <w:rFonts w:asciiTheme="minorHAnsi" w:eastAsiaTheme="minorHAnsi" w:hAnsiTheme="minorHAnsi" w:cstheme="minorBidi"/>
        </w:rPr>
        <w:tab/>
      </w:r>
      <w:r w:rsidRPr="000A13E3">
        <w:rPr>
          <w:rFonts w:asciiTheme="minorHAnsi" w:eastAsiaTheme="minorHAnsi" w:hAnsiTheme="minorHAnsi" w:cstheme="minorBidi"/>
        </w:rPr>
        <w:tab/>
        <w:t>2800741033/2010, Fio banka a. s.</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(dále jen „příjemce“)</w:t>
      </w:r>
    </w:p>
    <w:p w:rsidR="000A13E3" w:rsidRPr="000A13E3" w:rsidRDefault="000A13E3" w:rsidP="000A13E3">
      <w:pPr>
        <w:spacing w:after="0" w:line="240" w:lineRule="auto"/>
        <w:rPr>
          <w:rFonts w:asciiTheme="minorHAnsi" w:eastAsiaTheme="minorHAnsi" w:hAnsiTheme="minorHAnsi" w:cstheme="minorBidi"/>
        </w:rPr>
      </w:pPr>
    </w:p>
    <w:p w:rsidR="000A13E3" w:rsidRPr="000A13E3" w:rsidRDefault="000A13E3" w:rsidP="000A13E3">
      <w:pPr>
        <w:spacing w:after="0" w:line="240" w:lineRule="auto"/>
        <w:jc w:val="both"/>
        <w:rPr>
          <w:rFonts w:asciiTheme="minorHAnsi" w:eastAsiaTheme="minorHAnsi" w:hAnsiTheme="minorHAnsi" w:cstheme="minorBidi"/>
        </w:rPr>
      </w:pPr>
      <w:r w:rsidRPr="000A13E3">
        <w:rPr>
          <w:rFonts w:asciiTheme="minorHAnsi" w:eastAsiaTheme="minorHAnsi" w:hAnsiTheme="minorHAnsi" w:cstheme="minorBidi"/>
        </w:rP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0A13E3" w:rsidRPr="000A13E3" w:rsidRDefault="000A13E3" w:rsidP="000A13E3">
      <w:pPr>
        <w:spacing w:after="0" w:line="240" w:lineRule="auto"/>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Předmět a účel smlouvy</w:t>
      </w:r>
    </w:p>
    <w:p w:rsidR="005E6992"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Předmětem této smlouvy je poskytnutí dotace za podmínek stanovených touto smlouvou na základě žádosti o dotaci příjemce č. MeUKM/081680/2021 ze dne </w:t>
      </w:r>
    </w:p>
    <w:p w:rsidR="000A13E3" w:rsidRPr="000A13E3" w:rsidRDefault="000A13E3" w:rsidP="005E6992">
      <w:pPr>
        <w:spacing w:after="0" w:line="240" w:lineRule="auto"/>
        <w:ind w:left="720"/>
        <w:contextualSpacing/>
        <w:jc w:val="both"/>
        <w:rPr>
          <w:rFonts w:asciiTheme="minorHAnsi" w:eastAsiaTheme="minorHAnsi" w:hAnsiTheme="minorHAnsi" w:cstheme="minorBidi"/>
        </w:rPr>
      </w:pPr>
      <w:r w:rsidRPr="000A13E3">
        <w:rPr>
          <w:rFonts w:asciiTheme="minorHAnsi" w:eastAsiaTheme="minorHAnsi" w:hAnsiTheme="minorHAnsi" w:cstheme="minorBidi"/>
        </w:rPr>
        <w:t>24. 9. 2021 na</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 </w:t>
      </w:r>
    </w:p>
    <w:p w:rsidR="000A13E3" w:rsidRPr="000A13E3" w:rsidRDefault="000A13E3" w:rsidP="000A13E3">
      <w:pPr>
        <w:spacing w:after="0" w:line="240" w:lineRule="auto"/>
        <w:ind w:left="360"/>
        <w:jc w:val="center"/>
        <w:rPr>
          <w:rFonts w:asciiTheme="minorHAnsi" w:eastAsiaTheme="minorHAnsi" w:hAnsiTheme="minorHAnsi" w:cstheme="minorBidi"/>
        </w:rPr>
      </w:pPr>
      <w:r w:rsidRPr="000A13E3">
        <w:rPr>
          <w:rFonts w:asciiTheme="minorHAnsi" w:eastAsiaTheme="minorHAnsi" w:hAnsiTheme="minorHAnsi" w:cstheme="minorBidi"/>
        </w:rPr>
        <w:t>provoz a činnost nocležny.</w:t>
      </w:r>
    </w:p>
    <w:p w:rsidR="000A13E3" w:rsidRPr="000A13E3" w:rsidRDefault="000A13E3" w:rsidP="000A13E3">
      <w:pPr>
        <w:spacing w:after="0" w:line="240" w:lineRule="auto"/>
        <w:ind w:left="720"/>
        <w:contextualSpacing/>
        <w:rPr>
          <w:rFonts w:asciiTheme="minorHAnsi" w:eastAsiaTheme="minorHAnsi" w:hAnsiTheme="minorHAnsi" w:cstheme="minorBidi"/>
        </w:rPr>
      </w:pPr>
    </w:p>
    <w:p w:rsidR="000A13E3" w:rsidRPr="000A13E3"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dotaci přijímá a zavazuje se, že bude podporovaný předmět dotace realizovat svým jménem, na svůj účet, na svou vlastní zodpovědnost, v souladu s právními předpisy a ustanoveními této smlouvy a že dotaci použije výhradně ke stanovenému účelu.</w:t>
      </w:r>
    </w:p>
    <w:p w:rsidR="000A13E3" w:rsidRPr="000A13E3"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je ve smyslu zákona č. 320/2001 Sb. o finanční kontrole ve veřejné správě a o změně některých zákonů, v platném znění, veřejnou finanční podporou a vztahují se na ni všechna ustanovení tohoto zákona.</w:t>
      </w:r>
    </w:p>
    <w:p w:rsidR="000A13E3" w:rsidRPr="000A13E3"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je slučitelná s podporou poskytnutou z rozpočtů jiných územních samosprávných celků, státního rozpočtu nebo strukturálních fondů Evropské unie, pokud to pravidla pro poskytnutí těchto podpor nevylučují.</w:t>
      </w:r>
    </w:p>
    <w:p w:rsidR="000A13E3" w:rsidRPr="000A13E3"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Prokáže-li se po poskytnutí dotace, že tato naplňuje znaky veřejné podpory dle č. 107 až 109 Smlouvy o fungování Evropské unie, příjemce se zavazuje poskytnutou dotaci neprodleně vrátit zpět na účet poskytovatele.</w:t>
      </w:r>
    </w:p>
    <w:p w:rsidR="000A13E3" w:rsidRPr="000A13E3" w:rsidRDefault="000A13E3" w:rsidP="000A13E3">
      <w:pPr>
        <w:spacing w:after="0" w:line="240" w:lineRule="auto"/>
        <w:ind w:left="360"/>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Výše a způsob poskytnutí dotace</w:t>
      </w:r>
    </w:p>
    <w:p w:rsidR="000A13E3" w:rsidRPr="000A13E3" w:rsidRDefault="000A13E3" w:rsidP="000A13E3">
      <w:pPr>
        <w:numPr>
          <w:ilvl w:val="0"/>
          <w:numId w:val="18"/>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Na základě podané žádosti a přiloženého položkového rozpočtu a této smlouvy poskytovatel poskytne příjemci účelovou neinvestiční dotaci ve výši</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p>
    <w:p w:rsidR="000A13E3" w:rsidRPr="000A13E3" w:rsidRDefault="000A13E3" w:rsidP="000A13E3">
      <w:pPr>
        <w:spacing w:after="0" w:line="240" w:lineRule="auto"/>
        <w:ind w:left="720"/>
        <w:contextualSpacing/>
        <w:jc w:val="center"/>
        <w:rPr>
          <w:rFonts w:asciiTheme="minorHAnsi" w:eastAsiaTheme="minorHAnsi" w:hAnsiTheme="minorHAnsi" w:cstheme="minorBidi"/>
        </w:rPr>
      </w:pPr>
      <w:r w:rsidRPr="000A13E3">
        <w:rPr>
          <w:rFonts w:asciiTheme="minorHAnsi" w:eastAsiaTheme="minorHAnsi" w:hAnsiTheme="minorHAnsi" w:cstheme="minorBidi"/>
        </w:rPr>
        <w:t>60 000 Kč, slovy: šedesát tisíc korun českých</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p>
    <w:p w:rsidR="000A13E3" w:rsidRPr="000A13E3" w:rsidRDefault="000A13E3" w:rsidP="000A13E3">
      <w:pPr>
        <w:spacing w:after="0" w:line="240" w:lineRule="auto"/>
        <w:ind w:left="720"/>
        <w:contextualSpacing/>
        <w:jc w:val="both"/>
        <w:rPr>
          <w:rFonts w:asciiTheme="minorHAnsi" w:eastAsiaTheme="minorHAnsi" w:hAnsiTheme="minorHAnsi" w:cstheme="minorBidi"/>
        </w:rPr>
      </w:pPr>
      <w:r w:rsidRPr="000A13E3">
        <w:rPr>
          <w:rFonts w:asciiTheme="minorHAnsi" w:eastAsiaTheme="minorHAnsi" w:hAnsiTheme="minorHAnsi" w:cstheme="minorBidi"/>
        </w:rPr>
        <w:t>Což může činit 100 % z celkových uznatelných výdajů na podporovaný předmět dotace.</w:t>
      </w:r>
    </w:p>
    <w:p w:rsidR="000A13E3" w:rsidRPr="000A13E3" w:rsidRDefault="000A13E3" w:rsidP="000A13E3">
      <w:pPr>
        <w:numPr>
          <w:ilvl w:val="0"/>
          <w:numId w:val="18"/>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bude poukázána bankovním převodem na účet příjemce uvedený v záhlaví smlouvy do 30 dnů po nabytí účinnosti této smlouvy či ve více splátkách uvedených v této smlouvě.</w:t>
      </w:r>
    </w:p>
    <w:p w:rsidR="000A13E3" w:rsidRPr="000A13E3" w:rsidRDefault="000A13E3" w:rsidP="000A13E3">
      <w:pPr>
        <w:spacing w:after="0" w:line="240" w:lineRule="auto"/>
        <w:ind w:left="720"/>
        <w:contextualSpacing/>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Podmínky použití dotace</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2022 do 31. 12. 2022, včetně výdajů uskutečněných v následujícím roce a to do 31. 1. 2023, pokud účetně a věcně souvisejí s rokem 2022. Dotaci nelze převádět do následujícího kalendářního roku.</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O změnu rozpočtu na podporovaný předmět dotace lze písemně požádat poskytovatele v termínu do 31. 10. 2022, a to pouze ze závažných důvodů.</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se zavazuje, že poskytnutá dotace nebude použita na:</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odměny členů statutárních či kontrolních orgánů příjemce, který je právnickou osobou,</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odstupné ve smyslu zákoníku práce,</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účetně nedoložené výdaje,</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zálohové platby, které nebudou zúčtovány do 31. 1. 2023,</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daně a poplatky,</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na pohoštění nad rámec pitného režimu a stravování účastníků akce konané v přímé souvislosti s účelem, na který je dotace poskytována,</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finanční a věcné dary z výjimkou odměn typu medailí, pohárů, výher v soutěžích, apod.</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eastAsiaTheme="minorHAnsi" w:cs="Calibri"/>
          <w:color w:val="000000"/>
          <w:shd w:val="clear" w:color="auto" w:fill="FFFFFF"/>
        </w:rPr>
        <w:t>cestovní výlohy a náhrady vyplacené nad rámec daňově uznatelných nákladů dle zákona č. 586/1992 Sb., o daních z příjmů, v platném znění,</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a finanční příspěvky jiným fyzickým a právnickým osobám,</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poskytnuté úvěry či půjčky a leasing,</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sankce, splátky úvěrů, úroků z prodlení, mank a náhrad škod,</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na výdaje nesouvisející s předmětem dotace.</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Příjemce odpovídá za řádné vedení a viditelné označení originálních prvotních dokladů prokazujících použití dotace uvedením na dokladech „hrazeno z dotace města Kroměříže“. </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umožnit poskytovateli nebo jím pověřeným osobám provedení kontroly použití dotace a umožnit provádět věcnou, finanční a účetní kontrolu v průběhu i po skončení realizace podporovaného účelu, a to po dobu následujících 5 kalendářních 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Doložení použití dotace a její vyúčtování je příjemce povinen předložit ke kontrole poskytovateli, a to administrátorovi dotace do 31. 3. 2023.</w:t>
      </w:r>
    </w:p>
    <w:p w:rsidR="000A13E3" w:rsidRPr="000A13E3" w:rsidRDefault="000A13E3" w:rsidP="000A13E3">
      <w:pPr>
        <w:numPr>
          <w:ilvl w:val="0"/>
          <w:numId w:val="19"/>
        </w:numPr>
        <w:spacing w:after="0" w:line="240" w:lineRule="auto"/>
        <w:jc w:val="both"/>
        <w:rPr>
          <w:rFonts w:asciiTheme="minorHAnsi" w:eastAsiaTheme="minorHAnsi" w:hAnsiTheme="minorHAnsi" w:cstheme="minorBidi"/>
        </w:rPr>
      </w:pPr>
      <w:r w:rsidRPr="000A13E3">
        <w:rPr>
          <w:rFonts w:cs="Calibri"/>
        </w:rPr>
        <w:t>V případě vyúčtování dotace v termínu do 31. 03. 2021 předkládá příjemce předběžnou zprávu o čerpání dotace do 31. 12. 2022.</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Vyúčtováním dotace se rozumí předložení vyplněného formuláře s výčtem všech položek uznatelných výdajů, vztahujících se k podporovanému předmětu dotace a předložení kopií účetních dokladů s uvedením celkové částky, částky hrazené z dotace a spolufinancovaného podílu a dokladů prokazujících jejich úhradu. </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V případě potřeby může být příjemce vyzván k předložení kopií účetních dokladů týkajících se také všech ostatních výdajů uskutečněného podporovaného předmětu dotace, případně k prokázání všech celkových příjmů. </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Každé použití finančních prostředků poskytovatele musí být doloženo takto:</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Bezhotovostní výdaje kopií prvotního dokladu (faktury, smlouva, rozhodnutí, vyhláška apod.) a kopií dokladu o úhradě (výpis z bankovního účtu)</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Hotovostní výdaje kopií prvotního dokladu (paragon, pokladní doklad, faktura, smlouva, rozhodnutí, vyhláška apod.) </w:t>
      </w:r>
    </w:p>
    <w:p w:rsidR="000A13E3" w:rsidRPr="000A13E3" w:rsidRDefault="000A13E3" w:rsidP="000A13E3">
      <w:pPr>
        <w:spacing w:after="0" w:line="240" w:lineRule="auto"/>
        <w:ind w:left="720"/>
        <w:jc w:val="both"/>
        <w:rPr>
          <w:rFonts w:asciiTheme="minorHAnsi" w:eastAsiaTheme="minorHAnsi" w:hAnsiTheme="minorHAnsi" w:cstheme="minorBidi"/>
        </w:rPr>
      </w:pPr>
      <w:r w:rsidRPr="000A13E3">
        <w:rPr>
          <w:rFonts w:asciiTheme="minorHAnsi" w:eastAsiaTheme="minorHAnsi" w:hAnsiTheme="minorHAnsi" w:cstheme="minorBidi"/>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 využije dotaci na úhradu PHM je povinen na vyžádání předložit také kopii knihy jízd.</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Součástí vyúčtování musí být příjemcem dotace doložena fotodokumentace, kterou příjemce prokáže uskutečnění podporovaného předmětu dotace a splnění minimálního rozsahu propagace poskytovatele. Toto ustanovení se netýká dotací do 10.000,- Kč. </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po dobu 5 let od skončení podporovaného předmětu dotace archivovat následující podkladové materiály:</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žádost včetně povinných příloh</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tuto smlouvu</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originály dokladů prokazujících čerpání dotace</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závěrečné vyhodnocení a finanční vyúčtování dotace</w:t>
      </w:r>
    </w:p>
    <w:p w:rsidR="000A13E3" w:rsidRPr="000A13E3" w:rsidRDefault="000A13E3" w:rsidP="000A13E3">
      <w:pPr>
        <w:spacing w:after="0" w:line="240" w:lineRule="auto"/>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Další povinnosti příjemce</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Nevyčerpanou část dotace je příjemce povinen vrátit na účet poskytovatele nejpozději do data pro předložení vyúčtování dotace. </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Výplata dotace bude pozastavena příjemci, u kterého se v průběhu roku zjistí, že je dlužníkem města a to do doby uhrazení tohoto dluhu.</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zajistit, aby všechny údaje, které podává poskytovateli, byly vždy úplné a pravdivé.</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Práva a povinnosti této smlouvy není příjemce oprávněn převést na třetí osobu bez předchozího písemného souhlasu poskytovatele.</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Důsledky porušení povinností příjemce</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rsidR="007E67AB" w:rsidRDefault="007E67AB" w:rsidP="007E67AB">
      <w:pPr>
        <w:pStyle w:val="Odstavecseseznamem"/>
        <w:numPr>
          <w:ilvl w:val="0"/>
          <w:numId w:val="27"/>
        </w:numPr>
        <w:spacing w:after="0" w:line="240" w:lineRule="auto"/>
        <w:jc w:val="both"/>
      </w:pPr>
      <w:r>
        <w:t>Porušení účelu dotace</w:t>
      </w:r>
      <w:r>
        <w:tab/>
      </w:r>
      <w:r>
        <w:tab/>
      </w:r>
      <w:r>
        <w:tab/>
      </w:r>
      <w:r>
        <w:tab/>
      </w:r>
      <w:r>
        <w:tab/>
        <w:t xml:space="preserve">100% </w:t>
      </w:r>
      <w:r>
        <w:tab/>
        <w:t>poskytnuté dotace</w:t>
      </w:r>
    </w:p>
    <w:p w:rsidR="007E67AB" w:rsidRDefault="007E67AB" w:rsidP="007E67AB">
      <w:pPr>
        <w:pStyle w:val="Odstavecseseznamem"/>
        <w:numPr>
          <w:ilvl w:val="0"/>
          <w:numId w:val="27"/>
        </w:numPr>
        <w:spacing w:after="0" w:line="240" w:lineRule="auto"/>
        <w:jc w:val="both"/>
      </w:pPr>
      <w:r>
        <w:t>Porušení podmínky publicity dle čl. III. odst. 9</w:t>
      </w:r>
      <w:r>
        <w:tab/>
      </w:r>
      <w:r>
        <w:tab/>
        <w:t xml:space="preserve">10 % </w:t>
      </w:r>
      <w:r>
        <w:tab/>
        <w:t>poskytnuté dotace</w:t>
      </w:r>
    </w:p>
    <w:p w:rsidR="007E67AB" w:rsidRDefault="007E67AB" w:rsidP="007E67AB">
      <w:pPr>
        <w:pStyle w:val="Odstavecseseznamem"/>
        <w:numPr>
          <w:ilvl w:val="0"/>
          <w:numId w:val="27"/>
        </w:numPr>
        <w:spacing w:after="0" w:line="240" w:lineRule="auto"/>
        <w:jc w:val="both"/>
      </w:pPr>
      <w:r>
        <w:t>Předložení kompletního vyúčtování po stanovené lhůtě:</w:t>
      </w:r>
    </w:p>
    <w:p w:rsidR="007E67AB" w:rsidRDefault="007E67AB" w:rsidP="007E67AB">
      <w:pPr>
        <w:pStyle w:val="Odstavecseseznamem"/>
        <w:spacing w:after="0" w:line="240" w:lineRule="auto"/>
        <w:ind w:left="1440"/>
        <w:jc w:val="both"/>
      </w:pPr>
      <w:r>
        <w:t>do 7 kalendářních dnů</w:t>
      </w:r>
      <w:r>
        <w:tab/>
      </w:r>
      <w:r>
        <w:tab/>
      </w:r>
      <w:r>
        <w:tab/>
      </w:r>
      <w:r>
        <w:tab/>
        <w:t xml:space="preserve">5% </w:t>
      </w:r>
      <w:r>
        <w:tab/>
        <w:t>poskytnuté dotace</w:t>
      </w:r>
    </w:p>
    <w:p w:rsidR="007E67AB" w:rsidRDefault="007E67AB" w:rsidP="007E67AB">
      <w:pPr>
        <w:pStyle w:val="Odstavecseseznamem"/>
        <w:spacing w:after="0" w:line="240" w:lineRule="auto"/>
        <w:ind w:left="1440"/>
        <w:jc w:val="both"/>
      </w:pPr>
      <w:r>
        <w:t>od 8 do 14 kalendářních dnů</w:t>
      </w:r>
      <w:r>
        <w:tab/>
      </w:r>
      <w:r>
        <w:tab/>
      </w:r>
      <w:r>
        <w:tab/>
        <w:t xml:space="preserve">10% </w:t>
      </w:r>
      <w:r>
        <w:tab/>
        <w:t>poskytnuté dotace</w:t>
      </w:r>
    </w:p>
    <w:p w:rsidR="007E67AB" w:rsidRDefault="007E67AB" w:rsidP="007E67AB">
      <w:pPr>
        <w:pStyle w:val="Odstavecseseznamem"/>
        <w:spacing w:after="0" w:line="240" w:lineRule="auto"/>
        <w:ind w:left="1440"/>
        <w:jc w:val="both"/>
      </w:pPr>
      <w:r>
        <w:t>od 15 do 30 kalendářních dnů</w:t>
      </w:r>
      <w:r>
        <w:tab/>
      </w:r>
      <w:r>
        <w:tab/>
      </w:r>
      <w:r>
        <w:tab/>
        <w:t xml:space="preserve">20% </w:t>
      </w:r>
      <w:r>
        <w:tab/>
        <w:t>poskytnuté dotace</w:t>
      </w:r>
    </w:p>
    <w:p w:rsidR="007E67AB" w:rsidRDefault="007E67AB" w:rsidP="007E67AB">
      <w:pPr>
        <w:pStyle w:val="Odstavecseseznamem"/>
        <w:numPr>
          <w:ilvl w:val="0"/>
          <w:numId w:val="27"/>
        </w:numPr>
        <w:spacing w:after="0" w:line="240" w:lineRule="auto"/>
        <w:jc w:val="both"/>
      </w:pPr>
      <w:r>
        <w:t>Nepředložení vyúčtování</w:t>
      </w:r>
      <w:r>
        <w:tab/>
      </w:r>
      <w:r>
        <w:tab/>
      </w:r>
      <w:r>
        <w:tab/>
      </w:r>
      <w:r>
        <w:tab/>
        <w:t xml:space="preserve">100% </w:t>
      </w:r>
      <w:r>
        <w:tab/>
        <w:t>poskytnuté dotace</w:t>
      </w:r>
    </w:p>
    <w:p w:rsidR="007E67AB" w:rsidRDefault="007E67AB" w:rsidP="007E67AB">
      <w:pPr>
        <w:pStyle w:val="Odstavecseseznamem"/>
        <w:numPr>
          <w:ilvl w:val="0"/>
          <w:numId w:val="27"/>
        </w:numPr>
        <w:spacing w:after="0" w:line="240" w:lineRule="auto"/>
        <w:jc w:val="both"/>
      </w:pPr>
      <w:r>
        <w:t>Nedodržení sjednané výše spolufinancování</w:t>
      </w:r>
      <w:r>
        <w:tab/>
      </w:r>
      <w:r>
        <w:tab/>
        <w:t>1 - 30% poskytnuté dotace</w:t>
      </w:r>
    </w:p>
    <w:p w:rsidR="007E67AB" w:rsidRDefault="007E67AB" w:rsidP="007E67AB">
      <w:pPr>
        <w:pStyle w:val="Odstavecseseznamem"/>
        <w:numPr>
          <w:ilvl w:val="0"/>
          <w:numId w:val="27"/>
        </w:numPr>
        <w:spacing w:after="0" w:line="240" w:lineRule="auto"/>
      </w:pPr>
      <w:r>
        <w:t>Kvalita provedení realizovaného podporovaného předmětu dotace neodpovídá účelu dotace</w:t>
      </w:r>
      <w:r>
        <w:tab/>
      </w:r>
      <w:r>
        <w:tab/>
      </w:r>
      <w:r>
        <w:tab/>
      </w:r>
      <w:r>
        <w:tab/>
      </w:r>
      <w:r>
        <w:tab/>
      </w:r>
      <w:r>
        <w:tab/>
        <w:t xml:space="preserve">10% </w:t>
      </w:r>
      <w:r>
        <w:tab/>
        <w:t>poskytnuté dotace</w:t>
      </w:r>
    </w:p>
    <w:p w:rsidR="007E67AB" w:rsidRDefault="007E67AB" w:rsidP="007E67AB">
      <w:pPr>
        <w:pStyle w:val="Odstavecseseznamem"/>
        <w:numPr>
          <w:ilvl w:val="0"/>
          <w:numId w:val="27"/>
        </w:numPr>
        <w:spacing w:after="0" w:line="240" w:lineRule="auto"/>
      </w:pPr>
      <w:r>
        <w:t>Chybějící archivace</w:t>
      </w:r>
      <w:r>
        <w:tab/>
        <w:t>dokladů</w:t>
      </w:r>
      <w:r>
        <w:tab/>
      </w:r>
      <w:r>
        <w:tab/>
      </w:r>
      <w:r>
        <w:tab/>
        <w:t xml:space="preserve">20% </w:t>
      </w:r>
      <w:r>
        <w:tab/>
        <w:t>poskytnuté dotace</w:t>
      </w:r>
    </w:p>
    <w:p w:rsidR="007E67AB" w:rsidRDefault="007E67AB" w:rsidP="007E67AB">
      <w:pPr>
        <w:pStyle w:val="Odstavecseseznamem"/>
        <w:numPr>
          <w:ilvl w:val="0"/>
          <w:numId w:val="27"/>
        </w:numPr>
        <w:spacing w:after="0" w:line="240" w:lineRule="auto"/>
        <w:jc w:val="both"/>
      </w:pPr>
      <w:r>
        <w:t>Neposkytnutí či nepředložení požadovaných dokladů</w:t>
      </w:r>
      <w:r>
        <w:tab/>
        <w:t xml:space="preserve">100% </w:t>
      </w:r>
      <w:r>
        <w:tab/>
        <w:t>poskytnuté dotace</w:t>
      </w:r>
    </w:p>
    <w:p w:rsidR="007E67AB" w:rsidRPr="000A13E3" w:rsidRDefault="007E67AB" w:rsidP="007E67AB">
      <w:pPr>
        <w:spacing w:after="0" w:line="240" w:lineRule="auto"/>
        <w:ind w:left="720"/>
        <w:contextualSpacing/>
        <w:jc w:val="both"/>
        <w:rPr>
          <w:rFonts w:asciiTheme="minorHAnsi" w:eastAsiaTheme="minorHAnsi" w:hAnsiTheme="minorHAnsi" w:cstheme="minorBidi"/>
        </w:rPr>
      </w:pP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Odvody za porušení rozpočtové kázně při použití téže dotace se sčítají. </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Dnem porušení rozpočtové kázně je den, kdy byly poskytnuté peněžní prostředky neoprávněně použity, nebo den jejich připsání na účet příjemce u dotací poskytovaných zpětně. </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či její části se považují za vrácené dnem, kdy byly připsány na účet poskytovatele.</w:t>
      </w:r>
    </w:p>
    <w:p w:rsidR="000A13E3" w:rsidRPr="000A13E3" w:rsidRDefault="000A13E3" w:rsidP="000A13E3">
      <w:pPr>
        <w:spacing w:after="0" w:line="240" w:lineRule="auto"/>
        <w:ind w:left="360"/>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Ukončení smlouvy</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Smlouvu lze ukončit na základě písemné dohody obou smluvních stran nebo písemnou výpovědí Smlouvy, a to za podmínek dále stanovených.</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Poskytovatel může Smlouvu vypovědět jak před proplacením, tak i po proplacení dotace.</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Výpovědními důvody dle předchozího odstavce je porušení povinností příjemcem dotace stanovených touto Smlouvou nebo obecně závaznými právními předpisy, kterého se příjemce dopustí zejména pokud:</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svým jednáním poruší rozpočtovou kázeň dle zákona č. 250/2000 Sb., o rozpočtových pravidlech územních rozpočtů, v platném znění,</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poruší pravidla veřejné podpory,</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bylo zahájeno insolvenční řízení podle zákona č. 182/2006 Sb., o úpadku a způsobech jeho řešení, ve znění pozdějších předpisů,</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příjemce uvedl nepravdivé, neúplné nebo zkreslené údaje, na které se váže uzavření této smlouvy,</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je v likvidaci,</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změní právní formu a stane se tak nezpůsobilým příjemcem dotace pro danou oblast podpory,</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opakovaně neplní povinnosti stanovené touto smlouvou, i když byl k jejich nápravě vyzván poskytovatelem. </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Výpověď smlouvy musí být učiněna písemně a musí v ní být uvedeny důvody jejího podání.</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Výpovědní lhůta činí jeden měsíc a začne běžet od prvního dne měsíce následujícího po měsíci, v němž byla výpověď doručena příjemci dotace. Účinky výpovědi nastávají dnem uplynutí výpovědní lhůty. </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Dohoda o ukončení smlouvy nabývá účinnosti dnem připsání vrácení peněžních prostředků na účet poskytovatele, nedohodnou-li se smluvní strany jinak.</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0A13E3" w:rsidRPr="000A13E3" w:rsidRDefault="000A13E3" w:rsidP="000A13E3">
      <w:pPr>
        <w:spacing w:line="240" w:lineRule="auto"/>
        <w:ind w:left="720"/>
        <w:contextualSpacing/>
        <w:jc w:val="both"/>
        <w:rPr>
          <w:rFonts w:asciiTheme="minorHAnsi" w:eastAsiaTheme="minorHAnsi" w:hAnsiTheme="minorHAnsi" w:cstheme="minorHAns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HAnsi"/>
        </w:rPr>
      </w:pPr>
      <w:r w:rsidRPr="000A13E3">
        <w:rPr>
          <w:rFonts w:asciiTheme="minorHAnsi" w:eastAsiaTheme="minorHAnsi" w:hAnsiTheme="minorHAnsi" w:cstheme="minorHAnsi"/>
        </w:rPr>
        <w:t>Závěrečná ustanovení</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Administraci dotace dle této smlouvy zabezpečuje: Městský úřad Kroměříž, Odbor sociálních věcí a zdravotnictví, Velké náměstí 115, 767 01 Kroměříž. Uvedená adresa slouží pro doručování veškerých souvisejících písemností, které musí obsahovat číslo smlouvy a název příjemce.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0A13E3">
          <w:rPr>
            <w:rFonts w:asciiTheme="minorHAnsi" w:eastAsiaTheme="minorHAnsi" w:hAnsiTheme="minorHAnsi" w:cstheme="minorHAnsi"/>
            <w:color w:val="0563C1" w:themeColor="hyperlink"/>
            <w:u w:val="single"/>
          </w:rPr>
          <w:t>www.mesto-kromeriz.cz</w:t>
        </w:r>
      </w:hyperlink>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Příjemce bere na vědomí, že na dotaci není právní nárok.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Tato smlouva nabývá účinnosti dnem jejího zveřejnění v registru smluv.</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Podpořený předmět dotace nemá hospodářskou povahu a podpora tohoto předmětu dotace navíc neovlivňuje obchod mezi členskými státy EU.  Proto poskytnutí dotace na základě této smlouvy nezakládá veřejnou podporu ve smyslu článku 107 odst. 1 Smlouvy o fungování Evropské unie.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Smlouva je vyhotovena ve třech stejnopisech, z nichž poskytovatel obdrží dvě vyhotovení a příjemce jedno vyhotovení.</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Smluvní strany svými podpisy stvrzují, že smlouva byla sjednána na základě jejich pravé a svobodné vůle, nikoli v tísni za nápadně nevýhodných podmínek.</w:t>
      </w:r>
    </w:p>
    <w:p w:rsidR="000A13E3" w:rsidRPr="000A13E3" w:rsidRDefault="000A13E3" w:rsidP="000A13E3">
      <w:pPr>
        <w:numPr>
          <w:ilvl w:val="2"/>
          <w:numId w:val="26"/>
        </w:numPr>
        <w:spacing w:after="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Nedílnou součástí této smlouvy jsou tyto přílohy:</w:t>
      </w:r>
    </w:p>
    <w:p w:rsidR="000A13E3" w:rsidRDefault="000A13E3" w:rsidP="000A13E3">
      <w:pPr>
        <w:spacing w:after="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příloha č. 1 – Formulář vyúčtování dotace</w:t>
      </w:r>
    </w:p>
    <w:p w:rsidR="000A13E3" w:rsidRDefault="000A13E3" w:rsidP="000A13E3">
      <w:pPr>
        <w:spacing w:after="0" w:line="240" w:lineRule="auto"/>
        <w:ind w:left="709"/>
        <w:contextualSpacing/>
        <w:jc w:val="both"/>
        <w:rPr>
          <w:rFonts w:asciiTheme="minorHAnsi" w:eastAsiaTheme="minorHAnsi" w:hAnsiTheme="minorHAnsi" w:cstheme="minorHAnsi"/>
        </w:rPr>
      </w:pPr>
    </w:p>
    <w:p w:rsidR="000A13E3" w:rsidRPr="000A13E3" w:rsidRDefault="000A13E3" w:rsidP="000A13E3">
      <w:pPr>
        <w:spacing w:after="0" w:line="240" w:lineRule="auto"/>
        <w:jc w:val="both"/>
        <w:rPr>
          <w:rFonts w:ascii="Arial Narrow" w:eastAsiaTheme="minorHAnsi" w:hAnsi="Arial Narrow" w:cstheme="minorBidi"/>
          <w:highlight w:val="yellow"/>
        </w:rPr>
      </w:pPr>
    </w:p>
    <w:p w:rsidR="000A13E3" w:rsidRPr="000A13E3" w:rsidRDefault="000A13E3" w:rsidP="000A13E3">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HAnsi" w:hAnsiTheme="minorHAnsi" w:cstheme="minorHAnsi"/>
        </w:rPr>
      </w:pPr>
      <w:r w:rsidRPr="000A13E3">
        <w:rPr>
          <w:rFonts w:asciiTheme="minorHAnsi" w:eastAsiaTheme="minorHAnsi" w:hAnsiTheme="minorHAnsi" w:cstheme="minorHAnsi"/>
        </w:rPr>
        <w:t>Doložka podle § 41 obecního zřízení:</w:t>
      </w:r>
    </w:p>
    <w:p w:rsidR="000A13E3" w:rsidRPr="000A13E3" w:rsidRDefault="000A13E3" w:rsidP="000A13E3">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HAnsi" w:hAnsiTheme="minorHAnsi" w:cstheme="minorHAnsi"/>
        </w:rPr>
      </w:pPr>
    </w:p>
    <w:p w:rsidR="000A13E3" w:rsidRPr="000A13E3" w:rsidRDefault="000A13E3" w:rsidP="000A13E3">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HAnsi" w:hAnsiTheme="minorHAnsi" w:cstheme="minorHAnsi"/>
        </w:rPr>
      </w:pPr>
      <w:r w:rsidRPr="000A13E3">
        <w:rPr>
          <w:rFonts w:asciiTheme="minorHAnsi" w:eastAsiaTheme="minorHAnsi" w:hAnsiTheme="minorHAnsi" w:cstheme="minorHAnsi"/>
        </w:rPr>
        <w:t>Schváleno k financování městem Kroměříže na XXV. zasedání ZMK dne 9. prosince 2021 č. usnesení XV.</w:t>
      </w:r>
    </w:p>
    <w:p w:rsidR="000A13E3" w:rsidRPr="000A13E3" w:rsidRDefault="000A13E3" w:rsidP="000A13E3">
      <w:pPr>
        <w:spacing w:after="0" w:line="259" w:lineRule="auto"/>
        <w:rPr>
          <w:rFonts w:asciiTheme="minorHAnsi" w:eastAsiaTheme="minorHAnsi" w:hAnsiTheme="minorHAnsi" w:cstheme="minorHAnsi"/>
        </w:rPr>
      </w:pPr>
    </w:p>
    <w:p w:rsidR="000A13E3" w:rsidRPr="000A13E3" w:rsidRDefault="000A13E3" w:rsidP="000A13E3">
      <w:pPr>
        <w:spacing w:after="0" w:line="259" w:lineRule="auto"/>
        <w:rPr>
          <w:rFonts w:asciiTheme="minorHAnsi" w:eastAsiaTheme="minorHAnsi" w:hAnsiTheme="minorHAnsi" w:cstheme="minorHAnsi"/>
        </w:rPr>
      </w:pPr>
      <w:r w:rsidRPr="000A13E3">
        <w:rPr>
          <w:rFonts w:asciiTheme="minorHAnsi" w:eastAsiaTheme="minorHAnsi" w:hAnsiTheme="minorHAnsi" w:cstheme="minorHAnsi"/>
        </w:rPr>
        <w:t xml:space="preserve">V Kroměříži </w:t>
      </w:r>
      <w:r w:rsidR="0089306E">
        <w:rPr>
          <w:rFonts w:asciiTheme="minorHAnsi" w:eastAsiaTheme="minorHAnsi" w:hAnsiTheme="minorHAnsi" w:cstheme="minorHAnsi"/>
        </w:rPr>
        <w:t>2. 2. 2022</w:t>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0089306E">
        <w:rPr>
          <w:rFonts w:asciiTheme="minorHAnsi" w:eastAsiaTheme="minorHAnsi" w:hAnsiTheme="minorHAnsi" w:cstheme="minorHAnsi"/>
        </w:rPr>
        <w:tab/>
      </w:r>
      <w:r w:rsidR="0089306E">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t xml:space="preserve">V Kroměříži </w:t>
      </w:r>
      <w:r w:rsidR="0089306E">
        <w:rPr>
          <w:rFonts w:asciiTheme="minorHAnsi" w:eastAsiaTheme="minorHAnsi" w:hAnsiTheme="minorHAnsi" w:cstheme="minorHAnsi"/>
        </w:rPr>
        <w:t>19. 1. 2022</w:t>
      </w:r>
    </w:p>
    <w:p w:rsidR="000A13E3" w:rsidRPr="000A13E3" w:rsidRDefault="000A13E3" w:rsidP="000A13E3">
      <w:pPr>
        <w:spacing w:after="0" w:line="259" w:lineRule="auto"/>
        <w:rPr>
          <w:rFonts w:asciiTheme="minorHAnsi" w:eastAsiaTheme="minorHAnsi" w:hAnsiTheme="minorHAnsi" w:cstheme="minorHAnsi"/>
        </w:rPr>
      </w:pPr>
    </w:p>
    <w:p w:rsidR="000A13E3" w:rsidRPr="000A13E3" w:rsidRDefault="000A13E3" w:rsidP="000A13E3">
      <w:pPr>
        <w:spacing w:after="160" w:line="259" w:lineRule="auto"/>
        <w:rPr>
          <w:rFonts w:asciiTheme="minorHAnsi" w:eastAsiaTheme="minorHAnsi" w:hAnsiTheme="minorHAnsi" w:cstheme="minorHAnsi"/>
        </w:rPr>
      </w:pPr>
      <w:r w:rsidRPr="000A13E3">
        <w:rPr>
          <w:rFonts w:asciiTheme="minorHAnsi" w:eastAsiaTheme="minorHAnsi" w:hAnsiTheme="minorHAnsi" w:cstheme="minorHAnsi"/>
        </w:rPr>
        <w:t>za poskytovatele</w:t>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t xml:space="preserve">za příjemce </w:t>
      </w:r>
    </w:p>
    <w:p w:rsidR="000A13E3" w:rsidRPr="000A13E3" w:rsidRDefault="000A13E3" w:rsidP="000A13E3">
      <w:pPr>
        <w:spacing w:after="160" w:line="259" w:lineRule="auto"/>
        <w:rPr>
          <w:rFonts w:asciiTheme="minorHAnsi" w:eastAsiaTheme="minorHAnsi" w:hAnsiTheme="minorHAnsi" w:cstheme="minorHAnsi"/>
        </w:rPr>
      </w:pPr>
    </w:p>
    <w:p w:rsidR="000A13E3" w:rsidRPr="000A13E3" w:rsidRDefault="000A13E3" w:rsidP="000A13E3">
      <w:pPr>
        <w:spacing w:after="0" w:line="259" w:lineRule="auto"/>
        <w:rPr>
          <w:rFonts w:asciiTheme="minorHAnsi" w:eastAsiaTheme="minorHAnsi" w:hAnsiTheme="minorHAnsi" w:cstheme="minorHAnsi"/>
        </w:rPr>
      </w:pPr>
      <w:r w:rsidRPr="000A13E3">
        <w:rPr>
          <w:rFonts w:asciiTheme="minorHAnsi" w:eastAsiaTheme="minorHAnsi" w:hAnsiTheme="minorHAnsi" w:cstheme="minorHAnsi"/>
        </w:rPr>
        <w:t>………………………………</w:t>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t>………………………………</w:t>
      </w:r>
    </w:p>
    <w:p w:rsidR="000A13E3" w:rsidRPr="000A13E3" w:rsidRDefault="000A13E3" w:rsidP="000A13E3">
      <w:pPr>
        <w:spacing w:after="0" w:line="259" w:lineRule="auto"/>
        <w:rPr>
          <w:rFonts w:asciiTheme="minorHAnsi" w:eastAsiaTheme="minorHAnsi" w:hAnsiTheme="minorHAnsi" w:cstheme="minorHAnsi"/>
        </w:rPr>
      </w:pPr>
      <w:r w:rsidRPr="000A13E3">
        <w:rPr>
          <w:rFonts w:asciiTheme="minorHAnsi" w:eastAsiaTheme="minorHAnsi" w:hAnsiTheme="minorHAnsi" w:cstheme="minorHAnsi"/>
        </w:rPr>
        <w:t>Mgr. Jaroslav Němec</w:t>
      </w:r>
      <w:r w:rsidR="0089306E">
        <w:rPr>
          <w:rFonts w:asciiTheme="minorHAnsi" w:eastAsiaTheme="minorHAnsi" w:hAnsiTheme="minorHAnsi" w:cstheme="minorHAnsi"/>
        </w:rPr>
        <w:t>, v. r.</w:t>
      </w:r>
      <w:r w:rsidRPr="000A13E3">
        <w:rPr>
          <w:rFonts w:asciiTheme="minorHAnsi" w:eastAsiaTheme="minorHAnsi" w:hAnsiTheme="minorHAnsi" w:cstheme="minorHAnsi"/>
        </w:rPr>
        <w:t xml:space="preserve"> </w:t>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t>Mgr. Robert Hasala</w:t>
      </w:r>
      <w:r w:rsidR="0089306E">
        <w:rPr>
          <w:rFonts w:asciiTheme="minorHAnsi" w:eastAsiaTheme="minorHAnsi" w:hAnsiTheme="minorHAnsi" w:cstheme="minorHAnsi"/>
        </w:rPr>
        <w:t>, v. r.</w:t>
      </w:r>
    </w:p>
    <w:p w:rsidR="000A13E3" w:rsidRPr="000A13E3" w:rsidRDefault="000A13E3" w:rsidP="000A13E3">
      <w:pPr>
        <w:spacing w:after="0" w:line="259" w:lineRule="auto"/>
        <w:rPr>
          <w:rFonts w:asciiTheme="minorHAnsi" w:eastAsiaTheme="minorHAnsi" w:hAnsiTheme="minorHAnsi" w:cstheme="minorHAnsi"/>
        </w:rPr>
      </w:pPr>
      <w:r w:rsidRPr="000A13E3">
        <w:rPr>
          <w:rFonts w:asciiTheme="minorHAnsi" w:eastAsiaTheme="minorHAnsi" w:hAnsiTheme="minorHAnsi" w:cstheme="minorHAnsi"/>
        </w:rPr>
        <w:t xml:space="preserve">starosta </w:t>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t>ředitel</w:t>
      </w:r>
      <w:r w:rsidRPr="000A13E3">
        <w:rPr>
          <w:rFonts w:asciiTheme="minorHAnsi" w:eastAsiaTheme="minorHAnsi" w:hAnsiTheme="minorHAnsi" w:cstheme="minorHAnsi"/>
        </w:rPr>
        <w:tab/>
        <w:t xml:space="preserve"> </w:t>
      </w:r>
    </w:p>
    <w:p w:rsidR="00CE5541" w:rsidRDefault="00CE5541" w:rsidP="0033334E"/>
    <w:p w:rsidR="000A13E3" w:rsidRDefault="000A13E3" w:rsidP="0033334E"/>
    <w:tbl>
      <w:tblPr>
        <w:tblW w:w="9040" w:type="dxa"/>
        <w:tblCellMar>
          <w:left w:w="70" w:type="dxa"/>
          <w:right w:w="70" w:type="dxa"/>
        </w:tblCellMar>
        <w:tblLook w:val="04A0" w:firstRow="1" w:lastRow="0" w:firstColumn="1" w:lastColumn="0" w:noHBand="0" w:noVBand="1"/>
      </w:tblPr>
      <w:tblGrid>
        <w:gridCol w:w="3120"/>
        <w:gridCol w:w="3020"/>
        <w:gridCol w:w="1960"/>
        <w:gridCol w:w="940"/>
      </w:tblGrid>
      <w:tr w:rsidR="000A13E3" w:rsidRPr="000A13E3" w:rsidTr="00B87CDF">
        <w:trPr>
          <w:trHeight w:val="750"/>
        </w:trPr>
        <w:tc>
          <w:tcPr>
            <w:tcW w:w="9040" w:type="dxa"/>
            <w:gridSpan w:val="4"/>
            <w:tcBorders>
              <w:top w:val="single" w:sz="8" w:space="0" w:color="auto"/>
              <w:left w:val="single" w:sz="8" w:space="0" w:color="auto"/>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b/>
                <w:bCs/>
                <w:i/>
                <w:iCs/>
                <w:sz w:val="24"/>
                <w:szCs w:val="24"/>
                <w:lang w:eastAsia="cs-CZ"/>
              </w:rPr>
            </w:pPr>
            <w:r w:rsidRPr="000A13E3">
              <w:rPr>
                <w:rFonts w:ascii="Arial" w:eastAsia="Times New Roman" w:hAnsi="Arial" w:cs="Arial"/>
                <w:b/>
                <w:bCs/>
                <w:i/>
                <w:iCs/>
                <w:sz w:val="24"/>
                <w:szCs w:val="24"/>
                <w:lang w:eastAsia="cs-CZ"/>
              </w:rPr>
              <w:t>Vyúčtování individuální dotace</w:t>
            </w:r>
          </w:p>
        </w:tc>
      </w:tr>
      <w:tr w:rsidR="000A13E3" w:rsidRPr="000A13E3" w:rsidTr="00B87CDF">
        <w:trPr>
          <w:trHeight w:val="330"/>
        </w:trPr>
        <w:tc>
          <w:tcPr>
            <w:tcW w:w="9040" w:type="dxa"/>
            <w:gridSpan w:val="4"/>
            <w:tcBorders>
              <w:top w:val="single" w:sz="8" w:space="0" w:color="auto"/>
              <w:left w:val="single" w:sz="8" w:space="0" w:color="auto"/>
              <w:bottom w:val="single" w:sz="8" w:space="0" w:color="auto"/>
              <w:right w:val="single" w:sz="8" w:space="0" w:color="000000"/>
            </w:tcBorders>
            <w:vAlign w:val="center"/>
            <w:hideMark/>
          </w:tcPr>
          <w:p w:rsidR="000A13E3" w:rsidRPr="000A13E3" w:rsidRDefault="000A13E3" w:rsidP="000A13E3">
            <w:pPr>
              <w:spacing w:after="0" w:line="240" w:lineRule="auto"/>
              <w:rPr>
                <w:rFonts w:ascii="Arial" w:eastAsia="Times New Roman" w:hAnsi="Arial" w:cs="Arial"/>
                <w:b/>
                <w:bCs/>
                <w:i/>
                <w:iCs/>
                <w:lang w:eastAsia="cs-CZ"/>
              </w:rPr>
            </w:pPr>
            <w:r w:rsidRPr="000A13E3">
              <w:rPr>
                <w:rFonts w:ascii="Arial" w:eastAsia="Times New Roman" w:hAnsi="Arial" w:cs="Arial"/>
                <w:b/>
                <w:bCs/>
                <w:i/>
                <w:iCs/>
                <w:lang w:eastAsia="cs-CZ"/>
              </w:rPr>
              <w:t>Název organizace:</w:t>
            </w:r>
          </w:p>
        </w:tc>
      </w:tr>
      <w:tr w:rsidR="000A13E3" w:rsidRPr="000A13E3" w:rsidTr="00B87CDF">
        <w:trPr>
          <w:trHeight w:val="315"/>
        </w:trPr>
        <w:tc>
          <w:tcPr>
            <w:tcW w:w="9040" w:type="dxa"/>
            <w:gridSpan w:val="4"/>
            <w:tcBorders>
              <w:top w:val="single" w:sz="8" w:space="0" w:color="auto"/>
              <w:left w:val="single" w:sz="8" w:space="0" w:color="auto"/>
              <w:bottom w:val="single" w:sz="8" w:space="0" w:color="auto"/>
              <w:right w:val="single" w:sz="8" w:space="0" w:color="000000"/>
            </w:tcBorders>
            <w:vAlign w:val="center"/>
            <w:hideMark/>
          </w:tcPr>
          <w:p w:rsidR="000A13E3" w:rsidRPr="000A13E3" w:rsidRDefault="000A13E3" w:rsidP="000A13E3">
            <w:pPr>
              <w:spacing w:after="160" w:line="259" w:lineRule="auto"/>
              <w:rPr>
                <w:rFonts w:ascii="Arial" w:eastAsia="Times New Roman" w:hAnsi="Arial" w:cs="Arial"/>
                <w:b/>
                <w:bCs/>
                <w:i/>
                <w:iCs/>
                <w:lang w:eastAsia="cs-CZ"/>
              </w:rPr>
            </w:pPr>
          </w:p>
        </w:tc>
      </w:tr>
      <w:tr w:rsidR="000A13E3" w:rsidRPr="000A13E3" w:rsidTr="00B87CDF">
        <w:trPr>
          <w:trHeight w:val="315"/>
        </w:trPr>
        <w:tc>
          <w:tcPr>
            <w:tcW w:w="9040" w:type="dxa"/>
            <w:gridSpan w:val="4"/>
            <w:tcBorders>
              <w:top w:val="single" w:sz="8" w:space="0" w:color="auto"/>
              <w:left w:val="single" w:sz="8" w:space="0" w:color="auto"/>
              <w:bottom w:val="single" w:sz="8" w:space="0" w:color="auto"/>
              <w:right w:val="single" w:sz="8" w:space="0" w:color="000000"/>
            </w:tcBorders>
            <w:vAlign w:val="center"/>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330"/>
        </w:trPr>
        <w:tc>
          <w:tcPr>
            <w:tcW w:w="9040" w:type="dxa"/>
            <w:gridSpan w:val="4"/>
            <w:tcBorders>
              <w:top w:val="single" w:sz="8" w:space="0" w:color="auto"/>
              <w:left w:val="single" w:sz="8" w:space="0" w:color="auto"/>
              <w:bottom w:val="single" w:sz="8" w:space="0" w:color="auto"/>
              <w:right w:val="single" w:sz="8" w:space="0" w:color="000000"/>
            </w:tcBorders>
            <w:vAlign w:val="center"/>
            <w:hideMark/>
          </w:tcPr>
          <w:p w:rsidR="000A13E3" w:rsidRPr="000A13E3" w:rsidRDefault="000A13E3" w:rsidP="000A13E3">
            <w:pPr>
              <w:spacing w:after="0" w:line="240" w:lineRule="auto"/>
              <w:rPr>
                <w:rFonts w:ascii="Arial" w:eastAsia="Times New Roman" w:hAnsi="Arial" w:cs="Arial"/>
                <w:b/>
                <w:bCs/>
                <w:i/>
                <w:iCs/>
                <w:lang w:eastAsia="cs-CZ"/>
              </w:rPr>
            </w:pPr>
            <w:r w:rsidRPr="000A13E3">
              <w:rPr>
                <w:rFonts w:ascii="Arial" w:eastAsia="Times New Roman" w:hAnsi="Arial" w:cs="Arial"/>
                <w:b/>
                <w:bCs/>
                <w:i/>
                <w:iCs/>
                <w:lang w:eastAsia="cs-CZ"/>
              </w:rPr>
              <w:t>Číslo žádosti (nevyplňujte, vyplní pracovníci města Kroměříže):</w:t>
            </w:r>
          </w:p>
        </w:tc>
      </w:tr>
      <w:tr w:rsidR="000A13E3" w:rsidRPr="000A13E3" w:rsidTr="00B87CDF">
        <w:trPr>
          <w:trHeight w:val="585"/>
        </w:trPr>
        <w:tc>
          <w:tcPr>
            <w:tcW w:w="3120" w:type="dxa"/>
            <w:tcBorders>
              <w:top w:val="nil"/>
              <w:left w:val="single" w:sz="8" w:space="0" w:color="auto"/>
              <w:bottom w:val="single" w:sz="8" w:space="0" w:color="auto"/>
              <w:right w:val="single" w:sz="8" w:space="0" w:color="auto"/>
            </w:tcBorders>
            <w:noWrap/>
            <w:vAlign w:val="center"/>
            <w:hideMark/>
          </w:tcPr>
          <w:p w:rsidR="000A13E3" w:rsidRPr="000A13E3" w:rsidRDefault="000A13E3" w:rsidP="000A13E3">
            <w:pPr>
              <w:spacing w:after="0" w:line="240" w:lineRule="auto"/>
              <w:jc w:val="center"/>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Nákladová položka</w:t>
            </w:r>
          </w:p>
        </w:tc>
        <w:tc>
          <w:tcPr>
            <w:tcW w:w="3020" w:type="dxa"/>
            <w:tcBorders>
              <w:top w:val="nil"/>
              <w:left w:val="nil"/>
              <w:bottom w:val="single" w:sz="8" w:space="0" w:color="auto"/>
              <w:right w:val="single" w:sz="8" w:space="0" w:color="auto"/>
            </w:tcBorders>
            <w:vAlign w:val="center"/>
            <w:hideMark/>
          </w:tcPr>
          <w:p w:rsidR="000A13E3" w:rsidRPr="000A13E3" w:rsidRDefault="000A13E3" w:rsidP="000A13E3">
            <w:pPr>
              <w:spacing w:after="0" w:line="240" w:lineRule="auto"/>
              <w:jc w:val="center"/>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Předpokládané náklady na službu</w:t>
            </w:r>
          </w:p>
        </w:tc>
        <w:tc>
          <w:tcPr>
            <w:tcW w:w="2900" w:type="dxa"/>
            <w:gridSpan w:val="2"/>
            <w:tcBorders>
              <w:top w:val="single" w:sz="8" w:space="0" w:color="auto"/>
              <w:left w:val="nil"/>
              <w:bottom w:val="single" w:sz="8" w:space="0" w:color="auto"/>
              <w:right w:val="single" w:sz="8" w:space="0" w:color="000000"/>
            </w:tcBorders>
            <w:vAlign w:val="center"/>
            <w:hideMark/>
          </w:tcPr>
          <w:p w:rsidR="000A13E3" w:rsidRPr="000A13E3" w:rsidRDefault="000A13E3" w:rsidP="000A13E3">
            <w:pPr>
              <w:spacing w:after="0" w:line="240" w:lineRule="auto"/>
              <w:jc w:val="center"/>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Požadavek od města Kroměříže</w:t>
            </w:r>
          </w:p>
        </w:tc>
      </w:tr>
      <w:tr w:rsidR="000A13E3" w:rsidRPr="000A13E3" w:rsidTr="00B87CDF">
        <w:trPr>
          <w:trHeight w:val="300"/>
        </w:trPr>
        <w:tc>
          <w:tcPr>
            <w:tcW w:w="3120" w:type="dxa"/>
            <w:tcBorders>
              <w:top w:val="nil"/>
              <w:left w:val="single" w:sz="8" w:space="0" w:color="auto"/>
              <w:bottom w:val="nil"/>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lang w:eastAsia="cs-CZ"/>
              </w:rPr>
            </w:pPr>
            <w:r w:rsidRPr="000A13E3">
              <w:rPr>
                <w:rFonts w:ascii="Arial" w:eastAsia="Times New Roman" w:hAnsi="Arial" w:cs="Arial"/>
                <w:b/>
                <w:bCs/>
                <w:i/>
                <w:iCs/>
                <w:lang w:eastAsia="cs-CZ"/>
              </w:rPr>
              <w:t>1. Provozní náklady</w:t>
            </w:r>
          </w:p>
        </w:tc>
        <w:tc>
          <w:tcPr>
            <w:tcW w:w="3020" w:type="dxa"/>
            <w:tcBorders>
              <w:top w:val="nil"/>
              <w:left w:val="nil"/>
              <w:bottom w:val="nil"/>
              <w:right w:val="single" w:sz="8" w:space="0" w:color="auto"/>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300"/>
        </w:trPr>
        <w:tc>
          <w:tcPr>
            <w:tcW w:w="3120" w:type="dxa"/>
            <w:tcBorders>
              <w:top w:val="single" w:sz="8"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18"/>
                <w:szCs w:val="18"/>
                <w:lang w:eastAsia="cs-CZ"/>
              </w:rPr>
            </w:pPr>
            <w:r w:rsidRPr="000A13E3">
              <w:rPr>
                <w:rFonts w:ascii="Arial" w:eastAsia="Times New Roman" w:hAnsi="Arial" w:cs="Arial"/>
                <w:b/>
                <w:bCs/>
                <w:i/>
                <w:iCs/>
                <w:sz w:val="20"/>
                <w:szCs w:val="20"/>
                <w:lang w:eastAsia="cs-CZ"/>
              </w:rPr>
              <w:t>1.1. Materiálové náklady</w:t>
            </w:r>
            <w:r w:rsidRPr="000A13E3">
              <w:rPr>
                <w:rFonts w:ascii="Arial" w:eastAsia="Times New Roman" w:hAnsi="Arial" w:cs="Arial"/>
                <w:b/>
                <w:bCs/>
                <w:i/>
                <w:iCs/>
                <w:sz w:val="18"/>
                <w:szCs w:val="18"/>
                <w:lang w:eastAsia="cs-CZ"/>
              </w:rPr>
              <w:t xml:space="preserve">  </w:t>
            </w:r>
          </w:p>
        </w:tc>
        <w:tc>
          <w:tcPr>
            <w:tcW w:w="3020" w:type="dxa"/>
            <w:tcBorders>
              <w:top w:val="single" w:sz="8" w:space="0" w:color="auto"/>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sz w:val="20"/>
                <w:szCs w:val="20"/>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kancelářské potřeby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pohonné hmoty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noWrap/>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zdravotnický materiál</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noWrap/>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potraviny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465"/>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color w:val="000000"/>
                <w:sz w:val="16"/>
                <w:szCs w:val="16"/>
                <w:lang w:eastAsia="cs-CZ"/>
              </w:rPr>
            </w:pPr>
            <w:r w:rsidRPr="000A13E3">
              <w:rPr>
                <w:rFonts w:ascii="Arial" w:eastAsia="Times New Roman" w:hAnsi="Arial" w:cs="Arial"/>
                <w:color w:val="000000"/>
                <w:sz w:val="16"/>
                <w:szCs w:val="16"/>
                <w:lang w:eastAsia="cs-CZ"/>
              </w:rPr>
              <w:t>drobný dlouhodobý hmotný majetek (do 40 tis. Kč)</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465"/>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drobný dlouhodobý nehmotný majetek (do 60 tis. Kč)</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ochranné a pracovní pomůcky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noWrap/>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ostatní materiál</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sz w:val="20"/>
                <w:szCs w:val="20"/>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 xml:space="preserve">1.2.Energie  </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spotřeba elektrické energie </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spotřeba vody </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spotřeba plynu</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spotřeba tepla</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285"/>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ostatní energie</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1.3.Opravy a udržování</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4"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opravy a udržování movitého majetku </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sz w:val="20"/>
                <w:szCs w:val="20"/>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opravy a udržování nemovitého majetku</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sz w:val="20"/>
                <w:szCs w:val="20"/>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noWrap/>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opravy ostatní</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nil"/>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7E67AB">
        <w:trPr>
          <w:trHeight w:val="300"/>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1.4. Cestovné včetně stravného</w:t>
            </w:r>
          </w:p>
        </w:tc>
        <w:tc>
          <w:tcPr>
            <w:tcW w:w="3020" w:type="dxa"/>
            <w:tcBorders>
              <w:top w:val="nil"/>
              <w:left w:val="nil"/>
              <w:bottom w:val="single" w:sz="4"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7E67AB">
        <w:trPr>
          <w:trHeight w:val="300"/>
        </w:trPr>
        <w:tc>
          <w:tcPr>
            <w:tcW w:w="3120" w:type="dxa"/>
            <w:tcBorders>
              <w:top w:val="single" w:sz="4" w:space="0" w:color="auto"/>
              <w:left w:val="single" w:sz="4" w:space="0" w:color="auto"/>
              <w:bottom w:val="single" w:sz="4" w:space="0" w:color="auto"/>
              <w:right w:val="single" w:sz="4"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1.5. Služby</w:t>
            </w:r>
          </w:p>
        </w:tc>
        <w:tc>
          <w:tcPr>
            <w:tcW w:w="3020" w:type="dxa"/>
            <w:tcBorders>
              <w:top w:val="single" w:sz="4" w:space="0" w:color="auto"/>
              <w:left w:val="single" w:sz="4" w:space="0" w:color="auto"/>
              <w:bottom w:val="single" w:sz="4" w:space="0" w:color="auto"/>
              <w:right w:val="single" w:sz="4"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4" w:space="0" w:color="auto"/>
              <w:left w:val="single" w:sz="4" w:space="0" w:color="auto"/>
              <w:bottom w:val="nil"/>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7E67AB">
        <w:trPr>
          <w:trHeight w:val="300"/>
        </w:trPr>
        <w:tc>
          <w:tcPr>
            <w:tcW w:w="3120" w:type="dxa"/>
            <w:tcBorders>
              <w:top w:val="single" w:sz="4" w:space="0" w:color="auto"/>
              <w:left w:val="single" w:sz="4" w:space="0" w:color="auto"/>
              <w:bottom w:val="single" w:sz="4" w:space="0" w:color="auto"/>
              <w:right w:val="single" w:sz="4" w:space="0" w:color="auto"/>
            </w:tcBorders>
            <w:noWrap/>
            <w:vAlign w:val="bottom"/>
            <w:hideMark/>
          </w:tcPr>
          <w:p w:rsidR="000A13E3" w:rsidRPr="000A13E3" w:rsidRDefault="000A13E3" w:rsidP="000A13E3">
            <w:pPr>
              <w:spacing w:after="0" w:line="240" w:lineRule="auto"/>
              <w:rPr>
                <w:rFonts w:ascii="Arial" w:eastAsia="Times New Roman" w:hAnsi="Arial" w:cs="Arial"/>
                <w:color w:val="000000"/>
                <w:sz w:val="16"/>
                <w:szCs w:val="16"/>
                <w:lang w:eastAsia="cs-CZ"/>
              </w:rPr>
            </w:pPr>
            <w:r w:rsidRPr="000A13E3">
              <w:rPr>
                <w:rFonts w:ascii="Arial" w:eastAsia="Times New Roman" w:hAnsi="Arial" w:cs="Arial"/>
                <w:color w:val="000000"/>
                <w:sz w:val="16"/>
                <w:szCs w:val="16"/>
                <w:lang w:eastAsia="cs-CZ"/>
              </w:rPr>
              <w:t xml:space="preserve">právní a ekonomické služby </w:t>
            </w:r>
          </w:p>
        </w:tc>
        <w:tc>
          <w:tcPr>
            <w:tcW w:w="3020" w:type="dxa"/>
            <w:tcBorders>
              <w:top w:val="single" w:sz="4" w:space="0" w:color="auto"/>
              <w:left w:val="single" w:sz="4" w:space="0" w:color="auto"/>
              <w:bottom w:val="single" w:sz="4" w:space="0" w:color="auto"/>
              <w:right w:val="single" w:sz="4"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single" w:sz="4" w:space="0" w:color="auto"/>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7E67AB">
        <w:trPr>
          <w:trHeight w:val="300"/>
        </w:trPr>
        <w:tc>
          <w:tcPr>
            <w:tcW w:w="3120" w:type="dxa"/>
            <w:tcBorders>
              <w:top w:val="single" w:sz="4"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nájemné nemovitého majetku </w:t>
            </w:r>
          </w:p>
        </w:tc>
        <w:tc>
          <w:tcPr>
            <w:tcW w:w="3020" w:type="dxa"/>
            <w:tcBorders>
              <w:top w:val="single" w:sz="4" w:space="0" w:color="auto"/>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465"/>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nájemné movitého majetku (vč. operativního leasingu)</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0A13E3">
        <w:trPr>
          <w:trHeight w:val="465"/>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telefony, internet, poštovné, ostatní spoje </w:t>
            </w:r>
          </w:p>
        </w:tc>
        <w:tc>
          <w:tcPr>
            <w:tcW w:w="3020" w:type="dxa"/>
            <w:tcBorders>
              <w:top w:val="nil"/>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0A13E3">
        <w:trPr>
          <w:trHeight w:val="585"/>
        </w:trPr>
        <w:tc>
          <w:tcPr>
            <w:tcW w:w="3120" w:type="dxa"/>
            <w:tcBorders>
              <w:top w:val="single" w:sz="4" w:space="0" w:color="auto"/>
              <w:left w:val="single" w:sz="4" w:space="0" w:color="auto"/>
              <w:bottom w:val="single" w:sz="4" w:space="0" w:color="auto"/>
              <w:right w:val="single" w:sz="4"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finanční leasing</w:t>
            </w:r>
          </w:p>
        </w:tc>
        <w:tc>
          <w:tcPr>
            <w:tcW w:w="3020" w:type="dxa"/>
            <w:tcBorders>
              <w:top w:val="single" w:sz="4" w:space="0" w:color="auto"/>
              <w:left w:val="single" w:sz="4" w:space="0" w:color="auto"/>
              <w:bottom w:val="single" w:sz="4" w:space="0" w:color="auto"/>
              <w:right w:val="single" w:sz="4"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single" w:sz="4" w:space="0" w:color="auto"/>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0A13E3">
        <w:trPr>
          <w:trHeight w:val="300"/>
        </w:trPr>
        <w:tc>
          <w:tcPr>
            <w:tcW w:w="3120" w:type="dxa"/>
            <w:tcBorders>
              <w:top w:val="single" w:sz="4"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vzdělávání zaměstnanců</w:t>
            </w:r>
          </w:p>
        </w:tc>
        <w:tc>
          <w:tcPr>
            <w:tcW w:w="3020" w:type="dxa"/>
            <w:tcBorders>
              <w:top w:val="single" w:sz="4" w:space="0" w:color="auto"/>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7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pojištění majetku, odpovědnosti za škodu</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85"/>
        </w:trPr>
        <w:tc>
          <w:tcPr>
            <w:tcW w:w="3120" w:type="dxa"/>
            <w:tcBorders>
              <w:top w:val="single" w:sz="4" w:space="0" w:color="000000"/>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ostatní služby</w:t>
            </w:r>
          </w:p>
        </w:tc>
        <w:tc>
          <w:tcPr>
            <w:tcW w:w="3020" w:type="dxa"/>
            <w:tcBorders>
              <w:top w:val="single" w:sz="4" w:space="0" w:color="000000"/>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c>
          <w:tcPr>
            <w:tcW w:w="2900" w:type="dxa"/>
            <w:gridSpan w:val="2"/>
            <w:tcBorders>
              <w:top w:val="single" w:sz="8" w:space="0" w:color="auto"/>
              <w:left w:val="nil"/>
              <w:bottom w:val="single" w:sz="8" w:space="0" w:color="auto"/>
              <w:right w:val="single" w:sz="8" w:space="0" w:color="auto"/>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1.6. Odpisy</w:t>
            </w:r>
          </w:p>
        </w:tc>
        <w:tc>
          <w:tcPr>
            <w:tcW w:w="3020" w:type="dxa"/>
            <w:tcBorders>
              <w:top w:val="single" w:sz="4" w:space="0" w:color="auto"/>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b/>
                <w:bCs/>
                <w:i/>
                <w:iCs/>
                <w:lang w:eastAsia="cs-CZ"/>
              </w:rPr>
            </w:pPr>
            <w:r w:rsidRPr="000A13E3">
              <w:rPr>
                <w:rFonts w:ascii="Arial" w:eastAsia="Times New Roman" w:hAnsi="Arial" w:cs="Arial"/>
                <w:b/>
                <w:bCs/>
                <w:i/>
                <w:iCs/>
                <w:lang w:eastAsia="cs-CZ"/>
              </w:rPr>
              <w:t> </w:t>
            </w:r>
          </w:p>
        </w:tc>
        <w:tc>
          <w:tcPr>
            <w:tcW w:w="2900" w:type="dxa"/>
            <w:gridSpan w:val="2"/>
            <w:tcBorders>
              <w:top w:val="single" w:sz="4"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b/>
                <w:bCs/>
                <w:i/>
                <w:iCs/>
                <w:lang w:eastAsia="cs-CZ"/>
              </w:rPr>
            </w:pPr>
            <w:r w:rsidRPr="000A13E3">
              <w:rPr>
                <w:rFonts w:ascii="Arial" w:eastAsia="Times New Roman" w:hAnsi="Arial" w:cs="Arial"/>
                <w:b/>
                <w:bCs/>
                <w:i/>
                <w:iCs/>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lang w:eastAsia="cs-CZ"/>
              </w:rPr>
            </w:pPr>
            <w:r w:rsidRPr="000A13E3">
              <w:rPr>
                <w:rFonts w:ascii="Arial" w:eastAsia="Times New Roman" w:hAnsi="Arial" w:cs="Arial"/>
                <w:b/>
                <w:bCs/>
                <w:i/>
                <w:iCs/>
                <w:lang w:eastAsia="cs-CZ"/>
              </w:rPr>
              <w:t>2. Osobní náklady</w:t>
            </w:r>
          </w:p>
        </w:tc>
        <w:tc>
          <w:tcPr>
            <w:tcW w:w="3020" w:type="dxa"/>
            <w:tcBorders>
              <w:top w:val="single" w:sz="8" w:space="0" w:color="auto"/>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2.1. Mzdové náklady</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285"/>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2.1.2. hrubé mzdy / platy</w:t>
            </w:r>
          </w:p>
        </w:tc>
        <w:tc>
          <w:tcPr>
            <w:tcW w:w="3020" w:type="dxa"/>
            <w:tcBorders>
              <w:top w:val="nil"/>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285"/>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2.1.3. DPP / DPČ</w:t>
            </w:r>
          </w:p>
        </w:tc>
        <w:tc>
          <w:tcPr>
            <w:tcW w:w="3020" w:type="dxa"/>
            <w:tcBorders>
              <w:top w:val="nil"/>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300"/>
        </w:trPr>
        <w:tc>
          <w:tcPr>
            <w:tcW w:w="3120" w:type="dxa"/>
            <w:tcBorders>
              <w:top w:val="nil"/>
              <w:left w:val="single" w:sz="8" w:space="0" w:color="auto"/>
              <w:bottom w:val="nil"/>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2.1.4. ostatní mzdové náklady</w:t>
            </w:r>
          </w:p>
        </w:tc>
        <w:tc>
          <w:tcPr>
            <w:tcW w:w="3020" w:type="dxa"/>
            <w:tcBorders>
              <w:top w:val="nil"/>
              <w:left w:val="nil"/>
              <w:bottom w:val="nil"/>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25"/>
        </w:trPr>
        <w:tc>
          <w:tcPr>
            <w:tcW w:w="3120" w:type="dxa"/>
            <w:tcBorders>
              <w:top w:val="single" w:sz="8"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2.2. Odvody zaměstnavatele na sociální a zdravotní pojištění</w:t>
            </w:r>
          </w:p>
        </w:tc>
        <w:tc>
          <w:tcPr>
            <w:tcW w:w="3020" w:type="dxa"/>
            <w:tcBorders>
              <w:top w:val="single" w:sz="8" w:space="0" w:color="auto"/>
              <w:left w:val="nil"/>
              <w:bottom w:val="single" w:sz="8" w:space="0" w:color="auto"/>
              <w:right w:val="single" w:sz="8" w:space="0" w:color="auto"/>
            </w:tcBorders>
            <w:noWrap/>
            <w:vAlign w:val="bottom"/>
            <w:hideMark/>
          </w:tcPr>
          <w:p w:rsidR="000A13E3" w:rsidRPr="000A13E3" w:rsidRDefault="000A13E3" w:rsidP="000A13E3">
            <w:pPr>
              <w:spacing w:after="160" w:line="259" w:lineRule="auto"/>
              <w:rPr>
                <w:rFonts w:ascii="Arial" w:eastAsia="Times New Roman" w:hAnsi="Arial" w:cs="Arial"/>
                <w:b/>
                <w:bCs/>
                <w:i/>
                <w:iCs/>
                <w:sz w:val="20"/>
                <w:szCs w:val="20"/>
                <w:lang w:eastAsia="cs-CZ"/>
              </w:rPr>
            </w:pP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510"/>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2.2.1. pojistné ke mzdám / platům</w:t>
            </w:r>
          </w:p>
        </w:tc>
        <w:tc>
          <w:tcPr>
            <w:tcW w:w="3020" w:type="dxa"/>
            <w:tcBorders>
              <w:top w:val="nil"/>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285"/>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2.2.2. pojistné k DPČ</w:t>
            </w:r>
          </w:p>
        </w:tc>
        <w:tc>
          <w:tcPr>
            <w:tcW w:w="3020" w:type="dxa"/>
            <w:tcBorders>
              <w:top w:val="nil"/>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300"/>
        </w:trPr>
        <w:tc>
          <w:tcPr>
            <w:tcW w:w="3120" w:type="dxa"/>
            <w:tcBorders>
              <w:top w:val="nil"/>
              <w:left w:val="single" w:sz="8" w:space="0" w:color="auto"/>
              <w:bottom w:val="nil"/>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2.2.3. ostatní pojistné</w:t>
            </w:r>
          </w:p>
        </w:tc>
        <w:tc>
          <w:tcPr>
            <w:tcW w:w="3020" w:type="dxa"/>
            <w:tcBorders>
              <w:top w:val="nil"/>
              <w:left w:val="nil"/>
              <w:bottom w:val="nil"/>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25"/>
        </w:trPr>
        <w:tc>
          <w:tcPr>
            <w:tcW w:w="3120" w:type="dxa"/>
            <w:tcBorders>
              <w:top w:val="single" w:sz="8"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2.3. Zákonné pojistné odpovědnosti zaměstnavatele</w:t>
            </w:r>
          </w:p>
        </w:tc>
        <w:tc>
          <w:tcPr>
            <w:tcW w:w="3020" w:type="dxa"/>
            <w:tcBorders>
              <w:top w:val="single" w:sz="8" w:space="0" w:color="auto"/>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25"/>
        </w:trPr>
        <w:tc>
          <w:tcPr>
            <w:tcW w:w="3120" w:type="dxa"/>
            <w:tcBorders>
              <w:top w:val="nil"/>
              <w:left w:val="single" w:sz="8" w:space="0" w:color="auto"/>
              <w:bottom w:val="single" w:sz="8" w:space="0" w:color="auto"/>
              <w:right w:val="single" w:sz="8" w:space="0" w:color="auto"/>
            </w:tcBorders>
            <w:vAlign w:val="center"/>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Celkové náklady na realizaci služby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160" w:line="259" w:lineRule="auto"/>
              <w:rPr>
                <w:rFonts w:ascii="Arial" w:eastAsia="Times New Roman" w:hAnsi="Arial" w:cs="Arial"/>
                <w:b/>
                <w:bCs/>
                <w:i/>
                <w:iCs/>
                <w:sz w:val="20"/>
                <w:szCs w:val="20"/>
                <w:lang w:eastAsia="cs-CZ"/>
              </w:rPr>
            </w:pP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02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96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4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570"/>
        </w:trPr>
        <w:tc>
          <w:tcPr>
            <w:tcW w:w="9040" w:type="dxa"/>
            <w:gridSpan w:val="4"/>
            <w:vAlign w:val="bottom"/>
            <w:hideMark/>
          </w:tcPr>
          <w:p w:rsidR="000A13E3" w:rsidRPr="000A13E3" w:rsidRDefault="000A13E3" w:rsidP="000A13E3">
            <w:pPr>
              <w:spacing w:after="0" w:line="240" w:lineRule="auto"/>
              <w:jc w:val="center"/>
              <w:rPr>
                <w:rFonts w:ascii="Arial" w:eastAsia="Times New Roman" w:hAnsi="Arial" w:cs="Arial"/>
                <w:b/>
                <w:bCs/>
                <w:i/>
                <w:iCs/>
                <w:sz w:val="18"/>
                <w:szCs w:val="18"/>
                <w:lang w:eastAsia="cs-CZ"/>
              </w:rPr>
            </w:pPr>
            <w:r w:rsidRPr="000A13E3">
              <w:rPr>
                <w:rFonts w:ascii="Arial" w:eastAsia="Times New Roman" w:hAnsi="Arial" w:cs="Arial"/>
                <w:b/>
                <w:bCs/>
                <w:i/>
                <w:iCs/>
                <w:sz w:val="18"/>
                <w:szCs w:val="18"/>
                <w:lang w:eastAsia="cs-CZ"/>
              </w:rPr>
              <w:t xml:space="preserve">Žadatel tímto prohlašuje, že případná finanční podpora bude použita v souladu s výše předloženým předpokládaným rozpočtem  </w:t>
            </w:r>
          </w:p>
        </w:tc>
      </w:tr>
      <w:tr w:rsidR="000A13E3" w:rsidRPr="000A13E3" w:rsidTr="00B87CDF">
        <w:trPr>
          <w:trHeight w:val="285"/>
        </w:trPr>
        <w:tc>
          <w:tcPr>
            <w:tcW w:w="3120" w:type="dxa"/>
            <w:noWrap/>
            <w:hideMark/>
          </w:tcPr>
          <w:p w:rsidR="000A13E3" w:rsidRPr="000A13E3" w:rsidRDefault="000A13E3" w:rsidP="000A13E3">
            <w:pPr>
              <w:spacing w:after="160" w:line="259" w:lineRule="auto"/>
              <w:rPr>
                <w:rFonts w:ascii="Arial" w:eastAsia="Times New Roman" w:hAnsi="Arial" w:cs="Arial"/>
                <w:b/>
                <w:bCs/>
                <w:i/>
                <w:iCs/>
                <w:sz w:val="18"/>
                <w:szCs w:val="18"/>
                <w:lang w:eastAsia="cs-CZ"/>
              </w:rPr>
            </w:pPr>
          </w:p>
        </w:tc>
        <w:tc>
          <w:tcPr>
            <w:tcW w:w="3020" w:type="dxa"/>
            <w:noWrap/>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960" w:type="dxa"/>
            <w:noWrap/>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40" w:type="dxa"/>
            <w:noWrap/>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Datum:</w:t>
            </w:r>
          </w:p>
        </w:tc>
        <w:tc>
          <w:tcPr>
            <w:tcW w:w="3020" w:type="dxa"/>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Jméno, příjmení </w:t>
            </w:r>
          </w:p>
        </w:tc>
        <w:tc>
          <w:tcPr>
            <w:tcW w:w="1960" w:type="dxa"/>
            <w:noWrap/>
            <w:vAlign w:val="bottom"/>
            <w:hideMark/>
          </w:tcPr>
          <w:p w:rsidR="000A13E3" w:rsidRPr="000A13E3" w:rsidRDefault="000A13E3" w:rsidP="000A13E3">
            <w:pPr>
              <w:spacing w:after="160" w:line="259" w:lineRule="auto"/>
              <w:rPr>
                <w:rFonts w:ascii="Arial" w:eastAsia="Times New Roman" w:hAnsi="Arial" w:cs="Arial"/>
                <w:i/>
                <w:iCs/>
                <w:sz w:val="18"/>
                <w:szCs w:val="18"/>
                <w:lang w:eastAsia="cs-CZ"/>
              </w:rPr>
            </w:pPr>
          </w:p>
        </w:tc>
        <w:tc>
          <w:tcPr>
            <w:tcW w:w="94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 </w:t>
            </w:r>
          </w:p>
        </w:tc>
        <w:tc>
          <w:tcPr>
            <w:tcW w:w="4980" w:type="dxa"/>
            <w:gridSpan w:val="2"/>
            <w:noWrap/>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podpis osoby oprávněné zastupovat žadatele</w:t>
            </w:r>
          </w:p>
        </w:tc>
        <w:tc>
          <w:tcPr>
            <w:tcW w:w="940" w:type="dxa"/>
            <w:vAlign w:val="bottom"/>
            <w:hideMark/>
          </w:tcPr>
          <w:p w:rsidR="000A13E3" w:rsidRPr="000A13E3" w:rsidRDefault="000A13E3" w:rsidP="000A13E3">
            <w:pPr>
              <w:spacing w:after="160" w:line="259" w:lineRule="auto"/>
              <w:rPr>
                <w:rFonts w:ascii="Arial" w:eastAsia="Times New Roman" w:hAnsi="Arial" w:cs="Arial"/>
                <w:i/>
                <w:iCs/>
                <w:sz w:val="18"/>
                <w:szCs w:val="18"/>
                <w:lang w:eastAsia="cs-CZ"/>
              </w:rPr>
            </w:pPr>
          </w:p>
        </w:tc>
      </w:tr>
      <w:tr w:rsidR="000A13E3" w:rsidRPr="000A13E3" w:rsidTr="00B87CDF">
        <w:trPr>
          <w:trHeight w:val="285"/>
        </w:trPr>
        <w:tc>
          <w:tcPr>
            <w:tcW w:w="312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020" w:type="dxa"/>
            <w:noWrap/>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razítko </w:t>
            </w:r>
          </w:p>
        </w:tc>
        <w:tc>
          <w:tcPr>
            <w:tcW w:w="1960" w:type="dxa"/>
            <w:noWrap/>
            <w:vAlign w:val="bottom"/>
            <w:hideMark/>
          </w:tcPr>
          <w:p w:rsidR="000A13E3" w:rsidRPr="000A13E3" w:rsidRDefault="000A13E3" w:rsidP="000A13E3">
            <w:pPr>
              <w:spacing w:after="160" w:line="259" w:lineRule="auto"/>
              <w:rPr>
                <w:rFonts w:ascii="Arial" w:eastAsia="Times New Roman" w:hAnsi="Arial" w:cs="Arial"/>
                <w:i/>
                <w:iCs/>
                <w:sz w:val="18"/>
                <w:szCs w:val="18"/>
                <w:lang w:eastAsia="cs-CZ"/>
              </w:rPr>
            </w:pPr>
          </w:p>
        </w:tc>
        <w:tc>
          <w:tcPr>
            <w:tcW w:w="94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02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96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4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02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96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4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bl>
    <w:p w:rsidR="000A13E3" w:rsidRDefault="000A13E3" w:rsidP="0033334E"/>
    <w:p w:rsidR="000A13E3" w:rsidRDefault="000A13E3" w:rsidP="0033334E"/>
    <w:p w:rsidR="007E67AB" w:rsidRDefault="007E67AB" w:rsidP="000A13E3">
      <w:pPr>
        <w:spacing w:after="0" w:line="240" w:lineRule="auto"/>
        <w:jc w:val="center"/>
        <w:rPr>
          <w:rFonts w:eastAsia="Times New Roman" w:cs="Calibri"/>
          <w:b/>
          <w:bCs/>
          <w:i/>
          <w:iCs/>
          <w:color w:val="000000"/>
          <w:sz w:val="28"/>
          <w:szCs w:val="28"/>
          <w:lang w:eastAsia="cs-CZ"/>
        </w:rPr>
        <w:sectPr w:rsidR="007E67AB" w:rsidSect="007E67AB">
          <w:headerReference w:type="default" r:id="rId8"/>
          <w:footnotePr>
            <w:pos w:val="beneathText"/>
          </w:footnotePr>
          <w:pgSz w:w="11905" w:h="16837"/>
          <w:pgMar w:top="2665" w:right="2268" w:bottom="1985" w:left="1559" w:header="851" w:footer="709" w:gutter="0"/>
          <w:cols w:space="708"/>
          <w:docGrid w:linePitch="360"/>
        </w:sectPr>
      </w:pPr>
    </w:p>
    <w:tbl>
      <w:tblPr>
        <w:tblW w:w="13639" w:type="dxa"/>
        <w:tblCellMar>
          <w:left w:w="70" w:type="dxa"/>
          <w:right w:w="70" w:type="dxa"/>
        </w:tblCellMar>
        <w:tblLook w:val="04A0" w:firstRow="1" w:lastRow="0" w:firstColumn="1" w:lastColumn="0" w:noHBand="0" w:noVBand="1"/>
      </w:tblPr>
      <w:tblGrid>
        <w:gridCol w:w="568"/>
        <w:gridCol w:w="9314"/>
        <w:gridCol w:w="3465"/>
        <w:gridCol w:w="146"/>
        <w:gridCol w:w="146"/>
      </w:tblGrid>
      <w:tr w:rsidR="000A13E3" w:rsidRPr="000A13E3" w:rsidTr="007E67AB">
        <w:trPr>
          <w:trHeight w:val="375"/>
        </w:trPr>
        <w:tc>
          <w:tcPr>
            <w:tcW w:w="13639" w:type="dxa"/>
            <w:gridSpan w:val="5"/>
            <w:noWrap/>
            <w:vAlign w:val="bottom"/>
            <w:hideMark/>
          </w:tcPr>
          <w:p w:rsidR="007E67AB" w:rsidRDefault="007E67AB" w:rsidP="000A13E3">
            <w:pPr>
              <w:spacing w:after="0" w:line="240" w:lineRule="auto"/>
              <w:jc w:val="center"/>
              <w:rPr>
                <w:rFonts w:eastAsia="Times New Roman" w:cs="Calibri"/>
                <w:b/>
                <w:bCs/>
                <w:i/>
                <w:iCs/>
                <w:color w:val="000000"/>
                <w:sz w:val="28"/>
                <w:szCs w:val="28"/>
                <w:lang w:eastAsia="cs-CZ"/>
              </w:rPr>
            </w:pPr>
          </w:p>
          <w:p w:rsidR="000A13E3" w:rsidRPr="000A13E3" w:rsidRDefault="000A13E3" w:rsidP="000A13E3">
            <w:pPr>
              <w:spacing w:after="0" w:line="240" w:lineRule="auto"/>
              <w:jc w:val="center"/>
              <w:rPr>
                <w:rFonts w:eastAsia="Times New Roman" w:cs="Calibri"/>
                <w:b/>
                <w:bCs/>
                <w:i/>
                <w:iCs/>
                <w:color w:val="000000"/>
                <w:sz w:val="28"/>
                <w:szCs w:val="28"/>
                <w:lang w:eastAsia="cs-CZ"/>
              </w:rPr>
            </w:pPr>
            <w:r w:rsidRPr="000A13E3">
              <w:rPr>
                <w:rFonts w:eastAsia="Times New Roman" w:cs="Calibri"/>
                <w:b/>
                <w:bCs/>
                <w:i/>
                <w:iCs/>
                <w:color w:val="000000"/>
                <w:sz w:val="28"/>
                <w:szCs w:val="28"/>
                <w:lang w:eastAsia="cs-CZ"/>
              </w:rPr>
              <w:t>A4 - Přehled získaných finančních prostředků na sociální službu - vyúčtování dotace</w:t>
            </w:r>
          </w:p>
        </w:tc>
      </w:tr>
      <w:tr w:rsidR="000A13E3" w:rsidRPr="000A13E3" w:rsidTr="007E67AB">
        <w:trPr>
          <w:trHeight w:val="270"/>
        </w:trPr>
        <w:tc>
          <w:tcPr>
            <w:tcW w:w="568" w:type="dxa"/>
            <w:noWrap/>
            <w:vAlign w:val="bottom"/>
            <w:hideMark/>
          </w:tcPr>
          <w:p w:rsidR="000A13E3" w:rsidRPr="000A13E3" w:rsidRDefault="000A13E3" w:rsidP="000A13E3">
            <w:pPr>
              <w:spacing w:after="160" w:line="259" w:lineRule="auto"/>
              <w:rPr>
                <w:rFonts w:eastAsia="Times New Roman" w:cs="Calibri"/>
                <w:b/>
                <w:bCs/>
                <w:i/>
                <w:iCs/>
                <w:color w:val="000000"/>
                <w:sz w:val="28"/>
                <w:szCs w:val="28"/>
                <w:lang w:eastAsia="cs-CZ"/>
              </w:rPr>
            </w:pPr>
          </w:p>
        </w:tc>
        <w:tc>
          <w:tcPr>
            <w:tcW w:w="9314"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465"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7E67AB">
        <w:trPr>
          <w:trHeight w:val="330"/>
        </w:trPr>
        <w:tc>
          <w:tcPr>
            <w:tcW w:w="13639" w:type="dxa"/>
            <w:gridSpan w:val="5"/>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rPr>
                <w:rFonts w:eastAsia="Times New Roman" w:cs="Calibri"/>
                <w:b/>
                <w:bCs/>
                <w:i/>
                <w:iCs/>
                <w:sz w:val="24"/>
                <w:szCs w:val="24"/>
                <w:lang w:eastAsia="cs-CZ"/>
              </w:rPr>
            </w:pPr>
            <w:r w:rsidRPr="000A13E3">
              <w:rPr>
                <w:rFonts w:eastAsia="Times New Roman" w:cs="Calibri"/>
                <w:b/>
                <w:bCs/>
                <w:i/>
                <w:iCs/>
                <w:sz w:val="24"/>
                <w:szCs w:val="24"/>
                <w:lang w:eastAsia="cs-CZ"/>
              </w:rPr>
              <w:t>Název organizace:</w:t>
            </w:r>
          </w:p>
        </w:tc>
      </w:tr>
      <w:tr w:rsidR="000A13E3" w:rsidRPr="000A13E3" w:rsidTr="007E67AB">
        <w:trPr>
          <w:trHeight w:val="330"/>
        </w:trPr>
        <w:tc>
          <w:tcPr>
            <w:tcW w:w="13639" w:type="dxa"/>
            <w:gridSpan w:val="5"/>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rPr>
                <w:rFonts w:eastAsia="Times New Roman" w:cs="Calibri"/>
                <w:b/>
                <w:bCs/>
                <w:i/>
                <w:iCs/>
                <w:sz w:val="24"/>
                <w:szCs w:val="24"/>
                <w:lang w:eastAsia="cs-CZ"/>
              </w:rPr>
            </w:pPr>
            <w:r w:rsidRPr="000A13E3">
              <w:rPr>
                <w:rFonts w:eastAsia="Times New Roman" w:cs="Calibri"/>
                <w:b/>
                <w:bCs/>
                <w:i/>
                <w:iCs/>
                <w:sz w:val="24"/>
                <w:szCs w:val="24"/>
                <w:lang w:eastAsia="cs-CZ"/>
              </w:rPr>
              <w:t>Název sociální služby:</w:t>
            </w:r>
          </w:p>
        </w:tc>
      </w:tr>
      <w:tr w:rsidR="000A13E3" w:rsidRPr="000A13E3" w:rsidTr="007E67AB">
        <w:trPr>
          <w:trHeight w:val="330"/>
        </w:trPr>
        <w:tc>
          <w:tcPr>
            <w:tcW w:w="13639" w:type="dxa"/>
            <w:gridSpan w:val="5"/>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rPr>
                <w:rFonts w:eastAsia="Times New Roman" w:cs="Calibri"/>
                <w:b/>
                <w:bCs/>
                <w:i/>
                <w:iCs/>
                <w:sz w:val="24"/>
                <w:szCs w:val="24"/>
                <w:lang w:eastAsia="cs-CZ"/>
              </w:rPr>
            </w:pPr>
            <w:r w:rsidRPr="000A13E3">
              <w:rPr>
                <w:rFonts w:eastAsia="Times New Roman" w:cs="Calibri"/>
                <w:b/>
                <w:bCs/>
                <w:i/>
                <w:iCs/>
                <w:sz w:val="24"/>
                <w:szCs w:val="24"/>
                <w:lang w:eastAsia="cs-CZ"/>
              </w:rPr>
              <w:t>Identifikátor sociální služby:</w:t>
            </w:r>
          </w:p>
        </w:tc>
      </w:tr>
      <w:tr w:rsidR="000A13E3" w:rsidRPr="000A13E3" w:rsidTr="007E67AB">
        <w:trPr>
          <w:trHeight w:val="330"/>
        </w:trPr>
        <w:tc>
          <w:tcPr>
            <w:tcW w:w="13639" w:type="dxa"/>
            <w:gridSpan w:val="5"/>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rPr>
                <w:rFonts w:eastAsia="Times New Roman" w:cs="Calibri"/>
                <w:b/>
                <w:bCs/>
                <w:i/>
                <w:iCs/>
                <w:sz w:val="24"/>
                <w:szCs w:val="24"/>
                <w:lang w:eastAsia="cs-CZ"/>
              </w:rPr>
            </w:pPr>
            <w:r w:rsidRPr="000A13E3">
              <w:rPr>
                <w:rFonts w:eastAsia="Times New Roman" w:cs="Calibri"/>
                <w:b/>
                <w:bCs/>
                <w:i/>
                <w:iCs/>
                <w:sz w:val="24"/>
                <w:szCs w:val="24"/>
                <w:lang w:eastAsia="cs-CZ"/>
              </w:rPr>
              <w:t>Číslo smlouvy:</w:t>
            </w:r>
          </w:p>
        </w:tc>
      </w:tr>
      <w:tr w:rsidR="000A13E3" w:rsidRPr="000A13E3" w:rsidTr="007E67AB">
        <w:trPr>
          <w:trHeight w:val="330"/>
        </w:trPr>
        <w:tc>
          <w:tcPr>
            <w:tcW w:w="9882" w:type="dxa"/>
            <w:gridSpan w:val="2"/>
            <w:tcBorders>
              <w:top w:val="single" w:sz="8" w:space="0" w:color="auto"/>
              <w:left w:val="single" w:sz="8" w:space="0" w:color="auto"/>
              <w:bottom w:val="single" w:sz="8" w:space="0" w:color="auto"/>
              <w:right w:val="single" w:sz="8" w:space="0" w:color="000000"/>
            </w:tcBorders>
            <w:shd w:val="clear" w:color="auto" w:fill="F2F2F2"/>
            <w:vAlign w:val="center"/>
            <w:hideMark/>
          </w:tcPr>
          <w:p w:rsidR="000A13E3" w:rsidRPr="000A13E3" w:rsidRDefault="000A13E3" w:rsidP="000A13E3">
            <w:pPr>
              <w:spacing w:after="0" w:line="240" w:lineRule="auto"/>
              <w:jc w:val="center"/>
              <w:rPr>
                <w:rFonts w:eastAsia="Times New Roman" w:cs="Calibri"/>
                <w:b/>
                <w:bCs/>
                <w:i/>
                <w:iCs/>
                <w:sz w:val="24"/>
                <w:szCs w:val="24"/>
                <w:lang w:eastAsia="cs-CZ"/>
              </w:rPr>
            </w:pPr>
            <w:r w:rsidRPr="000A13E3">
              <w:rPr>
                <w:rFonts w:eastAsia="Times New Roman" w:cs="Calibri"/>
                <w:b/>
                <w:bCs/>
                <w:i/>
                <w:iCs/>
                <w:sz w:val="24"/>
                <w:szCs w:val="24"/>
                <w:lang w:eastAsia="cs-CZ"/>
              </w:rPr>
              <w:t>Zdroje finančních prostředků na sociální službu</w:t>
            </w:r>
          </w:p>
        </w:tc>
        <w:tc>
          <w:tcPr>
            <w:tcW w:w="3757" w:type="dxa"/>
            <w:gridSpan w:val="3"/>
            <w:tcBorders>
              <w:top w:val="single" w:sz="8" w:space="0" w:color="auto"/>
              <w:left w:val="nil"/>
              <w:bottom w:val="single" w:sz="8" w:space="0" w:color="auto"/>
              <w:right w:val="single" w:sz="8" w:space="0" w:color="000000"/>
            </w:tcBorders>
            <w:shd w:val="clear" w:color="auto" w:fill="F2F2F2"/>
            <w:vAlign w:val="center"/>
            <w:hideMark/>
          </w:tcPr>
          <w:p w:rsidR="000A13E3" w:rsidRPr="000A13E3" w:rsidRDefault="000A13E3" w:rsidP="000A13E3">
            <w:pPr>
              <w:spacing w:after="0" w:line="240" w:lineRule="auto"/>
              <w:jc w:val="center"/>
              <w:rPr>
                <w:rFonts w:eastAsia="Times New Roman" w:cs="Calibri"/>
                <w:b/>
                <w:bCs/>
                <w:i/>
                <w:iCs/>
                <w:sz w:val="24"/>
                <w:szCs w:val="24"/>
                <w:lang w:eastAsia="cs-CZ"/>
              </w:rPr>
            </w:pPr>
            <w:r w:rsidRPr="000A13E3">
              <w:rPr>
                <w:rFonts w:eastAsia="Times New Roman" w:cs="Calibri"/>
                <w:b/>
                <w:bCs/>
                <w:i/>
                <w:iCs/>
                <w:sz w:val="24"/>
                <w:szCs w:val="24"/>
                <w:lang w:eastAsia="cs-CZ"/>
              </w:rPr>
              <w:t>Skutečnost</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w:t>
            </w:r>
          </w:p>
        </w:tc>
        <w:tc>
          <w:tcPr>
            <w:tcW w:w="9314" w:type="dxa"/>
            <w:tcBorders>
              <w:top w:val="nil"/>
              <w:left w:val="nil"/>
              <w:bottom w:val="single" w:sz="4" w:space="0" w:color="3F3F3F"/>
              <w:right w:val="single" w:sz="8" w:space="0" w:color="auto"/>
            </w:tcBorders>
            <w:shd w:val="clear" w:color="auto" w:fill="F2F2F2"/>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Město Kroměříž</w:t>
            </w:r>
          </w:p>
        </w:tc>
        <w:tc>
          <w:tcPr>
            <w:tcW w:w="3757" w:type="dxa"/>
            <w:gridSpan w:val="3"/>
            <w:tcBorders>
              <w:top w:val="single" w:sz="8" w:space="0" w:color="auto"/>
              <w:left w:val="nil"/>
              <w:bottom w:val="single" w:sz="4" w:space="0" w:color="3F3F3F"/>
              <w:right w:val="single" w:sz="8" w:space="0" w:color="000000"/>
            </w:tcBorders>
            <w:shd w:val="clear" w:color="auto" w:fill="F2F2F2"/>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2</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Zlínský kraj - státní finanční prostředky  (MPSV)</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3</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Zlínský kraj - individuální projekt Zlínského kraje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4</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Zlínský kraj - finanční prostředky kraje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5</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Ostatní kraje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6</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MŠMT</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7</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Ministerstvo vnitra</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8</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Ministerstvo zdravotnictví</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9</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Úřad vlády ČR</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10</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Ostatní rezorty státní správy</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11</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Úřady práce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12</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Zdravotní pojišťovny</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13</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Nadace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14</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Sponzorské dary</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15</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Příjmy od klientů</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auto"/>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16</w:t>
            </w:r>
          </w:p>
        </w:tc>
        <w:tc>
          <w:tcPr>
            <w:tcW w:w="9314" w:type="dxa"/>
            <w:tcBorders>
              <w:top w:val="nil"/>
              <w:left w:val="nil"/>
              <w:bottom w:val="single" w:sz="4" w:space="0" w:color="auto"/>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Ostatní</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17</w:t>
            </w:r>
          </w:p>
        </w:tc>
        <w:tc>
          <w:tcPr>
            <w:tcW w:w="931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Jiné obce, uveďte každou obec na samostatný řádek</w:t>
            </w:r>
          </w:p>
        </w:tc>
        <w:tc>
          <w:tcPr>
            <w:tcW w:w="3757" w:type="dxa"/>
            <w:gridSpan w:val="3"/>
            <w:tcBorders>
              <w:top w:val="single" w:sz="4" w:space="0" w:color="3F3F3F"/>
              <w:left w:val="single" w:sz="4" w:space="0" w:color="auto"/>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single" w:sz="4" w:space="0" w:color="auto"/>
              <w:left w:val="single" w:sz="8" w:space="0" w:color="auto"/>
              <w:bottom w:val="nil"/>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18</w:t>
            </w:r>
          </w:p>
        </w:tc>
        <w:tc>
          <w:tcPr>
            <w:tcW w:w="9314" w:type="dxa"/>
            <w:tcBorders>
              <w:top w:val="single" w:sz="4" w:space="0" w:color="auto"/>
              <w:left w:val="nil"/>
              <w:bottom w:val="nil"/>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single" w:sz="4" w:space="0" w:color="3F3F3F"/>
              <w:left w:val="single" w:sz="8" w:space="0" w:color="auto"/>
              <w:bottom w:val="nil"/>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19</w:t>
            </w:r>
          </w:p>
        </w:tc>
        <w:tc>
          <w:tcPr>
            <w:tcW w:w="9314" w:type="dxa"/>
            <w:tcBorders>
              <w:top w:val="single" w:sz="4" w:space="0" w:color="3F3F3F"/>
              <w:left w:val="nil"/>
              <w:bottom w:val="single" w:sz="4" w:space="0" w:color="auto"/>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w:t>
            </w:r>
          </w:p>
        </w:tc>
        <w:tc>
          <w:tcPr>
            <w:tcW w:w="3757" w:type="dxa"/>
            <w:gridSpan w:val="3"/>
            <w:tcBorders>
              <w:top w:val="single" w:sz="4" w:space="0" w:color="3F3F3F"/>
              <w:left w:val="nil"/>
              <w:bottom w:val="single" w:sz="4" w:space="0" w:color="auto"/>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single" w:sz="4" w:space="0" w:color="3F3F3F"/>
              <w:left w:val="single" w:sz="8"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20</w:t>
            </w:r>
          </w:p>
        </w:tc>
        <w:tc>
          <w:tcPr>
            <w:tcW w:w="931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w:t>
            </w:r>
          </w:p>
        </w:tc>
        <w:tc>
          <w:tcPr>
            <w:tcW w:w="3757"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21</w:t>
            </w:r>
          </w:p>
        </w:tc>
        <w:tc>
          <w:tcPr>
            <w:tcW w:w="931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w:t>
            </w:r>
          </w:p>
        </w:tc>
        <w:tc>
          <w:tcPr>
            <w:tcW w:w="3757"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90"/>
        </w:trPr>
        <w:tc>
          <w:tcPr>
            <w:tcW w:w="9882" w:type="dxa"/>
            <w:gridSpan w:val="2"/>
            <w:tcBorders>
              <w:top w:val="single" w:sz="4"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Celkové příjmy</w:t>
            </w:r>
          </w:p>
        </w:tc>
        <w:tc>
          <w:tcPr>
            <w:tcW w:w="3757" w:type="dxa"/>
            <w:gridSpan w:val="3"/>
            <w:tcBorders>
              <w:top w:val="single" w:sz="8" w:space="0" w:color="auto"/>
              <w:left w:val="nil"/>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0</w:t>
            </w:r>
          </w:p>
        </w:tc>
      </w:tr>
      <w:tr w:rsidR="000A13E3" w:rsidRPr="000A13E3" w:rsidTr="007E67AB">
        <w:trPr>
          <w:trHeight w:val="255"/>
        </w:trPr>
        <w:tc>
          <w:tcPr>
            <w:tcW w:w="568" w:type="dxa"/>
            <w:noWrap/>
            <w:vAlign w:val="bottom"/>
            <w:hideMark/>
          </w:tcPr>
          <w:p w:rsidR="000A13E3" w:rsidRPr="000A13E3" w:rsidRDefault="000A13E3" w:rsidP="000A13E3">
            <w:pPr>
              <w:spacing w:after="160" w:line="259" w:lineRule="auto"/>
              <w:rPr>
                <w:rFonts w:eastAsia="Times New Roman" w:cs="Calibri"/>
                <w:b/>
                <w:bCs/>
                <w:i/>
                <w:iCs/>
                <w:lang w:eastAsia="cs-CZ"/>
              </w:rPr>
            </w:pPr>
          </w:p>
        </w:tc>
        <w:tc>
          <w:tcPr>
            <w:tcW w:w="9314"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465"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7E67AB">
        <w:trPr>
          <w:trHeight w:val="255"/>
        </w:trPr>
        <w:tc>
          <w:tcPr>
            <w:tcW w:w="568"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314"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465"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7E67AB">
        <w:trPr>
          <w:trHeight w:val="435"/>
        </w:trPr>
        <w:tc>
          <w:tcPr>
            <w:tcW w:w="568"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314" w:type="dxa"/>
            <w:noWrap/>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 </w:t>
            </w:r>
          </w:p>
        </w:tc>
        <w:tc>
          <w:tcPr>
            <w:tcW w:w="3465" w:type="dxa"/>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Jméno, příjmení </w:t>
            </w:r>
          </w:p>
        </w:tc>
        <w:tc>
          <w:tcPr>
            <w:tcW w:w="146" w:type="dxa"/>
            <w:noWrap/>
            <w:vAlign w:val="bottom"/>
            <w:hideMark/>
          </w:tcPr>
          <w:p w:rsidR="000A13E3" w:rsidRPr="000A13E3" w:rsidRDefault="000A13E3" w:rsidP="000A13E3">
            <w:pPr>
              <w:spacing w:after="160" w:line="259" w:lineRule="auto"/>
              <w:rPr>
                <w:rFonts w:ascii="Arial" w:eastAsia="Times New Roman" w:hAnsi="Arial" w:cs="Arial"/>
                <w:i/>
                <w:iCs/>
                <w:sz w:val="18"/>
                <w:szCs w:val="18"/>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7E67AB">
        <w:trPr>
          <w:trHeight w:val="285"/>
        </w:trPr>
        <w:tc>
          <w:tcPr>
            <w:tcW w:w="568"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314" w:type="dxa"/>
            <w:vAlign w:val="bottom"/>
            <w:hideMark/>
          </w:tcPr>
          <w:p w:rsidR="000A13E3" w:rsidRPr="000A13E3" w:rsidRDefault="000A13E3" w:rsidP="000A13E3">
            <w:pPr>
              <w:spacing w:after="0" w:line="240" w:lineRule="auto"/>
              <w:rPr>
                <w:rFonts w:ascii="Arial" w:eastAsia="Times New Roman" w:hAnsi="Arial" w:cs="Arial"/>
                <w:i/>
                <w:iCs/>
                <w:color w:val="000000"/>
                <w:sz w:val="18"/>
                <w:szCs w:val="18"/>
                <w:lang w:eastAsia="cs-CZ"/>
              </w:rPr>
            </w:pPr>
            <w:r w:rsidRPr="000A13E3">
              <w:rPr>
                <w:rFonts w:ascii="Arial" w:eastAsia="Times New Roman" w:hAnsi="Arial" w:cs="Arial"/>
                <w:i/>
                <w:iCs/>
                <w:color w:val="000000"/>
                <w:sz w:val="18"/>
                <w:szCs w:val="18"/>
                <w:lang w:eastAsia="cs-CZ"/>
              </w:rPr>
              <w:t>Datum:</w:t>
            </w:r>
          </w:p>
        </w:tc>
        <w:tc>
          <w:tcPr>
            <w:tcW w:w="3757" w:type="dxa"/>
            <w:gridSpan w:val="3"/>
            <w:noWrap/>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podpis osoby oprávněné zastupovat žadatele</w:t>
            </w:r>
          </w:p>
        </w:tc>
      </w:tr>
    </w:tbl>
    <w:p w:rsidR="000A13E3" w:rsidRDefault="000A13E3" w:rsidP="0033334E"/>
    <w:p w:rsidR="000A13E3" w:rsidRPr="0033334E" w:rsidRDefault="000A13E3" w:rsidP="0033334E"/>
    <w:sectPr w:rsidR="000A13E3" w:rsidRPr="0033334E" w:rsidSect="007E67AB">
      <w:footnotePr>
        <w:pos w:val="beneathText"/>
      </w:footnotePr>
      <w:pgSz w:w="16837" w:h="11905" w:orient="landscape"/>
      <w:pgMar w:top="1559" w:right="2665" w:bottom="2268" w:left="1985"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8C6" w:rsidRDefault="005468C6">
      <w:pPr>
        <w:spacing w:after="0" w:line="240" w:lineRule="auto"/>
      </w:pPr>
      <w:r>
        <w:separator/>
      </w:r>
    </w:p>
  </w:endnote>
  <w:endnote w:type="continuationSeparator" w:id="0">
    <w:p w:rsidR="005468C6" w:rsidRDefault="0054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8C6" w:rsidRDefault="005468C6">
      <w:pPr>
        <w:spacing w:after="0" w:line="240" w:lineRule="auto"/>
      </w:pPr>
      <w:r>
        <w:separator/>
      </w:r>
    </w:p>
  </w:footnote>
  <w:footnote w:type="continuationSeparator" w:id="0">
    <w:p w:rsidR="005468C6" w:rsidRDefault="00546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33334E">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1"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4506B51"/>
    <w:multiLevelType w:val="hybridMultilevel"/>
    <w:tmpl w:val="C10EF02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5C5C70DE"/>
    <w:multiLevelType w:val="hybridMultilevel"/>
    <w:tmpl w:val="8BFE1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20"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22"/>
  </w:num>
  <w:num w:numId="18">
    <w:abstractNumId w:val="5"/>
  </w:num>
  <w:num w:numId="19">
    <w:abstractNumId w:val="17"/>
  </w:num>
  <w:num w:numId="20">
    <w:abstractNumId w:val="12"/>
  </w:num>
  <w:num w:numId="21">
    <w:abstractNumId w:val="6"/>
  </w:num>
  <w:num w:numId="22">
    <w:abstractNumId w:val="2"/>
  </w:num>
  <w:num w:numId="23">
    <w:abstractNumId w:val="13"/>
  </w:num>
  <w:num w:numId="24">
    <w:abstractNumId w:val="8"/>
  </w:num>
  <w:num w:numId="25">
    <w:abstractNumId w:val="21"/>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4E"/>
    <w:rsid w:val="000577FF"/>
    <w:rsid w:val="000A13E3"/>
    <w:rsid w:val="001B2311"/>
    <w:rsid w:val="00217E88"/>
    <w:rsid w:val="002B17EE"/>
    <w:rsid w:val="0033334E"/>
    <w:rsid w:val="0035552A"/>
    <w:rsid w:val="00432006"/>
    <w:rsid w:val="004A6CEF"/>
    <w:rsid w:val="004F3078"/>
    <w:rsid w:val="00510721"/>
    <w:rsid w:val="005468C6"/>
    <w:rsid w:val="005E6992"/>
    <w:rsid w:val="00672820"/>
    <w:rsid w:val="007233C7"/>
    <w:rsid w:val="00727E16"/>
    <w:rsid w:val="007C6BE4"/>
    <w:rsid w:val="007E67AB"/>
    <w:rsid w:val="0089306E"/>
    <w:rsid w:val="00A603E7"/>
    <w:rsid w:val="00A73DF4"/>
    <w:rsid w:val="00AF27E9"/>
    <w:rsid w:val="00B6688D"/>
    <w:rsid w:val="00CE5541"/>
    <w:rsid w:val="00CF1CF3"/>
    <w:rsid w:val="00E91D95"/>
    <w:rsid w:val="00F032F7"/>
    <w:rsid w:val="00F209B9"/>
    <w:rsid w:val="00F57E77"/>
    <w:rsid w:val="00F663DC"/>
    <w:rsid w:val="00F76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20F3F9-D17B-45E6-BBE8-22F88A40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34E"/>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9"/>
    <w:qFormat/>
    <w:pPr>
      <w:keepNext/>
      <w:numPr>
        <w:numId w:val="1"/>
      </w:numPr>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character" w:customStyle="1" w:styleId="Nadpis1Char">
    <w:name w:val="Nadpis 1 Char"/>
    <w:link w:val="Nadpis1"/>
    <w:uiPriority w:val="99"/>
    <w:rsid w:val="0033334E"/>
    <w:rPr>
      <w:rFonts w:ascii="Arial" w:hAnsi="Arial" w:cs="Arial"/>
      <w:b/>
      <w:bCs/>
      <w:kern w:val="1"/>
      <w:sz w:val="30"/>
      <w:szCs w:val="32"/>
      <w:lang w:eastAsia="ar-SA"/>
    </w:rPr>
  </w:style>
  <w:style w:type="paragraph" w:styleId="Odstavecseseznamem">
    <w:name w:val="List Paragraph"/>
    <w:basedOn w:val="Normln"/>
    <w:uiPriority w:val="99"/>
    <w:qFormat/>
    <w:rsid w:val="0033334E"/>
    <w:pPr>
      <w:ind w:left="720"/>
      <w:contextualSpacing/>
    </w:pPr>
  </w:style>
  <w:style w:type="paragraph" w:styleId="Textbubliny">
    <w:name w:val="Balloon Text"/>
    <w:basedOn w:val="Normln"/>
    <w:link w:val="TextbublinyChar"/>
    <w:uiPriority w:val="99"/>
    <w:semiHidden/>
    <w:unhideWhenUsed/>
    <w:rsid w:val="003333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34E"/>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0</TotalTime>
  <Pages>12</Pages>
  <Words>3365</Words>
  <Characters>19860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Látalová</dc:creator>
  <cp:keywords/>
  <cp:lastModifiedBy>Krejčiříková Jaroslava</cp:lastModifiedBy>
  <cp:revision>2</cp:revision>
  <cp:lastPrinted>2022-01-14T06:28:00Z</cp:lastPrinted>
  <dcterms:created xsi:type="dcterms:W3CDTF">2022-02-03T13:15:00Z</dcterms:created>
  <dcterms:modified xsi:type="dcterms:W3CDTF">2022-02-03T13:15:00Z</dcterms:modified>
</cp:coreProperties>
</file>