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F261" w14:textId="77777777" w:rsidR="008D2AC2" w:rsidRDefault="00A82FB0">
      <w:pPr>
        <w:spacing w:after="586" w:line="259" w:lineRule="auto"/>
        <w:ind w:left="182" w:right="0" w:firstLine="0"/>
        <w:jc w:val="left"/>
      </w:pPr>
      <w:r>
        <w:rPr>
          <w:noProof/>
        </w:rPr>
        <w:drawing>
          <wp:inline distT="0" distB="0" distL="0" distR="0" wp14:anchorId="6AA57377" wp14:editId="684B9A8F">
            <wp:extent cx="1804416" cy="378060"/>
            <wp:effectExtent l="0" t="0" r="0" b="0"/>
            <wp:docPr id="23347" name="Picture 23347"/>
            <wp:cNvGraphicFramePr/>
            <a:graphic xmlns:a="http://schemas.openxmlformats.org/drawingml/2006/main">
              <a:graphicData uri="http://schemas.openxmlformats.org/drawingml/2006/picture">
                <pic:pic xmlns:pic="http://schemas.openxmlformats.org/drawingml/2006/picture">
                  <pic:nvPicPr>
                    <pic:cNvPr id="23347" name="Picture 23347"/>
                    <pic:cNvPicPr/>
                  </pic:nvPicPr>
                  <pic:blipFill>
                    <a:blip r:embed="rId8"/>
                    <a:stretch>
                      <a:fillRect/>
                    </a:stretch>
                  </pic:blipFill>
                  <pic:spPr>
                    <a:xfrm>
                      <a:off x="0" y="0"/>
                      <a:ext cx="1804416" cy="378060"/>
                    </a:xfrm>
                    <a:prstGeom prst="rect">
                      <a:avLst/>
                    </a:prstGeom>
                  </pic:spPr>
                </pic:pic>
              </a:graphicData>
            </a:graphic>
          </wp:inline>
        </w:drawing>
      </w:r>
    </w:p>
    <w:p w14:paraId="10983EAF" w14:textId="77777777" w:rsidR="00F81E7A" w:rsidRPr="008F14C1" w:rsidRDefault="00A82FB0">
      <w:pPr>
        <w:spacing w:after="0" w:line="216" w:lineRule="auto"/>
        <w:ind w:left="696" w:right="634" w:firstLine="3096"/>
        <w:rPr>
          <w:b/>
          <w:bCs/>
          <w:sz w:val="30"/>
        </w:rPr>
      </w:pPr>
      <w:r w:rsidRPr="008F14C1">
        <w:rPr>
          <w:b/>
          <w:bCs/>
          <w:sz w:val="30"/>
        </w:rPr>
        <w:t xml:space="preserve">Dodatek č. 13 </w:t>
      </w:r>
    </w:p>
    <w:p w14:paraId="1FFE4F4F" w14:textId="77777777" w:rsidR="008F14C1" w:rsidRDefault="00A82FB0" w:rsidP="00F81E7A">
      <w:pPr>
        <w:spacing w:after="0" w:line="216" w:lineRule="auto"/>
        <w:ind w:left="696" w:right="634" w:firstLine="0"/>
        <w:rPr>
          <w:b/>
          <w:bCs/>
          <w:sz w:val="30"/>
        </w:rPr>
      </w:pPr>
      <w:r w:rsidRPr="008F14C1">
        <w:rPr>
          <w:b/>
          <w:bCs/>
          <w:sz w:val="30"/>
        </w:rPr>
        <w:t xml:space="preserve">ke Zvláštní smlouvě o poskytování a úhradě ošetřovatelské péče </w:t>
      </w:r>
    </w:p>
    <w:p w14:paraId="47DD7158" w14:textId="5B1A6E17" w:rsidR="008D2AC2" w:rsidRPr="008F14C1" w:rsidRDefault="00A82FB0" w:rsidP="00F81E7A">
      <w:pPr>
        <w:spacing w:after="0" w:line="216" w:lineRule="auto"/>
        <w:ind w:left="696" w:right="634" w:firstLine="0"/>
        <w:rPr>
          <w:b/>
          <w:bCs/>
        </w:rPr>
      </w:pPr>
      <w:r w:rsidRPr="008F14C1">
        <w:rPr>
          <w:b/>
          <w:bCs/>
          <w:sz w:val="30"/>
        </w:rPr>
        <w:t>v zařízeních sociálních služeb poskytujících pobytové sociální služby</w:t>
      </w:r>
    </w:p>
    <w:p w14:paraId="15520B59" w14:textId="77777777" w:rsidR="008D2AC2" w:rsidRDefault="00A82FB0">
      <w:pPr>
        <w:spacing w:after="473"/>
        <w:ind w:left="2520" w:hanging="317"/>
      </w:pPr>
      <w:r>
        <w:t>č. 6S25W001 ze dne 12.01.2016 (dále jen „Zvláštní smlouva”) (odbornost 91 3 — Pobytové zařízení sociálních služeb)</w:t>
      </w:r>
    </w:p>
    <w:p w14:paraId="078A08A9" w14:textId="77777777" w:rsidR="008D2AC2" w:rsidRDefault="00A82FB0">
      <w:pPr>
        <w:spacing w:after="30"/>
        <w:ind w:left="130" w:right="115" w:firstLine="0"/>
      </w:pPr>
      <w:r>
        <w:t>uzavřené mezi smluvními stranami:</w:t>
      </w:r>
    </w:p>
    <w:tbl>
      <w:tblPr>
        <w:tblStyle w:val="TableGrid"/>
        <w:tblW w:w="9355" w:type="dxa"/>
        <w:tblInd w:w="134" w:type="dxa"/>
        <w:tblCellMar>
          <w:top w:w="64" w:type="dxa"/>
          <w:left w:w="110" w:type="dxa"/>
          <w:bottom w:w="10" w:type="dxa"/>
          <w:right w:w="115" w:type="dxa"/>
        </w:tblCellMar>
        <w:tblLook w:val="04A0" w:firstRow="1" w:lastRow="0" w:firstColumn="1" w:lastColumn="0" w:noHBand="0" w:noVBand="1"/>
      </w:tblPr>
      <w:tblGrid>
        <w:gridCol w:w="3536"/>
        <w:gridCol w:w="5819"/>
      </w:tblGrid>
      <w:tr w:rsidR="008D2AC2" w:rsidRPr="00F81E7A" w14:paraId="42C57F3D" w14:textId="77777777">
        <w:trPr>
          <w:trHeight w:val="559"/>
        </w:trPr>
        <w:tc>
          <w:tcPr>
            <w:tcW w:w="3536" w:type="dxa"/>
            <w:tcBorders>
              <w:top w:val="single" w:sz="2" w:space="0" w:color="000000"/>
              <w:left w:val="single" w:sz="2" w:space="0" w:color="000000"/>
              <w:bottom w:val="single" w:sz="2" w:space="0" w:color="000000"/>
              <w:right w:val="single" w:sz="2" w:space="0" w:color="000000"/>
            </w:tcBorders>
          </w:tcPr>
          <w:p w14:paraId="557AFF21" w14:textId="77777777" w:rsidR="008D2AC2" w:rsidRPr="00F81E7A" w:rsidRDefault="00A82FB0" w:rsidP="00F81E7A">
            <w:pPr>
              <w:spacing w:after="0" w:line="240" w:lineRule="auto"/>
              <w:ind w:left="0" w:right="0" w:firstLine="5"/>
              <w:jc w:val="left"/>
              <w:rPr>
                <w:b/>
                <w:bCs/>
                <w:sz w:val="22"/>
              </w:rPr>
            </w:pPr>
            <w:r w:rsidRPr="00F81E7A">
              <w:rPr>
                <w:b/>
                <w:bCs/>
                <w:sz w:val="22"/>
              </w:rPr>
              <w:t>Poskytovatel pobytových sociálních služeb:</w:t>
            </w:r>
          </w:p>
        </w:tc>
        <w:tc>
          <w:tcPr>
            <w:tcW w:w="5819" w:type="dxa"/>
            <w:tcBorders>
              <w:top w:val="single" w:sz="2" w:space="0" w:color="000000"/>
              <w:left w:val="single" w:sz="2" w:space="0" w:color="000000"/>
              <w:bottom w:val="single" w:sz="2" w:space="0" w:color="000000"/>
              <w:right w:val="single" w:sz="2" w:space="0" w:color="000000"/>
            </w:tcBorders>
            <w:vAlign w:val="center"/>
          </w:tcPr>
          <w:p w14:paraId="6A9A769E" w14:textId="77777777" w:rsidR="008D2AC2" w:rsidRPr="00757CAC" w:rsidRDefault="00A82FB0" w:rsidP="00F81E7A">
            <w:pPr>
              <w:spacing w:after="0" w:line="240" w:lineRule="auto"/>
              <w:ind w:left="7" w:right="0" w:firstLine="0"/>
              <w:jc w:val="left"/>
              <w:rPr>
                <w:b/>
                <w:bCs/>
                <w:sz w:val="22"/>
              </w:rPr>
            </w:pPr>
            <w:r w:rsidRPr="00757CAC">
              <w:rPr>
                <w:b/>
                <w:bCs/>
                <w:sz w:val="22"/>
              </w:rPr>
              <w:t>Rybka, poskytovatel sociálních služeb</w:t>
            </w:r>
          </w:p>
        </w:tc>
      </w:tr>
      <w:tr w:rsidR="008D2AC2" w:rsidRPr="00F81E7A" w14:paraId="20D79427" w14:textId="77777777">
        <w:trPr>
          <w:trHeight w:val="278"/>
        </w:trPr>
        <w:tc>
          <w:tcPr>
            <w:tcW w:w="3536" w:type="dxa"/>
            <w:tcBorders>
              <w:top w:val="single" w:sz="2" w:space="0" w:color="000000"/>
              <w:left w:val="single" w:sz="2" w:space="0" w:color="000000"/>
              <w:bottom w:val="single" w:sz="2" w:space="0" w:color="000000"/>
              <w:right w:val="single" w:sz="2" w:space="0" w:color="000000"/>
            </w:tcBorders>
          </w:tcPr>
          <w:p w14:paraId="2DAF19F5" w14:textId="77777777" w:rsidR="008D2AC2" w:rsidRPr="00F81E7A" w:rsidRDefault="00A82FB0" w:rsidP="00F81E7A">
            <w:pPr>
              <w:spacing w:after="0" w:line="240" w:lineRule="auto"/>
              <w:ind w:left="5" w:right="0" w:firstLine="0"/>
              <w:jc w:val="left"/>
              <w:rPr>
                <w:b/>
                <w:bCs/>
                <w:sz w:val="22"/>
              </w:rPr>
            </w:pPr>
            <w:r w:rsidRPr="00F81E7A">
              <w:rPr>
                <w:b/>
                <w:bCs/>
                <w:sz w:val="22"/>
              </w:rPr>
              <w:t>Sídlo (obec):</w:t>
            </w:r>
          </w:p>
        </w:tc>
        <w:tc>
          <w:tcPr>
            <w:tcW w:w="5819" w:type="dxa"/>
            <w:tcBorders>
              <w:top w:val="single" w:sz="2" w:space="0" w:color="000000"/>
              <w:left w:val="single" w:sz="2" w:space="0" w:color="000000"/>
              <w:bottom w:val="single" w:sz="2" w:space="0" w:color="000000"/>
              <w:right w:val="single" w:sz="2" w:space="0" w:color="000000"/>
            </w:tcBorders>
          </w:tcPr>
          <w:p w14:paraId="31839AD4" w14:textId="77777777" w:rsidR="008D2AC2" w:rsidRPr="00F81E7A" w:rsidRDefault="00A82FB0" w:rsidP="00F81E7A">
            <w:pPr>
              <w:spacing w:after="0" w:line="240" w:lineRule="auto"/>
              <w:ind w:left="11" w:right="0" w:firstLine="0"/>
              <w:jc w:val="left"/>
              <w:rPr>
                <w:sz w:val="22"/>
              </w:rPr>
            </w:pPr>
            <w:r w:rsidRPr="00F81E7A">
              <w:rPr>
                <w:sz w:val="22"/>
              </w:rPr>
              <w:t>Neratovice</w:t>
            </w:r>
          </w:p>
        </w:tc>
      </w:tr>
      <w:tr w:rsidR="008D2AC2" w:rsidRPr="00F81E7A" w14:paraId="1D2CF0CD" w14:textId="77777777">
        <w:trPr>
          <w:trHeight w:val="286"/>
        </w:trPr>
        <w:tc>
          <w:tcPr>
            <w:tcW w:w="3536" w:type="dxa"/>
            <w:tcBorders>
              <w:top w:val="single" w:sz="2" w:space="0" w:color="000000"/>
              <w:left w:val="single" w:sz="2" w:space="0" w:color="000000"/>
              <w:bottom w:val="single" w:sz="2" w:space="0" w:color="000000"/>
              <w:right w:val="single" w:sz="2" w:space="0" w:color="000000"/>
            </w:tcBorders>
          </w:tcPr>
          <w:p w14:paraId="095B6D8B" w14:textId="036691C6" w:rsidR="008D2AC2" w:rsidRPr="00F81E7A" w:rsidRDefault="00A82FB0" w:rsidP="00F81E7A">
            <w:pPr>
              <w:spacing w:after="0" w:line="240" w:lineRule="auto"/>
              <w:ind w:left="10" w:right="0" w:firstLine="0"/>
              <w:jc w:val="left"/>
              <w:rPr>
                <w:b/>
                <w:bCs/>
                <w:sz w:val="22"/>
              </w:rPr>
            </w:pPr>
            <w:r w:rsidRPr="00F81E7A">
              <w:rPr>
                <w:b/>
                <w:bCs/>
                <w:sz w:val="22"/>
              </w:rPr>
              <w:t xml:space="preserve">Ulice, </w:t>
            </w:r>
            <w:r w:rsidR="00F81E7A">
              <w:rPr>
                <w:b/>
                <w:bCs/>
                <w:sz w:val="22"/>
              </w:rPr>
              <w:t>č.</w:t>
            </w:r>
            <w:r w:rsidRPr="00F81E7A">
              <w:rPr>
                <w:b/>
                <w:bCs/>
                <w:sz w:val="22"/>
              </w:rPr>
              <w:t>p., PSČ:</w:t>
            </w:r>
          </w:p>
        </w:tc>
        <w:tc>
          <w:tcPr>
            <w:tcW w:w="5819" w:type="dxa"/>
            <w:tcBorders>
              <w:top w:val="single" w:sz="2" w:space="0" w:color="000000"/>
              <w:left w:val="single" w:sz="2" w:space="0" w:color="000000"/>
              <w:bottom w:val="single" w:sz="2" w:space="0" w:color="000000"/>
              <w:right w:val="single" w:sz="2" w:space="0" w:color="000000"/>
            </w:tcBorders>
          </w:tcPr>
          <w:p w14:paraId="13862B04" w14:textId="77777777" w:rsidR="008D2AC2" w:rsidRPr="00F81E7A" w:rsidRDefault="00A82FB0" w:rsidP="00F81E7A">
            <w:pPr>
              <w:spacing w:after="0" w:line="240" w:lineRule="auto"/>
              <w:ind w:left="2" w:right="0" w:firstLine="0"/>
              <w:jc w:val="left"/>
              <w:rPr>
                <w:sz w:val="22"/>
              </w:rPr>
            </w:pPr>
            <w:r w:rsidRPr="00F81E7A">
              <w:rPr>
                <w:sz w:val="22"/>
              </w:rPr>
              <w:t>Tovární 122, 277 1 1</w:t>
            </w:r>
          </w:p>
        </w:tc>
      </w:tr>
      <w:tr w:rsidR="008D2AC2" w:rsidRPr="00F81E7A" w14:paraId="73EA246D" w14:textId="77777777">
        <w:trPr>
          <w:trHeight w:val="736"/>
        </w:trPr>
        <w:tc>
          <w:tcPr>
            <w:tcW w:w="9355" w:type="dxa"/>
            <w:gridSpan w:val="2"/>
            <w:tcBorders>
              <w:top w:val="single" w:sz="2" w:space="0" w:color="000000"/>
              <w:left w:val="single" w:sz="2" w:space="0" w:color="000000"/>
              <w:bottom w:val="single" w:sz="2" w:space="0" w:color="000000"/>
              <w:right w:val="single" w:sz="2" w:space="0" w:color="000000"/>
            </w:tcBorders>
          </w:tcPr>
          <w:p w14:paraId="601EB2BA" w14:textId="77777777" w:rsidR="008D2AC2" w:rsidRPr="00F81E7A" w:rsidRDefault="00A82FB0" w:rsidP="00F81E7A">
            <w:pPr>
              <w:spacing w:after="0" w:line="240" w:lineRule="auto"/>
              <w:ind w:left="0" w:right="0" w:firstLine="0"/>
              <w:jc w:val="left"/>
              <w:rPr>
                <w:b/>
                <w:bCs/>
                <w:sz w:val="22"/>
              </w:rPr>
            </w:pPr>
            <w:r w:rsidRPr="00F81E7A">
              <w:rPr>
                <w:b/>
                <w:bCs/>
                <w:sz w:val="22"/>
              </w:rPr>
              <w:t>Zápis v obchodním rejstříku:</w:t>
            </w:r>
          </w:p>
          <w:p w14:paraId="14BB63A3" w14:textId="77777777" w:rsidR="008D2AC2" w:rsidRPr="00F81E7A" w:rsidRDefault="00A82FB0" w:rsidP="00F81E7A">
            <w:pPr>
              <w:spacing w:after="0" w:line="240" w:lineRule="auto"/>
              <w:ind w:left="739" w:right="0" w:firstLine="0"/>
              <w:jc w:val="left"/>
              <w:rPr>
                <w:sz w:val="22"/>
              </w:rPr>
            </w:pPr>
            <w:r w:rsidRPr="00F81E7A">
              <w:rPr>
                <w:sz w:val="22"/>
              </w:rPr>
              <w:t xml:space="preserve">Městský soud v Praze, oddíl </w:t>
            </w:r>
            <w:proofErr w:type="spellStart"/>
            <w:r w:rsidRPr="00F81E7A">
              <w:rPr>
                <w:sz w:val="22"/>
              </w:rPr>
              <w:t>Pr</w:t>
            </w:r>
            <w:proofErr w:type="spellEnd"/>
            <w:r w:rsidRPr="00F81E7A">
              <w:rPr>
                <w:sz w:val="22"/>
              </w:rPr>
              <w:t>, vložka 954, dne 26.1 1.2004</w:t>
            </w:r>
          </w:p>
        </w:tc>
      </w:tr>
      <w:tr w:rsidR="008D2AC2" w:rsidRPr="00F81E7A" w14:paraId="3F6BC1CD" w14:textId="77777777">
        <w:trPr>
          <w:trHeight w:val="850"/>
        </w:trPr>
        <w:tc>
          <w:tcPr>
            <w:tcW w:w="3536" w:type="dxa"/>
            <w:tcBorders>
              <w:top w:val="single" w:sz="2" w:space="0" w:color="000000"/>
              <w:left w:val="single" w:sz="2" w:space="0" w:color="000000"/>
              <w:bottom w:val="single" w:sz="2" w:space="0" w:color="000000"/>
              <w:right w:val="single" w:sz="2" w:space="0" w:color="000000"/>
            </w:tcBorders>
            <w:vAlign w:val="bottom"/>
          </w:tcPr>
          <w:p w14:paraId="78845CFC" w14:textId="77777777" w:rsidR="008D2AC2" w:rsidRPr="00F81E7A" w:rsidRDefault="00A82FB0" w:rsidP="00F81E7A">
            <w:pPr>
              <w:spacing w:after="0" w:line="240" w:lineRule="auto"/>
              <w:ind w:left="5" w:right="0" w:firstLine="0"/>
              <w:jc w:val="left"/>
              <w:rPr>
                <w:b/>
                <w:bCs/>
                <w:sz w:val="22"/>
              </w:rPr>
            </w:pPr>
            <w:r w:rsidRPr="00F81E7A">
              <w:rPr>
                <w:b/>
                <w:bCs/>
                <w:sz w:val="22"/>
              </w:rPr>
              <w:t>Zastoupený</w:t>
            </w:r>
          </w:p>
          <w:p w14:paraId="08F02543" w14:textId="77777777" w:rsidR="008D2AC2" w:rsidRPr="00F81E7A" w:rsidRDefault="00A82FB0" w:rsidP="00F81E7A">
            <w:pPr>
              <w:spacing w:after="0" w:line="240" w:lineRule="auto"/>
              <w:ind w:left="14" w:right="0" w:firstLine="0"/>
              <w:jc w:val="left"/>
              <w:rPr>
                <w:sz w:val="22"/>
              </w:rPr>
            </w:pPr>
            <w:r w:rsidRPr="00F81E7A">
              <w:rPr>
                <w:b/>
                <w:bCs/>
                <w:sz w:val="22"/>
              </w:rPr>
              <w:t>(jméno, funkce):</w:t>
            </w:r>
          </w:p>
        </w:tc>
        <w:tc>
          <w:tcPr>
            <w:tcW w:w="5819" w:type="dxa"/>
            <w:tcBorders>
              <w:top w:val="single" w:sz="2" w:space="0" w:color="000000"/>
              <w:left w:val="single" w:sz="2" w:space="0" w:color="000000"/>
              <w:bottom w:val="single" w:sz="2" w:space="0" w:color="000000"/>
              <w:right w:val="single" w:sz="2" w:space="0" w:color="000000"/>
            </w:tcBorders>
            <w:vAlign w:val="center"/>
          </w:tcPr>
          <w:p w14:paraId="7FD23C99" w14:textId="5D9EDE77" w:rsidR="008D2AC2" w:rsidRPr="00F81E7A" w:rsidRDefault="00A82FB0" w:rsidP="00F81E7A">
            <w:pPr>
              <w:spacing w:after="0" w:line="240" w:lineRule="auto"/>
              <w:ind w:left="7" w:right="0" w:firstLine="0"/>
              <w:jc w:val="left"/>
              <w:rPr>
                <w:sz w:val="22"/>
              </w:rPr>
            </w:pPr>
            <w:r w:rsidRPr="00F81E7A">
              <w:rPr>
                <w:sz w:val="22"/>
              </w:rPr>
              <w:t>JUDr. Martin Vrba, ředitel</w:t>
            </w:r>
          </w:p>
        </w:tc>
      </w:tr>
      <w:tr w:rsidR="008D2AC2" w:rsidRPr="00F81E7A" w14:paraId="068A3E02" w14:textId="77777777">
        <w:trPr>
          <w:trHeight w:val="286"/>
        </w:trPr>
        <w:tc>
          <w:tcPr>
            <w:tcW w:w="3536" w:type="dxa"/>
            <w:tcBorders>
              <w:top w:val="single" w:sz="2" w:space="0" w:color="000000"/>
              <w:left w:val="single" w:sz="2" w:space="0" w:color="000000"/>
              <w:bottom w:val="single" w:sz="2" w:space="0" w:color="000000"/>
              <w:right w:val="single" w:sz="2" w:space="0" w:color="000000"/>
            </w:tcBorders>
          </w:tcPr>
          <w:p w14:paraId="23F6B801" w14:textId="193B23BC" w:rsidR="008D2AC2" w:rsidRPr="00F81E7A" w:rsidRDefault="00F81E7A" w:rsidP="00F81E7A">
            <w:pPr>
              <w:spacing w:after="160" w:line="240" w:lineRule="auto"/>
              <w:ind w:left="0" w:right="0" w:firstLine="0"/>
              <w:jc w:val="left"/>
              <w:rPr>
                <w:b/>
                <w:bCs/>
                <w:sz w:val="22"/>
              </w:rPr>
            </w:pPr>
            <w:r w:rsidRPr="00F81E7A">
              <w:rPr>
                <w:b/>
                <w:bCs/>
                <w:sz w:val="22"/>
              </w:rPr>
              <w:t>IČ:</w:t>
            </w:r>
          </w:p>
        </w:tc>
        <w:tc>
          <w:tcPr>
            <w:tcW w:w="5819" w:type="dxa"/>
            <w:tcBorders>
              <w:top w:val="single" w:sz="2" w:space="0" w:color="000000"/>
              <w:left w:val="single" w:sz="2" w:space="0" w:color="000000"/>
              <w:bottom w:val="single" w:sz="2" w:space="0" w:color="000000"/>
              <w:right w:val="single" w:sz="2" w:space="0" w:color="000000"/>
            </w:tcBorders>
          </w:tcPr>
          <w:p w14:paraId="4AFDD2BB" w14:textId="77777777" w:rsidR="008D2AC2" w:rsidRPr="00F81E7A" w:rsidRDefault="00A82FB0" w:rsidP="00F81E7A">
            <w:pPr>
              <w:spacing w:after="0" w:line="240" w:lineRule="auto"/>
              <w:ind w:left="16" w:right="0" w:firstLine="0"/>
              <w:jc w:val="left"/>
              <w:rPr>
                <w:sz w:val="22"/>
              </w:rPr>
            </w:pPr>
            <w:r w:rsidRPr="00F81E7A">
              <w:rPr>
                <w:sz w:val="22"/>
              </w:rPr>
              <w:t>71209310</w:t>
            </w:r>
          </w:p>
        </w:tc>
      </w:tr>
      <w:tr w:rsidR="008D2AC2" w:rsidRPr="00F81E7A" w14:paraId="18315338" w14:textId="77777777">
        <w:trPr>
          <w:trHeight w:val="278"/>
        </w:trPr>
        <w:tc>
          <w:tcPr>
            <w:tcW w:w="3536" w:type="dxa"/>
            <w:tcBorders>
              <w:top w:val="single" w:sz="2" w:space="0" w:color="000000"/>
              <w:left w:val="single" w:sz="2" w:space="0" w:color="000000"/>
              <w:bottom w:val="single" w:sz="2" w:space="0" w:color="000000"/>
              <w:right w:val="single" w:sz="2" w:space="0" w:color="000000"/>
            </w:tcBorders>
          </w:tcPr>
          <w:p w14:paraId="00797FB0" w14:textId="1F36F4CB" w:rsidR="008D2AC2" w:rsidRPr="00F81E7A" w:rsidRDefault="00F81E7A" w:rsidP="00F81E7A">
            <w:pPr>
              <w:spacing w:after="0" w:line="240" w:lineRule="auto"/>
              <w:ind w:left="19" w:right="0" w:firstLine="0"/>
              <w:jc w:val="left"/>
              <w:rPr>
                <w:b/>
                <w:bCs/>
                <w:sz w:val="22"/>
              </w:rPr>
            </w:pPr>
            <w:r w:rsidRPr="00F81E7A">
              <w:rPr>
                <w:b/>
                <w:bCs/>
                <w:sz w:val="22"/>
              </w:rPr>
              <w:t>IČZ</w:t>
            </w:r>
            <w:r w:rsidR="00A82FB0" w:rsidRPr="00F81E7A">
              <w:rPr>
                <w:b/>
                <w:bCs/>
                <w:sz w:val="22"/>
              </w:rPr>
              <w:t>:</w:t>
            </w:r>
          </w:p>
        </w:tc>
        <w:tc>
          <w:tcPr>
            <w:tcW w:w="5819" w:type="dxa"/>
            <w:tcBorders>
              <w:top w:val="single" w:sz="2" w:space="0" w:color="000000"/>
              <w:left w:val="single" w:sz="2" w:space="0" w:color="000000"/>
              <w:bottom w:val="single" w:sz="2" w:space="0" w:color="000000"/>
              <w:right w:val="single" w:sz="2" w:space="0" w:color="000000"/>
            </w:tcBorders>
          </w:tcPr>
          <w:p w14:paraId="502435D0" w14:textId="77777777" w:rsidR="008D2AC2" w:rsidRPr="00F81E7A" w:rsidRDefault="00A82FB0" w:rsidP="00F81E7A">
            <w:pPr>
              <w:spacing w:after="0" w:line="240" w:lineRule="auto"/>
              <w:ind w:left="16" w:right="0" w:firstLine="0"/>
              <w:jc w:val="left"/>
              <w:rPr>
                <w:sz w:val="22"/>
              </w:rPr>
            </w:pPr>
            <w:r w:rsidRPr="00757CAC">
              <w:rPr>
                <w:sz w:val="22"/>
                <w:highlight w:val="black"/>
              </w:rPr>
              <w:t>25807000</w:t>
            </w:r>
          </w:p>
        </w:tc>
      </w:tr>
    </w:tbl>
    <w:p w14:paraId="37524471" w14:textId="016FDD25" w:rsidR="008D2AC2" w:rsidRPr="00F81E7A" w:rsidRDefault="00A82FB0" w:rsidP="00F81E7A">
      <w:pPr>
        <w:spacing w:after="30" w:line="240" w:lineRule="auto"/>
        <w:ind w:left="149" w:right="5323" w:firstLine="5"/>
        <w:rPr>
          <w:sz w:val="22"/>
        </w:rPr>
      </w:pPr>
      <w:r w:rsidRPr="00F81E7A">
        <w:rPr>
          <w:sz w:val="22"/>
        </w:rPr>
        <w:t>(dále jen „</w:t>
      </w:r>
      <w:r w:rsidRPr="00F81E7A">
        <w:rPr>
          <w:b/>
          <w:bCs/>
          <w:sz w:val="22"/>
        </w:rPr>
        <w:t>Pobytové zařízení</w:t>
      </w:r>
      <w:r w:rsidRPr="00F81E7A">
        <w:rPr>
          <w:sz w:val="22"/>
        </w:rPr>
        <w:t>") na straně</w:t>
      </w:r>
      <w:r w:rsidR="004A7ADE">
        <w:rPr>
          <w:sz w:val="22"/>
        </w:rPr>
        <w:t xml:space="preserve"> </w:t>
      </w:r>
      <w:r w:rsidRPr="00F81E7A">
        <w:rPr>
          <w:sz w:val="22"/>
        </w:rPr>
        <w:t>jedné a</w:t>
      </w:r>
    </w:p>
    <w:tbl>
      <w:tblPr>
        <w:tblStyle w:val="TableGrid"/>
        <w:tblW w:w="9350" w:type="dxa"/>
        <w:tblInd w:w="154" w:type="dxa"/>
        <w:tblCellMar>
          <w:top w:w="66" w:type="dxa"/>
          <w:left w:w="106" w:type="dxa"/>
          <w:bottom w:w="19" w:type="dxa"/>
          <w:right w:w="571" w:type="dxa"/>
        </w:tblCellMar>
        <w:tblLook w:val="04A0" w:firstRow="1" w:lastRow="0" w:firstColumn="1" w:lastColumn="0" w:noHBand="0" w:noVBand="1"/>
      </w:tblPr>
      <w:tblGrid>
        <w:gridCol w:w="3536"/>
        <w:gridCol w:w="5814"/>
      </w:tblGrid>
      <w:tr w:rsidR="008D2AC2" w:rsidRPr="00F81E7A" w14:paraId="4517EF8E" w14:textId="77777777">
        <w:trPr>
          <w:trHeight w:val="403"/>
        </w:trPr>
        <w:tc>
          <w:tcPr>
            <w:tcW w:w="9350" w:type="dxa"/>
            <w:gridSpan w:val="2"/>
            <w:tcBorders>
              <w:top w:val="single" w:sz="2" w:space="0" w:color="000000"/>
              <w:left w:val="single" w:sz="2" w:space="0" w:color="000000"/>
              <w:bottom w:val="single" w:sz="2" w:space="0" w:color="000000"/>
              <w:right w:val="single" w:sz="2" w:space="0" w:color="000000"/>
            </w:tcBorders>
          </w:tcPr>
          <w:p w14:paraId="6A186642" w14:textId="77777777" w:rsidR="008D2AC2" w:rsidRPr="004A7ADE" w:rsidRDefault="00A82FB0" w:rsidP="00F81E7A">
            <w:pPr>
              <w:spacing w:after="0" w:line="240" w:lineRule="auto"/>
              <w:ind w:left="0" w:right="0" w:firstLine="0"/>
              <w:jc w:val="left"/>
              <w:rPr>
                <w:b/>
                <w:bCs/>
                <w:sz w:val="22"/>
              </w:rPr>
            </w:pPr>
            <w:r w:rsidRPr="004A7ADE">
              <w:rPr>
                <w:b/>
                <w:bCs/>
                <w:sz w:val="22"/>
              </w:rPr>
              <w:t>Všeobecná zdravotní pojišťovna České republiky</w:t>
            </w:r>
          </w:p>
        </w:tc>
      </w:tr>
      <w:tr w:rsidR="008D2AC2" w:rsidRPr="00F81E7A" w14:paraId="3553EF67" w14:textId="77777777">
        <w:trPr>
          <w:trHeight w:val="278"/>
        </w:trPr>
        <w:tc>
          <w:tcPr>
            <w:tcW w:w="3536" w:type="dxa"/>
            <w:tcBorders>
              <w:top w:val="single" w:sz="2" w:space="0" w:color="000000"/>
              <w:left w:val="single" w:sz="2" w:space="0" w:color="000000"/>
              <w:bottom w:val="single" w:sz="2" w:space="0" w:color="000000"/>
              <w:right w:val="single" w:sz="2" w:space="0" w:color="000000"/>
            </w:tcBorders>
          </w:tcPr>
          <w:p w14:paraId="424E04E9" w14:textId="77777777" w:rsidR="008D2AC2" w:rsidRPr="004A7ADE" w:rsidRDefault="00A82FB0" w:rsidP="00F81E7A">
            <w:pPr>
              <w:spacing w:after="0" w:line="240" w:lineRule="auto"/>
              <w:ind w:left="10" w:right="0" w:firstLine="0"/>
              <w:jc w:val="left"/>
              <w:rPr>
                <w:b/>
                <w:bCs/>
                <w:sz w:val="22"/>
              </w:rPr>
            </w:pPr>
            <w:r w:rsidRPr="004A7ADE">
              <w:rPr>
                <w:b/>
                <w:bCs/>
                <w:sz w:val="22"/>
              </w:rPr>
              <w:t>Sídlo:</w:t>
            </w:r>
          </w:p>
        </w:tc>
        <w:tc>
          <w:tcPr>
            <w:tcW w:w="5815" w:type="dxa"/>
            <w:tcBorders>
              <w:top w:val="single" w:sz="2" w:space="0" w:color="000000"/>
              <w:left w:val="single" w:sz="2" w:space="0" w:color="000000"/>
              <w:bottom w:val="single" w:sz="2" w:space="0" w:color="000000"/>
              <w:right w:val="single" w:sz="2" w:space="0" w:color="000000"/>
            </w:tcBorders>
          </w:tcPr>
          <w:p w14:paraId="461F2ED1" w14:textId="77777777" w:rsidR="008D2AC2" w:rsidRPr="00F81E7A" w:rsidRDefault="00A82FB0" w:rsidP="00F81E7A">
            <w:pPr>
              <w:spacing w:after="0" w:line="240" w:lineRule="auto"/>
              <w:ind w:left="7" w:right="0" w:firstLine="0"/>
              <w:jc w:val="left"/>
              <w:rPr>
                <w:sz w:val="22"/>
              </w:rPr>
            </w:pPr>
            <w:r w:rsidRPr="00F81E7A">
              <w:rPr>
                <w:sz w:val="22"/>
              </w:rPr>
              <w:t>Orlická 4/2020, Praha 3, 130 OO</w:t>
            </w:r>
          </w:p>
        </w:tc>
      </w:tr>
      <w:tr w:rsidR="008D2AC2" w:rsidRPr="00F81E7A" w14:paraId="05FEC969" w14:textId="77777777">
        <w:trPr>
          <w:trHeight w:val="286"/>
        </w:trPr>
        <w:tc>
          <w:tcPr>
            <w:tcW w:w="3536" w:type="dxa"/>
            <w:tcBorders>
              <w:top w:val="single" w:sz="2" w:space="0" w:color="000000"/>
              <w:left w:val="single" w:sz="2" w:space="0" w:color="000000"/>
              <w:bottom w:val="single" w:sz="2" w:space="0" w:color="000000"/>
              <w:right w:val="single" w:sz="2" w:space="0" w:color="000000"/>
            </w:tcBorders>
          </w:tcPr>
          <w:p w14:paraId="70141656" w14:textId="77777777" w:rsidR="008D2AC2" w:rsidRPr="00F81E7A" w:rsidRDefault="008D2AC2" w:rsidP="00F81E7A">
            <w:pPr>
              <w:spacing w:after="160" w:line="240" w:lineRule="auto"/>
              <w:ind w:left="0" w:right="0" w:firstLine="0"/>
              <w:jc w:val="left"/>
              <w:rPr>
                <w:sz w:val="22"/>
              </w:rPr>
            </w:pPr>
          </w:p>
        </w:tc>
        <w:tc>
          <w:tcPr>
            <w:tcW w:w="5815" w:type="dxa"/>
            <w:tcBorders>
              <w:top w:val="single" w:sz="2" w:space="0" w:color="000000"/>
              <w:left w:val="single" w:sz="2" w:space="0" w:color="000000"/>
              <w:bottom w:val="single" w:sz="2" w:space="0" w:color="000000"/>
              <w:right w:val="single" w:sz="2" w:space="0" w:color="000000"/>
            </w:tcBorders>
          </w:tcPr>
          <w:p w14:paraId="4DA9CBDD" w14:textId="77777777" w:rsidR="008D2AC2" w:rsidRPr="00F81E7A" w:rsidRDefault="00A82FB0" w:rsidP="00F81E7A">
            <w:pPr>
              <w:spacing w:after="0" w:line="240" w:lineRule="auto"/>
              <w:ind w:left="2" w:right="0" w:firstLine="0"/>
              <w:jc w:val="left"/>
              <w:rPr>
                <w:sz w:val="22"/>
              </w:rPr>
            </w:pPr>
            <w:r w:rsidRPr="00F81E7A">
              <w:rPr>
                <w:sz w:val="22"/>
              </w:rPr>
              <w:t>41197518</w:t>
            </w:r>
          </w:p>
        </w:tc>
      </w:tr>
      <w:tr w:rsidR="008D2AC2" w:rsidRPr="00F81E7A" w14:paraId="7401E251" w14:textId="77777777">
        <w:trPr>
          <w:trHeight w:val="283"/>
        </w:trPr>
        <w:tc>
          <w:tcPr>
            <w:tcW w:w="9350" w:type="dxa"/>
            <w:gridSpan w:val="2"/>
            <w:tcBorders>
              <w:top w:val="single" w:sz="2" w:space="0" w:color="000000"/>
              <w:left w:val="single" w:sz="2" w:space="0" w:color="000000"/>
              <w:bottom w:val="single" w:sz="2" w:space="0" w:color="000000"/>
              <w:right w:val="single" w:sz="2" w:space="0" w:color="000000"/>
            </w:tcBorders>
          </w:tcPr>
          <w:p w14:paraId="1A8178BE" w14:textId="77777777" w:rsidR="008D2AC2" w:rsidRPr="004A7ADE" w:rsidRDefault="00A82FB0" w:rsidP="00F81E7A">
            <w:pPr>
              <w:spacing w:after="0" w:line="240" w:lineRule="auto"/>
              <w:ind w:left="14" w:right="0" w:firstLine="0"/>
              <w:jc w:val="left"/>
              <w:rPr>
                <w:b/>
                <w:bCs/>
                <w:sz w:val="22"/>
              </w:rPr>
            </w:pPr>
            <w:r w:rsidRPr="004A7ADE">
              <w:rPr>
                <w:b/>
                <w:bCs/>
                <w:sz w:val="22"/>
              </w:rPr>
              <w:t>Regionální pobočka Praha, pobočka pro Hl. m. Prahu a Středočeský kraj</w:t>
            </w:r>
          </w:p>
        </w:tc>
      </w:tr>
      <w:tr w:rsidR="008D2AC2" w:rsidRPr="00F81E7A" w14:paraId="29E4100F" w14:textId="77777777">
        <w:trPr>
          <w:trHeight w:val="845"/>
        </w:trPr>
        <w:tc>
          <w:tcPr>
            <w:tcW w:w="3536" w:type="dxa"/>
            <w:tcBorders>
              <w:top w:val="single" w:sz="2" w:space="0" w:color="000000"/>
              <w:left w:val="single" w:sz="2" w:space="0" w:color="000000"/>
              <w:bottom w:val="single" w:sz="2" w:space="0" w:color="000000"/>
              <w:right w:val="single" w:sz="2" w:space="0" w:color="000000"/>
            </w:tcBorders>
            <w:vAlign w:val="bottom"/>
          </w:tcPr>
          <w:p w14:paraId="075440B4" w14:textId="77777777" w:rsidR="008D2AC2" w:rsidRPr="004A7ADE" w:rsidRDefault="00A82FB0" w:rsidP="00F81E7A">
            <w:pPr>
              <w:spacing w:after="0" w:line="240" w:lineRule="auto"/>
              <w:ind w:left="10" w:right="0" w:firstLine="0"/>
              <w:jc w:val="left"/>
              <w:rPr>
                <w:b/>
                <w:bCs/>
                <w:sz w:val="22"/>
              </w:rPr>
            </w:pPr>
            <w:r w:rsidRPr="004A7ADE">
              <w:rPr>
                <w:b/>
                <w:bCs/>
                <w:sz w:val="22"/>
              </w:rPr>
              <w:t>Zastoupená</w:t>
            </w:r>
          </w:p>
          <w:p w14:paraId="4642F5DC" w14:textId="77777777" w:rsidR="008D2AC2" w:rsidRPr="004A7ADE" w:rsidRDefault="00A82FB0" w:rsidP="00F81E7A">
            <w:pPr>
              <w:spacing w:after="0" w:line="240" w:lineRule="auto"/>
              <w:ind w:left="19" w:right="0" w:firstLine="0"/>
              <w:jc w:val="left"/>
              <w:rPr>
                <w:b/>
                <w:bCs/>
                <w:sz w:val="22"/>
              </w:rPr>
            </w:pPr>
            <w:r w:rsidRPr="004A7ADE">
              <w:rPr>
                <w:b/>
                <w:bCs/>
                <w:sz w:val="22"/>
              </w:rPr>
              <w:t>(jméno a funkce):</w:t>
            </w:r>
          </w:p>
        </w:tc>
        <w:tc>
          <w:tcPr>
            <w:tcW w:w="5815" w:type="dxa"/>
            <w:tcBorders>
              <w:top w:val="single" w:sz="2" w:space="0" w:color="000000"/>
              <w:left w:val="single" w:sz="2" w:space="0" w:color="000000"/>
              <w:bottom w:val="single" w:sz="2" w:space="0" w:color="000000"/>
              <w:right w:val="single" w:sz="2" w:space="0" w:color="000000"/>
            </w:tcBorders>
            <w:vAlign w:val="bottom"/>
          </w:tcPr>
          <w:p w14:paraId="11DEC2CE" w14:textId="77777777" w:rsidR="008D2AC2" w:rsidRPr="00757CAC" w:rsidRDefault="00A82FB0" w:rsidP="00F81E7A">
            <w:pPr>
              <w:spacing w:after="0" w:line="240" w:lineRule="auto"/>
              <w:ind w:left="16" w:right="0" w:firstLine="0"/>
              <w:rPr>
                <w:b/>
                <w:bCs/>
                <w:sz w:val="22"/>
              </w:rPr>
            </w:pPr>
            <w:r w:rsidRPr="00757CAC">
              <w:rPr>
                <w:b/>
                <w:bCs/>
                <w:sz w:val="22"/>
              </w:rPr>
              <w:t>MUDr. Milan Prokop, ředitel Odboru zdravotní péče, Regionální pobočky Praha, pobočky pro Hl. m. Prahu a Středočeský kraj</w:t>
            </w:r>
          </w:p>
        </w:tc>
      </w:tr>
      <w:tr w:rsidR="008D2AC2" w:rsidRPr="00F81E7A" w14:paraId="5C17A34D" w14:textId="77777777">
        <w:trPr>
          <w:trHeight w:val="275"/>
        </w:trPr>
        <w:tc>
          <w:tcPr>
            <w:tcW w:w="3536" w:type="dxa"/>
            <w:tcBorders>
              <w:top w:val="single" w:sz="2" w:space="0" w:color="000000"/>
              <w:left w:val="single" w:sz="2" w:space="0" w:color="000000"/>
              <w:bottom w:val="single" w:sz="2" w:space="0" w:color="000000"/>
              <w:right w:val="single" w:sz="2" w:space="0" w:color="000000"/>
            </w:tcBorders>
          </w:tcPr>
          <w:p w14:paraId="2D48E445" w14:textId="77777777" w:rsidR="008D2AC2" w:rsidRPr="004A7ADE" w:rsidRDefault="00A82FB0" w:rsidP="00F81E7A">
            <w:pPr>
              <w:spacing w:after="0" w:line="240" w:lineRule="auto"/>
              <w:ind w:left="24" w:right="0" w:firstLine="0"/>
              <w:jc w:val="left"/>
              <w:rPr>
                <w:b/>
                <w:bCs/>
                <w:sz w:val="22"/>
              </w:rPr>
            </w:pPr>
            <w:r w:rsidRPr="004A7ADE">
              <w:rPr>
                <w:b/>
                <w:bCs/>
                <w:sz w:val="22"/>
              </w:rPr>
              <w:t>Doručovací adresa (obec):</w:t>
            </w:r>
          </w:p>
        </w:tc>
        <w:tc>
          <w:tcPr>
            <w:tcW w:w="5815" w:type="dxa"/>
            <w:tcBorders>
              <w:top w:val="single" w:sz="2" w:space="0" w:color="000000"/>
              <w:left w:val="single" w:sz="2" w:space="0" w:color="000000"/>
              <w:bottom w:val="single" w:sz="2" w:space="0" w:color="000000"/>
              <w:right w:val="single" w:sz="2" w:space="0" w:color="000000"/>
            </w:tcBorders>
          </w:tcPr>
          <w:p w14:paraId="6069F638" w14:textId="77777777" w:rsidR="008D2AC2" w:rsidRPr="00F81E7A" w:rsidRDefault="00A82FB0" w:rsidP="00F81E7A">
            <w:pPr>
              <w:spacing w:after="0" w:line="240" w:lineRule="auto"/>
              <w:ind w:left="21" w:right="0" w:firstLine="0"/>
              <w:jc w:val="left"/>
              <w:rPr>
                <w:sz w:val="22"/>
              </w:rPr>
            </w:pPr>
            <w:r w:rsidRPr="00F81E7A">
              <w:rPr>
                <w:sz w:val="22"/>
              </w:rPr>
              <w:t>Praha 1</w:t>
            </w:r>
          </w:p>
        </w:tc>
      </w:tr>
      <w:tr w:rsidR="008D2AC2" w:rsidRPr="00F81E7A" w14:paraId="3CB6C3C8" w14:textId="77777777">
        <w:trPr>
          <w:trHeight w:val="281"/>
        </w:trPr>
        <w:tc>
          <w:tcPr>
            <w:tcW w:w="3536" w:type="dxa"/>
            <w:tcBorders>
              <w:top w:val="single" w:sz="2" w:space="0" w:color="000000"/>
              <w:left w:val="single" w:sz="2" w:space="0" w:color="000000"/>
              <w:bottom w:val="single" w:sz="2" w:space="0" w:color="000000"/>
              <w:right w:val="single" w:sz="2" w:space="0" w:color="000000"/>
            </w:tcBorders>
          </w:tcPr>
          <w:p w14:paraId="11E09C77" w14:textId="115B673B" w:rsidR="008D2AC2" w:rsidRPr="004A7ADE" w:rsidRDefault="00A82FB0" w:rsidP="00F81E7A">
            <w:pPr>
              <w:spacing w:after="0" w:line="240" w:lineRule="auto"/>
              <w:ind w:left="29" w:right="0" w:firstLine="0"/>
              <w:jc w:val="left"/>
              <w:rPr>
                <w:b/>
                <w:bCs/>
                <w:sz w:val="22"/>
              </w:rPr>
            </w:pPr>
            <w:r w:rsidRPr="004A7ADE">
              <w:rPr>
                <w:b/>
                <w:bCs/>
                <w:sz w:val="22"/>
              </w:rPr>
              <w:t xml:space="preserve">Ulice, č.p., </w:t>
            </w:r>
            <w:r w:rsidR="004A7ADE">
              <w:rPr>
                <w:b/>
                <w:bCs/>
                <w:sz w:val="22"/>
              </w:rPr>
              <w:t>PSČ</w:t>
            </w:r>
            <w:r w:rsidRPr="004A7ADE">
              <w:rPr>
                <w:b/>
                <w:bCs/>
                <w:sz w:val="22"/>
              </w:rPr>
              <w:t>:</w:t>
            </w:r>
          </w:p>
        </w:tc>
        <w:tc>
          <w:tcPr>
            <w:tcW w:w="5815" w:type="dxa"/>
            <w:tcBorders>
              <w:top w:val="single" w:sz="2" w:space="0" w:color="000000"/>
              <w:left w:val="single" w:sz="2" w:space="0" w:color="000000"/>
              <w:bottom w:val="single" w:sz="2" w:space="0" w:color="000000"/>
              <w:right w:val="single" w:sz="2" w:space="0" w:color="000000"/>
            </w:tcBorders>
          </w:tcPr>
          <w:p w14:paraId="70DF2C63" w14:textId="2F6498F8" w:rsidR="008D2AC2" w:rsidRPr="00F81E7A" w:rsidRDefault="00A82FB0" w:rsidP="00F81E7A">
            <w:pPr>
              <w:spacing w:after="0" w:line="240" w:lineRule="auto"/>
              <w:ind w:left="26" w:right="0" w:firstLine="0"/>
              <w:jc w:val="left"/>
              <w:rPr>
                <w:sz w:val="22"/>
              </w:rPr>
            </w:pPr>
            <w:r w:rsidRPr="00F81E7A">
              <w:rPr>
                <w:sz w:val="22"/>
              </w:rPr>
              <w:t xml:space="preserve">Na Perštýně 359/6, </w:t>
            </w:r>
            <w:r w:rsidR="004A7ADE">
              <w:rPr>
                <w:sz w:val="22"/>
              </w:rPr>
              <w:t xml:space="preserve">PSČ </w:t>
            </w:r>
            <w:r w:rsidRPr="00F81E7A">
              <w:rPr>
                <w:sz w:val="22"/>
              </w:rPr>
              <w:t>110 01</w:t>
            </w:r>
          </w:p>
        </w:tc>
      </w:tr>
    </w:tbl>
    <w:p w14:paraId="4A81A633" w14:textId="77777777" w:rsidR="008D2AC2" w:rsidRPr="00F81E7A" w:rsidRDefault="00A82FB0">
      <w:pPr>
        <w:spacing w:after="428"/>
        <w:ind w:left="168" w:right="115" w:firstLine="0"/>
        <w:rPr>
          <w:sz w:val="22"/>
        </w:rPr>
      </w:pPr>
      <w:r w:rsidRPr="00F81E7A">
        <w:rPr>
          <w:sz w:val="22"/>
        </w:rPr>
        <w:t>(dále jen „</w:t>
      </w:r>
      <w:r w:rsidRPr="001F0711">
        <w:rPr>
          <w:b/>
          <w:bCs/>
          <w:sz w:val="22"/>
        </w:rPr>
        <w:t>Pojišťovna</w:t>
      </w:r>
      <w:r w:rsidRPr="00F81E7A">
        <w:rPr>
          <w:sz w:val="22"/>
        </w:rPr>
        <w:t>”) na straně druhé</w:t>
      </w:r>
    </w:p>
    <w:p w14:paraId="6AD1C47F" w14:textId="2C410C88" w:rsidR="008D2AC2" w:rsidRPr="003C0B72" w:rsidRDefault="00A82FB0" w:rsidP="001F0711">
      <w:pPr>
        <w:spacing w:after="0" w:line="259" w:lineRule="auto"/>
        <w:ind w:left="170" w:right="11" w:hanging="11"/>
        <w:jc w:val="center"/>
        <w:rPr>
          <w:b/>
          <w:bCs/>
          <w:i/>
          <w:sz w:val="22"/>
        </w:rPr>
      </w:pPr>
      <w:r w:rsidRPr="003C0B72">
        <w:rPr>
          <w:b/>
          <w:bCs/>
          <w:sz w:val="22"/>
        </w:rPr>
        <w:t>Článek</w:t>
      </w:r>
      <w:r w:rsidR="00F81E7A" w:rsidRPr="003C0B72">
        <w:rPr>
          <w:b/>
          <w:bCs/>
          <w:noProof/>
          <w:sz w:val="22"/>
        </w:rPr>
        <w:t xml:space="preserve"> I.</w:t>
      </w:r>
    </w:p>
    <w:p w14:paraId="0C6C3167" w14:textId="004B9C0B" w:rsidR="008D2AC2" w:rsidRPr="001F0711" w:rsidRDefault="001F0711">
      <w:pPr>
        <w:spacing w:after="0"/>
        <w:ind w:left="745" w:right="14"/>
        <w:rPr>
          <w:sz w:val="22"/>
        </w:rPr>
      </w:pPr>
      <w:proofErr w:type="gramStart"/>
      <w:r>
        <w:rPr>
          <w:sz w:val="22"/>
        </w:rPr>
        <w:t>1</w:t>
      </w:r>
      <w:r w:rsidR="00A82FB0" w:rsidRPr="001F0711">
        <w:rPr>
          <w:sz w:val="22"/>
        </w:rPr>
        <w:t xml:space="preserve"> .</w:t>
      </w:r>
      <w:proofErr w:type="gramEnd"/>
      <w:r w:rsidR="00A82FB0" w:rsidRPr="001F0711">
        <w:rPr>
          <w:sz w:val="22"/>
        </w:rPr>
        <w:t xml:space="preserve"> Smluvní strany se v souladu s </w:t>
      </w:r>
      <w:r>
        <w:rPr>
          <w:sz w:val="22"/>
        </w:rPr>
        <w:t>§</w:t>
      </w:r>
      <w:r w:rsidR="00A82FB0" w:rsidRPr="001F0711">
        <w:rPr>
          <w:sz w:val="22"/>
        </w:rPr>
        <w:t xml:space="preserve"> 17a </w:t>
      </w:r>
      <w:proofErr w:type="spellStart"/>
      <w:r w:rsidR="00A82FB0" w:rsidRPr="001F0711">
        <w:rPr>
          <w:sz w:val="22"/>
        </w:rPr>
        <w:t>odst</w:t>
      </w:r>
      <w:proofErr w:type="spellEnd"/>
      <w:r w:rsidR="00A82FB0" w:rsidRPr="001F0711">
        <w:rPr>
          <w:sz w:val="22"/>
        </w:rPr>
        <w:t xml:space="preserve">- 1 zákona č. 48/1997 Sb., o veřejném zdravotním pojištění a o změně a doplnění některých souvisejících zákonů, ve znění pozdějších předpisů (dále jen „ZVZP”), dohodly, že úhrada hrazených služeb </w:t>
      </w:r>
      <w:proofErr w:type="gramStart"/>
      <w:r w:rsidR="00A82FB0" w:rsidRPr="001F0711">
        <w:rPr>
          <w:sz w:val="22"/>
        </w:rPr>
        <w:t>poskytnutých pojištěncům Pojišťovny</w:t>
      </w:r>
      <w:proofErr w:type="gramEnd"/>
      <w:r w:rsidR="00A82FB0" w:rsidRPr="001F0711">
        <w:rPr>
          <w:sz w:val="22"/>
        </w:rPr>
        <w:t xml:space="preserve"> v období od 1. 1. 2022 do</w:t>
      </w:r>
    </w:p>
    <w:p w14:paraId="2DAFFA3C" w14:textId="36BCB3D4" w:rsidR="008D2AC2" w:rsidRPr="001F0711" w:rsidRDefault="00A82FB0">
      <w:pPr>
        <w:spacing w:after="212"/>
        <w:ind w:left="739" w:right="115" w:firstLine="0"/>
        <w:rPr>
          <w:sz w:val="22"/>
        </w:rPr>
      </w:pPr>
      <w:r w:rsidRPr="001F0711">
        <w:rPr>
          <w:sz w:val="22"/>
        </w:rPr>
        <w:t>31. 12. 2022 bude prováděna způsobem dále uvedeným v tomto dodatku (dále jen „Dodatek").</w:t>
      </w:r>
    </w:p>
    <w:p w14:paraId="531FA404" w14:textId="02094527" w:rsidR="008D2AC2" w:rsidRDefault="00A82FB0">
      <w:pPr>
        <w:tabs>
          <w:tab w:val="center" w:pos="238"/>
          <w:tab w:val="center" w:pos="4255"/>
        </w:tabs>
        <w:spacing w:after="200"/>
        <w:ind w:left="0" w:right="0" w:firstLine="0"/>
        <w:jc w:val="left"/>
      </w:pPr>
      <w:r w:rsidRPr="001F0711">
        <w:rPr>
          <w:sz w:val="22"/>
        </w:rPr>
        <w:tab/>
        <w:t>2.</w:t>
      </w:r>
      <w:r w:rsidRPr="001F0711">
        <w:rPr>
          <w:sz w:val="22"/>
        </w:rPr>
        <w:tab/>
        <w:t xml:space="preserve">Zveřejněním tohoto Dodatku smluvní strany plní svou povinnost dle </w:t>
      </w:r>
      <w:r w:rsidR="00757CAC">
        <w:rPr>
          <w:sz w:val="22"/>
        </w:rPr>
        <w:t>§</w:t>
      </w:r>
      <w:r w:rsidRPr="001F0711">
        <w:rPr>
          <w:sz w:val="22"/>
        </w:rPr>
        <w:t xml:space="preserve"> 17a odst. 2</w:t>
      </w:r>
      <w:r>
        <w:t xml:space="preserve"> ZVZP</w:t>
      </w:r>
      <w:r w:rsidR="001F0711">
        <w:t>.</w:t>
      </w:r>
    </w:p>
    <w:p w14:paraId="7FE40D95" w14:textId="2A95B014" w:rsidR="008D2AC2" w:rsidRPr="003C0B72" w:rsidRDefault="00A82FB0">
      <w:pPr>
        <w:spacing w:after="3" w:line="259" w:lineRule="auto"/>
        <w:ind w:left="168" w:right="0" w:hanging="10"/>
        <w:jc w:val="center"/>
        <w:rPr>
          <w:b/>
          <w:bCs/>
          <w:sz w:val="22"/>
        </w:rPr>
      </w:pPr>
      <w:r w:rsidRPr="003C0B72">
        <w:rPr>
          <w:b/>
          <w:bCs/>
          <w:sz w:val="22"/>
        </w:rPr>
        <w:t xml:space="preserve">Článek </w:t>
      </w:r>
      <w:r w:rsidR="001F0711" w:rsidRPr="003C0B72">
        <w:rPr>
          <w:b/>
          <w:bCs/>
          <w:sz w:val="22"/>
        </w:rPr>
        <w:t>II.</w:t>
      </w:r>
    </w:p>
    <w:p w14:paraId="6AEA0F0D" w14:textId="023D94F4" w:rsidR="008D2AC2" w:rsidRPr="001F0711" w:rsidRDefault="001F0711">
      <w:pPr>
        <w:ind w:left="759" w:right="0"/>
        <w:rPr>
          <w:sz w:val="22"/>
        </w:rPr>
      </w:pPr>
      <w:r>
        <w:rPr>
          <w:noProof/>
          <w:sz w:val="22"/>
        </w:rPr>
        <w:t>1.</w:t>
      </w:r>
      <w:r w:rsidR="00BC38BC" w:rsidRPr="001F0711">
        <w:rPr>
          <w:sz w:val="22"/>
        </w:rPr>
        <w:t xml:space="preserve"> </w:t>
      </w:r>
      <w:r w:rsidR="00A82FB0" w:rsidRPr="001F0711">
        <w:rPr>
          <w:sz w:val="22"/>
        </w:rPr>
        <w:t xml:space="preserve">Smluvní strany si sjednávají, že v období od 1. 1. 2022 do 31. 12. 2022 jsou hrazené služby poskytované podle ustanovení </w:t>
      </w:r>
      <w:r>
        <w:rPr>
          <w:sz w:val="22"/>
        </w:rPr>
        <w:t>§</w:t>
      </w:r>
      <w:r w:rsidR="00A82FB0" w:rsidRPr="001F0711">
        <w:rPr>
          <w:sz w:val="22"/>
        </w:rPr>
        <w:t xml:space="preserve"> 22 písm. e) ZVZP v Pobytovém zařízení vykazovány v souladu s platným zněním vyhlášky č. 134/1998 Sb., kterou se vydává seznam zdravotních výkonů s bodovými hodnotami (dále jen „seznam </w:t>
      </w:r>
      <w:r w:rsidR="00A82FB0" w:rsidRPr="001F0711">
        <w:rPr>
          <w:sz w:val="22"/>
        </w:rPr>
        <w:lastRenderedPageBreak/>
        <w:t xml:space="preserve">zdravotních výkonů”), ve znění pozdějších předpisů a Metodikou pro pořizování a předávání dokladů </w:t>
      </w:r>
      <w:r w:rsidR="00C30666">
        <w:rPr>
          <w:sz w:val="22"/>
        </w:rPr>
        <w:t>VZP</w:t>
      </w:r>
      <w:r w:rsidR="00A82FB0" w:rsidRPr="001F0711">
        <w:rPr>
          <w:sz w:val="22"/>
        </w:rPr>
        <w:t xml:space="preserve"> ČR (dáte jen „Metodika”).</w:t>
      </w:r>
    </w:p>
    <w:p w14:paraId="305064BA" w14:textId="564482E7" w:rsidR="008D2AC2" w:rsidRPr="001F0711" w:rsidRDefault="00A82FB0">
      <w:pPr>
        <w:numPr>
          <w:ilvl w:val="0"/>
          <w:numId w:val="1"/>
        </w:numPr>
        <w:ind w:left="610" w:right="115"/>
        <w:rPr>
          <w:sz w:val="22"/>
        </w:rPr>
      </w:pPr>
      <w:r w:rsidRPr="001F0711">
        <w:rPr>
          <w:sz w:val="22"/>
        </w:rPr>
        <w:t>Smluvní strany se dohodly, že výše úhrady se stanoví podle seznamu zdravotních výkonů za poskytnuté zdravotní výkony s hodnotou bodu ve výši 1</w:t>
      </w:r>
      <w:r w:rsidR="00C30666">
        <w:rPr>
          <w:sz w:val="22"/>
        </w:rPr>
        <w:t>,</w:t>
      </w:r>
      <w:r w:rsidRPr="001F0711">
        <w:rPr>
          <w:sz w:val="22"/>
        </w:rPr>
        <w:t>23 Kč.</w:t>
      </w:r>
    </w:p>
    <w:p w14:paraId="173508EB" w14:textId="35F21D86" w:rsidR="008D2AC2" w:rsidRPr="001F0711" w:rsidRDefault="00A82FB0">
      <w:pPr>
        <w:numPr>
          <w:ilvl w:val="0"/>
          <w:numId w:val="1"/>
        </w:numPr>
        <w:spacing w:after="155"/>
        <w:ind w:left="610" w:right="115"/>
        <w:rPr>
          <w:sz w:val="22"/>
        </w:rPr>
      </w:pPr>
      <w:r w:rsidRPr="001F0711">
        <w:rPr>
          <w:sz w:val="22"/>
        </w:rPr>
        <w:t>V případě, že podíl počtu ošetřených a Pojišťovnou uznaných unikátních pojištěnců v hodnoceném období s některou z diagnóz COO až C97, E10</w:t>
      </w:r>
      <w:r w:rsidR="000B0126">
        <w:rPr>
          <w:sz w:val="22"/>
        </w:rPr>
        <w:t>.3</w:t>
      </w:r>
      <w:r w:rsidRPr="001F0711">
        <w:rPr>
          <w:sz w:val="22"/>
        </w:rPr>
        <w:t xml:space="preserve"> až E</w:t>
      </w:r>
      <w:r w:rsidR="000B0126">
        <w:rPr>
          <w:sz w:val="22"/>
        </w:rPr>
        <w:t>10</w:t>
      </w:r>
      <w:r w:rsidRPr="001F0711">
        <w:rPr>
          <w:sz w:val="22"/>
        </w:rPr>
        <w:t>.7, E1</w:t>
      </w:r>
      <w:r w:rsidR="000B0126">
        <w:rPr>
          <w:sz w:val="22"/>
        </w:rPr>
        <w:t>1</w:t>
      </w:r>
      <w:r w:rsidRPr="001F0711">
        <w:rPr>
          <w:sz w:val="22"/>
        </w:rPr>
        <w:t>.3 až E1</w:t>
      </w:r>
      <w:r w:rsidR="000B0126">
        <w:rPr>
          <w:sz w:val="22"/>
        </w:rPr>
        <w:t>1.</w:t>
      </w:r>
      <w:r w:rsidRPr="001F0711">
        <w:rPr>
          <w:sz w:val="22"/>
        </w:rPr>
        <w:t xml:space="preserve">7, </w:t>
      </w:r>
      <w:r w:rsidR="000B0126">
        <w:rPr>
          <w:sz w:val="22"/>
        </w:rPr>
        <w:t xml:space="preserve">F00 </w:t>
      </w:r>
      <w:r w:rsidRPr="001F0711">
        <w:rPr>
          <w:sz w:val="22"/>
        </w:rPr>
        <w:t xml:space="preserve">až F99, G09 až G99 nebo </w:t>
      </w:r>
      <w:proofErr w:type="gramStart"/>
      <w:r w:rsidR="000B0126">
        <w:rPr>
          <w:sz w:val="22"/>
        </w:rPr>
        <w:t>I</w:t>
      </w:r>
      <w:r w:rsidRPr="001F0711">
        <w:rPr>
          <w:sz w:val="22"/>
        </w:rPr>
        <w:t xml:space="preserve">60 - </w:t>
      </w:r>
      <w:r w:rsidR="000B0126">
        <w:rPr>
          <w:sz w:val="22"/>
        </w:rPr>
        <w:t>I</w:t>
      </w:r>
      <w:r w:rsidRPr="001F0711">
        <w:rPr>
          <w:sz w:val="22"/>
        </w:rPr>
        <w:t>69</w:t>
      </w:r>
      <w:proofErr w:type="gramEnd"/>
      <w:r w:rsidRPr="001F0711">
        <w:rPr>
          <w:sz w:val="22"/>
        </w:rPr>
        <w:t xml:space="preserve"> podle mezinárodní klasifikace nemocí na celkovém počtu ošetřených a Pojišťovnou uznaných unikátních pojištěnců v hodnoceném období překročí 25 %, navyšuje se hodnota bodu </w:t>
      </w:r>
      <w:r w:rsidR="000B0126">
        <w:rPr>
          <w:sz w:val="22"/>
        </w:rPr>
        <w:t>o</w:t>
      </w:r>
      <w:r w:rsidRPr="001F0711">
        <w:rPr>
          <w:sz w:val="22"/>
        </w:rPr>
        <w:t xml:space="preserve"> 0,02 Kč.</w:t>
      </w:r>
    </w:p>
    <w:p w14:paraId="68A3CE93" w14:textId="77777777" w:rsidR="008D2AC2" w:rsidRPr="001F0711" w:rsidRDefault="00A82FB0">
      <w:pPr>
        <w:numPr>
          <w:ilvl w:val="0"/>
          <w:numId w:val="1"/>
        </w:numPr>
        <w:spacing w:after="301"/>
        <w:ind w:left="610" w:right="115"/>
        <w:rPr>
          <w:sz w:val="22"/>
        </w:rPr>
      </w:pPr>
      <w:r w:rsidRPr="001F0711">
        <w:rPr>
          <w:sz w:val="22"/>
        </w:rPr>
        <w:t>Celková výše úhrady za výkony Pobytovému zařízení (dále jen „celková výše úhrady”) nepřekročí částku, která se vypočte takto:</w:t>
      </w:r>
    </w:p>
    <w:p w14:paraId="6F38C7DF" w14:textId="30659906" w:rsidR="008D2AC2" w:rsidRPr="00211A49" w:rsidRDefault="00A82FB0">
      <w:pPr>
        <w:tabs>
          <w:tab w:val="center" w:pos="2230"/>
          <w:tab w:val="center" w:pos="4087"/>
          <w:tab w:val="center" w:pos="6163"/>
        </w:tabs>
        <w:spacing w:after="0" w:line="259" w:lineRule="auto"/>
        <w:ind w:left="0" w:right="0" w:firstLine="0"/>
        <w:jc w:val="left"/>
        <w:rPr>
          <w:sz w:val="24"/>
          <w:szCs w:val="24"/>
        </w:rPr>
      </w:pPr>
      <w:r w:rsidRPr="001F0711">
        <w:rPr>
          <w:sz w:val="22"/>
        </w:rPr>
        <w:tab/>
      </w:r>
      <w:r w:rsidR="00211A49" w:rsidRPr="00211A49">
        <w:rPr>
          <w:sz w:val="24"/>
          <w:szCs w:val="24"/>
        </w:rPr>
        <w:t>m</w:t>
      </w:r>
      <w:r w:rsidRPr="00211A49">
        <w:rPr>
          <w:sz w:val="24"/>
          <w:szCs w:val="24"/>
        </w:rPr>
        <w:t>ax</w:t>
      </w:r>
      <w:r w:rsidR="00211A49" w:rsidRPr="00211A49">
        <w:rPr>
          <w:sz w:val="24"/>
          <w:szCs w:val="24"/>
        </w:rPr>
        <w:t xml:space="preserve"> </w:t>
      </w:r>
      <w:r w:rsidRPr="00211A49">
        <w:rPr>
          <w:sz w:val="24"/>
          <w:szCs w:val="24"/>
        </w:rPr>
        <w:t>{</w:t>
      </w:r>
      <w:proofErr w:type="spellStart"/>
      <w:r w:rsidRPr="00211A49">
        <w:rPr>
          <w:sz w:val="24"/>
          <w:szCs w:val="24"/>
        </w:rPr>
        <w:t>PMU</w:t>
      </w:r>
      <w:r w:rsidR="00C34D10" w:rsidRPr="00211A49">
        <w:rPr>
          <w:sz w:val="24"/>
          <w:szCs w:val="24"/>
        </w:rPr>
        <w:t>P</w:t>
      </w:r>
      <w:r w:rsidRPr="00211A49">
        <w:rPr>
          <w:sz w:val="24"/>
          <w:szCs w:val="24"/>
          <w:vertAlign w:val="subscript"/>
        </w:rPr>
        <w:t>ref</w:t>
      </w:r>
      <w:proofErr w:type="spellEnd"/>
      <w:r w:rsidRPr="00211A49">
        <w:rPr>
          <w:sz w:val="24"/>
          <w:szCs w:val="24"/>
        </w:rPr>
        <w:t xml:space="preserve"> *</w:t>
      </w:r>
      <w:r w:rsidR="00BC38BC" w:rsidRPr="00211A49">
        <w:rPr>
          <w:sz w:val="24"/>
          <w:szCs w:val="24"/>
        </w:rPr>
        <w:t>(</w:t>
      </w:r>
      <w:r w:rsidR="00C34D10" w:rsidRPr="00211A49">
        <w:rPr>
          <w:sz w:val="24"/>
          <w:szCs w:val="24"/>
        </w:rPr>
        <w:t>∑</w:t>
      </w:r>
      <w:r w:rsidR="00C34D10" w:rsidRPr="00211A49">
        <w:rPr>
          <w:sz w:val="24"/>
          <w:szCs w:val="24"/>
          <w:vertAlign w:val="subscript"/>
        </w:rPr>
        <w:t>j=1…m</w:t>
      </w:r>
      <w:r w:rsidRPr="00211A49">
        <w:rPr>
          <w:sz w:val="24"/>
          <w:szCs w:val="24"/>
        </w:rPr>
        <w:t>PUM</w:t>
      </w:r>
      <w:r w:rsidRPr="00211A49">
        <w:rPr>
          <w:sz w:val="24"/>
          <w:szCs w:val="24"/>
          <w:vertAlign w:val="subscript"/>
        </w:rPr>
        <w:t>h0</w:t>
      </w:r>
      <w:r w:rsidR="00C34D10" w:rsidRPr="00211A49">
        <w:rPr>
          <w:sz w:val="24"/>
          <w:szCs w:val="24"/>
          <w:vertAlign w:val="subscript"/>
        </w:rPr>
        <w:t>j</w:t>
      </w:r>
      <w:r w:rsidR="00C34D10" w:rsidRPr="00211A49">
        <w:rPr>
          <w:sz w:val="24"/>
          <w:szCs w:val="24"/>
        </w:rPr>
        <w:t>)</w:t>
      </w:r>
      <w:r w:rsidRPr="00211A49">
        <w:rPr>
          <w:sz w:val="24"/>
          <w:szCs w:val="24"/>
        </w:rPr>
        <w:tab/>
        <w:t>* 1,24 * KN; PB</w:t>
      </w:r>
      <w:r w:rsidRPr="00211A49">
        <w:rPr>
          <w:sz w:val="24"/>
          <w:szCs w:val="24"/>
          <w:vertAlign w:val="subscript"/>
        </w:rPr>
        <w:t>h0</w:t>
      </w:r>
      <w:r w:rsidRPr="00211A49">
        <w:rPr>
          <w:sz w:val="24"/>
          <w:szCs w:val="24"/>
        </w:rPr>
        <w:t xml:space="preserve"> * </w:t>
      </w:r>
      <w:proofErr w:type="spellStart"/>
      <w:r w:rsidRPr="00211A49">
        <w:rPr>
          <w:sz w:val="24"/>
          <w:szCs w:val="24"/>
        </w:rPr>
        <w:t>HB</w:t>
      </w:r>
      <w:r w:rsidRPr="00211A49">
        <w:rPr>
          <w:sz w:val="24"/>
          <w:szCs w:val="24"/>
          <w:vertAlign w:val="subscript"/>
        </w:rPr>
        <w:t>min</w:t>
      </w:r>
      <w:proofErr w:type="spellEnd"/>
      <w:r w:rsidRPr="00211A49">
        <w:rPr>
          <w:sz w:val="24"/>
          <w:szCs w:val="24"/>
          <w:vertAlign w:val="subscript"/>
        </w:rPr>
        <w:t xml:space="preserve"> </w:t>
      </w:r>
      <w:r w:rsidRPr="00211A49">
        <w:rPr>
          <w:sz w:val="24"/>
          <w:szCs w:val="24"/>
        </w:rPr>
        <w:t>+ KPh0}</w:t>
      </w:r>
    </w:p>
    <w:p w14:paraId="7058BA7B" w14:textId="76A75D6E" w:rsidR="008D2AC2" w:rsidRPr="00211A49" w:rsidRDefault="008D2AC2" w:rsidP="00C34D10">
      <w:pPr>
        <w:spacing w:after="0" w:line="259" w:lineRule="auto"/>
        <w:ind w:right="0"/>
        <w:jc w:val="left"/>
        <w:rPr>
          <w:sz w:val="24"/>
          <w:szCs w:val="24"/>
        </w:rPr>
      </w:pPr>
    </w:p>
    <w:tbl>
      <w:tblPr>
        <w:tblStyle w:val="TableGrid"/>
        <w:tblpPr w:leftFromText="141" w:rightFromText="141" w:vertAnchor="text" w:tblpY="1"/>
        <w:tblOverlap w:val="never"/>
        <w:tblW w:w="8712" w:type="dxa"/>
        <w:tblInd w:w="0" w:type="dxa"/>
        <w:tblLook w:val="04A0" w:firstRow="1" w:lastRow="0" w:firstColumn="1" w:lastColumn="0" w:noHBand="0" w:noVBand="1"/>
      </w:tblPr>
      <w:tblGrid>
        <w:gridCol w:w="984"/>
        <w:gridCol w:w="7728"/>
      </w:tblGrid>
      <w:tr w:rsidR="008D2AC2" w:rsidRPr="001F0711" w14:paraId="55997E1A" w14:textId="77777777" w:rsidTr="00211A49">
        <w:trPr>
          <w:trHeight w:val="248"/>
        </w:trPr>
        <w:tc>
          <w:tcPr>
            <w:tcW w:w="984" w:type="dxa"/>
            <w:tcBorders>
              <w:top w:val="nil"/>
              <w:left w:val="nil"/>
              <w:bottom w:val="nil"/>
              <w:right w:val="nil"/>
            </w:tcBorders>
          </w:tcPr>
          <w:p w14:paraId="16F70649" w14:textId="77777777" w:rsidR="008D2AC2" w:rsidRPr="001F0711" w:rsidRDefault="00A82FB0" w:rsidP="00211A49">
            <w:pPr>
              <w:spacing w:after="0" w:line="259" w:lineRule="auto"/>
              <w:ind w:left="24" w:right="0" w:firstLine="0"/>
              <w:jc w:val="left"/>
              <w:rPr>
                <w:sz w:val="22"/>
              </w:rPr>
            </w:pPr>
            <w:r w:rsidRPr="001F0711">
              <w:rPr>
                <w:sz w:val="22"/>
              </w:rPr>
              <w:t>kde:</w:t>
            </w:r>
          </w:p>
        </w:tc>
        <w:tc>
          <w:tcPr>
            <w:tcW w:w="7728" w:type="dxa"/>
            <w:tcBorders>
              <w:top w:val="nil"/>
              <w:left w:val="nil"/>
              <w:bottom w:val="nil"/>
              <w:right w:val="nil"/>
            </w:tcBorders>
          </w:tcPr>
          <w:p w14:paraId="1DB8CCE7" w14:textId="77777777" w:rsidR="008D2AC2" w:rsidRPr="001F0711" w:rsidRDefault="008D2AC2" w:rsidP="00211A49">
            <w:pPr>
              <w:spacing w:after="160" w:line="259" w:lineRule="auto"/>
              <w:ind w:left="0" w:right="0" w:firstLine="0"/>
              <w:jc w:val="left"/>
              <w:rPr>
                <w:sz w:val="22"/>
              </w:rPr>
            </w:pPr>
          </w:p>
        </w:tc>
      </w:tr>
      <w:tr w:rsidR="008D2AC2" w:rsidRPr="001F0711" w14:paraId="255C23CB" w14:textId="77777777" w:rsidTr="00211A49">
        <w:trPr>
          <w:trHeight w:val="566"/>
        </w:trPr>
        <w:tc>
          <w:tcPr>
            <w:tcW w:w="984" w:type="dxa"/>
            <w:tcBorders>
              <w:top w:val="nil"/>
              <w:left w:val="nil"/>
              <w:bottom w:val="nil"/>
              <w:right w:val="nil"/>
            </w:tcBorders>
          </w:tcPr>
          <w:p w14:paraId="7C879085" w14:textId="503D2417" w:rsidR="008D2AC2" w:rsidRPr="001F0711" w:rsidRDefault="00A82FB0" w:rsidP="00211A49">
            <w:pPr>
              <w:spacing w:after="0" w:line="259" w:lineRule="auto"/>
              <w:ind w:left="24" w:right="0" w:firstLine="0"/>
              <w:jc w:val="left"/>
              <w:rPr>
                <w:sz w:val="22"/>
              </w:rPr>
            </w:pPr>
            <w:proofErr w:type="spellStart"/>
            <w:proofErr w:type="gramStart"/>
            <w:r w:rsidRPr="001F0711">
              <w:rPr>
                <w:sz w:val="22"/>
              </w:rPr>
              <w:t>PUM</w:t>
            </w:r>
            <w:r w:rsidR="00703436" w:rsidRPr="00703436">
              <w:rPr>
                <w:sz w:val="22"/>
                <w:vertAlign w:val="subscript"/>
              </w:rPr>
              <w:t>ho,j</w:t>
            </w:r>
            <w:proofErr w:type="spellEnd"/>
            <w:proofErr w:type="gramEnd"/>
          </w:p>
        </w:tc>
        <w:tc>
          <w:tcPr>
            <w:tcW w:w="7728" w:type="dxa"/>
            <w:tcBorders>
              <w:top w:val="nil"/>
              <w:left w:val="nil"/>
              <w:bottom w:val="nil"/>
              <w:right w:val="nil"/>
            </w:tcBorders>
          </w:tcPr>
          <w:p w14:paraId="77C03FCA" w14:textId="77777777" w:rsidR="008D2AC2" w:rsidRPr="001F0711" w:rsidRDefault="00A82FB0" w:rsidP="00211A49">
            <w:pPr>
              <w:spacing w:after="0" w:line="259" w:lineRule="auto"/>
              <w:ind w:left="29" w:right="0" w:hanging="10"/>
              <w:rPr>
                <w:sz w:val="22"/>
              </w:rPr>
            </w:pPr>
            <w:r w:rsidRPr="001F0711">
              <w:rPr>
                <w:sz w:val="22"/>
              </w:rPr>
              <w:t>je počet vykázaných kalendářních měsíců, v nichž byly poskytovány unikátnímu pojištěnci j zdravotní služby v hodnoceném období.</w:t>
            </w:r>
          </w:p>
        </w:tc>
      </w:tr>
      <w:tr w:rsidR="008D2AC2" w:rsidRPr="001F0711" w14:paraId="27839372" w14:textId="77777777" w:rsidTr="00211A49">
        <w:trPr>
          <w:trHeight w:val="1154"/>
        </w:trPr>
        <w:tc>
          <w:tcPr>
            <w:tcW w:w="984" w:type="dxa"/>
            <w:tcBorders>
              <w:top w:val="nil"/>
              <w:left w:val="nil"/>
              <w:bottom w:val="nil"/>
              <w:right w:val="nil"/>
            </w:tcBorders>
          </w:tcPr>
          <w:p w14:paraId="5AD5DC84" w14:textId="77777777" w:rsidR="008D2AC2" w:rsidRPr="001F0711" w:rsidRDefault="00A82FB0" w:rsidP="00211A49">
            <w:pPr>
              <w:spacing w:after="0" w:line="259" w:lineRule="auto"/>
              <w:ind w:left="19" w:right="0" w:firstLine="0"/>
              <w:jc w:val="left"/>
              <w:rPr>
                <w:sz w:val="22"/>
              </w:rPr>
            </w:pPr>
            <w:r w:rsidRPr="001F0711">
              <w:rPr>
                <w:sz w:val="22"/>
              </w:rPr>
              <w:t>KN</w:t>
            </w:r>
          </w:p>
        </w:tc>
        <w:tc>
          <w:tcPr>
            <w:tcW w:w="7728" w:type="dxa"/>
            <w:tcBorders>
              <w:top w:val="nil"/>
              <w:left w:val="nil"/>
              <w:bottom w:val="nil"/>
              <w:right w:val="nil"/>
            </w:tcBorders>
          </w:tcPr>
          <w:p w14:paraId="59798F84" w14:textId="77777777" w:rsidR="008D2AC2" w:rsidRPr="001F0711" w:rsidRDefault="00A82FB0" w:rsidP="00211A49">
            <w:pPr>
              <w:spacing w:after="0" w:line="259" w:lineRule="auto"/>
              <w:ind w:left="24" w:right="0" w:hanging="10"/>
              <w:rPr>
                <w:sz w:val="22"/>
              </w:rPr>
            </w:pPr>
            <w:r w:rsidRPr="001F0711">
              <w:rPr>
                <w:sz w:val="22"/>
              </w:rPr>
              <w:t xml:space="preserve">je koeficient navýšení, který nabývá hodnoty 1,02 v případě, že podíl počtu ošetřených a Pojišťovnou uznaných unikátních pojištěnců v hodnoceném období s některou z diagnóz COO až C97, E10.3 až EIO.7, E11 -3 až E1 1.7, FOO až F99, G09 až G99 nebo </w:t>
            </w:r>
            <w:proofErr w:type="gramStart"/>
            <w:r w:rsidRPr="001F0711">
              <w:rPr>
                <w:sz w:val="22"/>
              </w:rPr>
              <w:t>160 - 169</w:t>
            </w:r>
            <w:proofErr w:type="gramEnd"/>
            <w:r w:rsidRPr="001F0711">
              <w:rPr>
                <w:sz w:val="22"/>
              </w:rPr>
              <w:t xml:space="preserve"> podle mezinárodní klasifikace nemocí na celkovém počtu ošetřených a Pojišťovnou uznaných unikátních pojištěnců v hodnoceném období překročí 25 </w:t>
            </w:r>
            <w:r w:rsidRPr="001F0711">
              <w:rPr>
                <w:sz w:val="22"/>
                <w:vertAlign w:val="superscript"/>
              </w:rPr>
              <w:t>0</w:t>
            </w:r>
            <w:r w:rsidRPr="001F0711">
              <w:rPr>
                <w:sz w:val="22"/>
              </w:rPr>
              <w:t>/0, a hodnoty 1 v ostatních případech,</w:t>
            </w:r>
          </w:p>
        </w:tc>
      </w:tr>
      <w:tr w:rsidR="008D2AC2" w:rsidRPr="001F0711" w14:paraId="5DDF4D7E" w14:textId="77777777" w:rsidTr="00211A49">
        <w:trPr>
          <w:trHeight w:val="864"/>
        </w:trPr>
        <w:tc>
          <w:tcPr>
            <w:tcW w:w="984" w:type="dxa"/>
            <w:tcBorders>
              <w:top w:val="nil"/>
              <w:left w:val="nil"/>
              <w:bottom w:val="nil"/>
              <w:right w:val="nil"/>
            </w:tcBorders>
          </w:tcPr>
          <w:p w14:paraId="7DBC43BE" w14:textId="3F65B2E4" w:rsidR="008D2AC2" w:rsidRPr="001F0711" w:rsidRDefault="00703436" w:rsidP="00211A49">
            <w:pPr>
              <w:spacing w:after="216" w:line="259" w:lineRule="auto"/>
              <w:ind w:left="14" w:right="0" w:firstLine="0"/>
              <w:jc w:val="left"/>
              <w:rPr>
                <w:sz w:val="22"/>
              </w:rPr>
            </w:pPr>
            <w:r>
              <w:rPr>
                <w:sz w:val="22"/>
              </w:rPr>
              <w:t xml:space="preserve">PB </w:t>
            </w:r>
            <w:r w:rsidR="00A82FB0" w:rsidRPr="00703436">
              <w:rPr>
                <w:sz w:val="22"/>
                <w:vertAlign w:val="subscript"/>
              </w:rPr>
              <w:t>ho</w:t>
            </w:r>
          </w:p>
          <w:p w14:paraId="53F117FD" w14:textId="1D95DBE0" w:rsidR="008D2AC2" w:rsidRPr="00EA7F73" w:rsidRDefault="00EA7F73" w:rsidP="00211A49">
            <w:pPr>
              <w:spacing w:after="5" w:line="259" w:lineRule="auto"/>
              <w:ind w:left="14" w:right="0" w:firstLine="0"/>
              <w:jc w:val="left"/>
              <w:rPr>
                <w:sz w:val="22"/>
                <w:vertAlign w:val="subscript"/>
              </w:rPr>
            </w:pPr>
            <w:r>
              <w:rPr>
                <w:noProof/>
                <w:sz w:val="22"/>
              </w:rPr>
              <w:t>HB</w:t>
            </w:r>
            <w:r>
              <w:rPr>
                <w:noProof/>
                <w:sz w:val="22"/>
                <w:vertAlign w:val="subscript"/>
              </w:rPr>
              <w:t>min</w:t>
            </w:r>
          </w:p>
        </w:tc>
        <w:tc>
          <w:tcPr>
            <w:tcW w:w="7728" w:type="dxa"/>
            <w:tcBorders>
              <w:top w:val="nil"/>
              <w:left w:val="nil"/>
              <w:bottom w:val="nil"/>
              <w:right w:val="nil"/>
            </w:tcBorders>
          </w:tcPr>
          <w:p w14:paraId="633230A8" w14:textId="77777777" w:rsidR="008D2AC2" w:rsidRPr="001F0711" w:rsidRDefault="00A82FB0" w:rsidP="00211A49">
            <w:pPr>
              <w:spacing w:after="119" w:line="216" w:lineRule="auto"/>
              <w:ind w:left="24" w:right="0" w:hanging="14"/>
              <w:rPr>
                <w:sz w:val="22"/>
              </w:rPr>
            </w:pPr>
            <w:r w:rsidRPr="001F0711">
              <w:rPr>
                <w:sz w:val="22"/>
              </w:rPr>
              <w:t>je celkový počet Pobytovým zařízením vykázaných a Pojišťovnou uznaných bodů v hodnoceném období.</w:t>
            </w:r>
          </w:p>
          <w:p w14:paraId="17817E84" w14:textId="77777777" w:rsidR="008D2AC2" w:rsidRPr="001F0711" w:rsidRDefault="00A82FB0" w:rsidP="00211A49">
            <w:pPr>
              <w:spacing w:after="0" w:line="259" w:lineRule="auto"/>
              <w:ind w:left="10" w:right="0" w:firstLine="0"/>
              <w:jc w:val="left"/>
              <w:rPr>
                <w:sz w:val="22"/>
              </w:rPr>
            </w:pPr>
            <w:r w:rsidRPr="001F0711">
              <w:rPr>
                <w:sz w:val="22"/>
              </w:rPr>
              <w:t>je minimální hodnota bodu, která se stanoví ve výši 0,93 Kč.</w:t>
            </w:r>
          </w:p>
        </w:tc>
      </w:tr>
      <w:tr w:rsidR="008D2AC2" w:rsidRPr="001F0711" w14:paraId="3F4FE365" w14:textId="77777777" w:rsidTr="00211A49">
        <w:trPr>
          <w:trHeight w:val="335"/>
        </w:trPr>
        <w:tc>
          <w:tcPr>
            <w:tcW w:w="984" w:type="dxa"/>
            <w:tcBorders>
              <w:top w:val="nil"/>
              <w:left w:val="nil"/>
              <w:bottom w:val="nil"/>
              <w:right w:val="nil"/>
            </w:tcBorders>
          </w:tcPr>
          <w:p w14:paraId="5AACB5CF" w14:textId="072C74CC" w:rsidR="008D2AC2" w:rsidRPr="001F0711" w:rsidRDefault="00A82FB0" w:rsidP="00211A49">
            <w:pPr>
              <w:spacing w:after="0" w:line="259" w:lineRule="auto"/>
              <w:ind w:left="10" w:right="0" w:firstLine="0"/>
              <w:jc w:val="left"/>
              <w:rPr>
                <w:sz w:val="22"/>
              </w:rPr>
            </w:pPr>
            <w:proofErr w:type="spellStart"/>
            <w:r w:rsidRPr="001F0711">
              <w:rPr>
                <w:sz w:val="22"/>
              </w:rPr>
              <w:t>KP</w:t>
            </w:r>
            <w:r w:rsidR="00703436" w:rsidRPr="00703436">
              <w:rPr>
                <w:sz w:val="22"/>
                <w:vertAlign w:val="subscript"/>
              </w:rPr>
              <w:t>ho</w:t>
            </w:r>
            <w:proofErr w:type="spellEnd"/>
          </w:p>
        </w:tc>
        <w:tc>
          <w:tcPr>
            <w:tcW w:w="7728" w:type="dxa"/>
            <w:tcBorders>
              <w:top w:val="nil"/>
              <w:left w:val="nil"/>
              <w:bottom w:val="nil"/>
              <w:right w:val="nil"/>
            </w:tcBorders>
          </w:tcPr>
          <w:p w14:paraId="2EC7BAA4" w14:textId="77777777" w:rsidR="008D2AC2" w:rsidRPr="001F0711" w:rsidRDefault="00A82FB0" w:rsidP="00211A49">
            <w:pPr>
              <w:spacing w:after="0" w:line="259" w:lineRule="auto"/>
              <w:ind w:left="5" w:right="0" w:firstLine="0"/>
              <w:jc w:val="left"/>
              <w:rPr>
                <w:sz w:val="22"/>
              </w:rPr>
            </w:pPr>
            <w:r w:rsidRPr="001F0711">
              <w:rPr>
                <w:sz w:val="22"/>
              </w:rPr>
              <w:t>je hodnota korunových položek v hodnoceném období.</w:t>
            </w:r>
          </w:p>
        </w:tc>
      </w:tr>
      <w:tr w:rsidR="008D2AC2" w:rsidRPr="001F0711" w14:paraId="49FCA4EE" w14:textId="77777777" w:rsidTr="00211A49">
        <w:trPr>
          <w:trHeight w:val="655"/>
        </w:trPr>
        <w:tc>
          <w:tcPr>
            <w:tcW w:w="984" w:type="dxa"/>
            <w:tcBorders>
              <w:top w:val="nil"/>
              <w:left w:val="nil"/>
              <w:bottom w:val="nil"/>
              <w:right w:val="nil"/>
            </w:tcBorders>
          </w:tcPr>
          <w:p w14:paraId="6237DD51" w14:textId="77777777" w:rsidR="008D2AC2" w:rsidRDefault="00703436" w:rsidP="00211A49">
            <w:pPr>
              <w:spacing w:after="0" w:line="259" w:lineRule="auto"/>
              <w:ind w:left="5" w:right="0" w:firstLine="0"/>
              <w:jc w:val="left"/>
              <w:rPr>
                <w:sz w:val="22"/>
              </w:rPr>
            </w:pPr>
            <w:r w:rsidRPr="001F0711">
              <w:rPr>
                <w:sz w:val="22"/>
              </w:rPr>
              <w:t>M</w:t>
            </w:r>
            <w:r w:rsidR="00A82FB0" w:rsidRPr="001F0711">
              <w:rPr>
                <w:sz w:val="22"/>
              </w:rPr>
              <w:t>ax</w:t>
            </w:r>
          </w:p>
          <w:p w14:paraId="76D36DE8" w14:textId="1432570D" w:rsidR="00EA7F73" w:rsidRPr="001F0711" w:rsidRDefault="00EA7F73" w:rsidP="00211A49">
            <w:pPr>
              <w:spacing w:after="0" w:line="259" w:lineRule="auto"/>
              <w:ind w:left="5" w:right="0" w:firstLine="0"/>
              <w:jc w:val="left"/>
              <w:rPr>
                <w:sz w:val="22"/>
              </w:rPr>
            </w:pPr>
            <w:r>
              <w:rPr>
                <w:sz w:val="22"/>
              </w:rPr>
              <w:t>j</w:t>
            </w:r>
          </w:p>
        </w:tc>
        <w:tc>
          <w:tcPr>
            <w:tcW w:w="7728" w:type="dxa"/>
            <w:tcBorders>
              <w:top w:val="nil"/>
              <w:left w:val="nil"/>
              <w:bottom w:val="nil"/>
              <w:right w:val="nil"/>
            </w:tcBorders>
          </w:tcPr>
          <w:p w14:paraId="712A8354" w14:textId="77777777" w:rsidR="00703436" w:rsidRDefault="00A82FB0" w:rsidP="00211A49">
            <w:pPr>
              <w:spacing w:after="0" w:line="259" w:lineRule="auto"/>
              <w:ind w:left="24" w:right="91" w:hanging="10"/>
              <w:jc w:val="left"/>
              <w:rPr>
                <w:sz w:val="22"/>
              </w:rPr>
            </w:pPr>
            <w:r w:rsidRPr="001F0711">
              <w:rPr>
                <w:sz w:val="22"/>
              </w:rPr>
              <w:t>funkce maximum, která vybere z oboru hodnot hodnotu nejvyšš</w:t>
            </w:r>
            <w:r w:rsidR="00703436">
              <w:rPr>
                <w:sz w:val="22"/>
              </w:rPr>
              <w:t>í</w:t>
            </w:r>
          </w:p>
          <w:p w14:paraId="282C63C8" w14:textId="46442077" w:rsidR="008D2AC2" w:rsidRPr="001F0711" w:rsidRDefault="00A82FB0" w:rsidP="00211A49">
            <w:pPr>
              <w:spacing w:after="0" w:line="259" w:lineRule="auto"/>
              <w:ind w:left="24" w:right="91" w:hanging="10"/>
              <w:jc w:val="left"/>
              <w:rPr>
                <w:sz w:val="22"/>
              </w:rPr>
            </w:pPr>
            <w:r w:rsidRPr="001F0711">
              <w:rPr>
                <w:sz w:val="22"/>
              </w:rPr>
              <w:t>nabývá hodnot 1 až m, kde m je počet unikátních pojištěnců ošetřených v hodnoceném období.</w:t>
            </w:r>
          </w:p>
        </w:tc>
      </w:tr>
      <w:tr w:rsidR="008D2AC2" w:rsidRPr="001F0711" w14:paraId="751CFA96" w14:textId="77777777" w:rsidTr="00211A49">
        <w:trPr>
          <w:trHeight w:val="1235"/>
        </w:trPr>
        <w:tc>
          <w:tcPr>
            <w:tcW w:w="984" w:type="dxa"/>
            <w:tcBorders>
              <w:top w:val="nil"/>
              <w:left w:val="nil"/>
              <w:bottom w:val="nil"/>
              <w:right w:val="nil"/>
            </w:tcBorders>
          </w:tcPr>
          <w:p w14:paraId="7C501DEB" w14:textId="77777777" w:rsidR="008D2AC2" w:rsidRPr="001F0711" w:rsidRDefault="00A82FB0" w:rsidP="00211A49">
            <w:pPr>
              <w:spacing w:after="680" w:line="259" w:lineRule="auto"/>
              <w:ind w:left="10" w:right="0" w:firstLine="0"/>
              <w:jc w:val="left"/>
              <w:rPr>
                <w:sz w:val="22"/>
              </w:rPr>
            </w:pPr>
            <w:proofErr w:type="spellStart"/>
            <w:r w:rsidRPr="001F0711">
              <w:rPr>
                <w:sz w:val="22"/>
              </w:rPr>
              <w:t>PMUP</w:t>
            </w:r>
            <w:r w:rsidRPr="00EA7F73">
              <w:rPr>
                <w:sz w:val="22"/>
                <w:vertAlign w:val="subscript"/>
              </w:rPr>
              <w:t>ref</w:t>
            </w:r>
            <w:proofErr w:type="spellEnd"/>
          </w:p>
          <w:p w14:paraId="2898A9F2" w14:textId="77777777" w:rsidR="008D2AC2" w:rsidRPr="001F0711" w:rsidRDefault="00A82FB0" w:rsidP="00211A49">
            <w:pPr>
              <w:spacing w:after="0" w:line="259" w:lineRule="auto"/>
              <w:ind w:left="5" w:right="0" w:firstLine="0"/>
              <w:jc w:val="left"/>
              <w:rPr>
                <w:sz w:val="22"/>
              </w:rPr>
            </w:pPr>
            <w:r w:rsidRPr="001F0711">
              <w:rPr>
                <w:sz w:val="22"/>
              </w:rPr>
              <w:t>kde:</w:t>
            </w:r>
          </w:p>
        </w:tc>
        <w:tc>
          <w:tcPr>
            <w:tcW w:w="7728" w:type="dxa"/>
            <w:tcBorders>
              <w:top w:val="nil"/>
              <w:left w:val="nil"/>
              <w:bottom w:val="nil"/>
              <w:right w:val="nil"/>
            </w:tcBorders>
          </w:tcPr>
          <w:p w14:paraId="03BC8036" w14:textId="77777777" w:rsidR="008D2AC2" w:rsidRPr="001F0711" w:rsidRDefault="00A82FB0" w:rsidP="00211A49">
            <w:pPr>
              <w:spacing w:after="30" w:line="259" w:lineRule="auto"/>
              <w:ind w:left="5" w:right="0" w:firstLine="0"/>
              <w:jc w:val="left"/>
              <w:rPr>
                <w:sz w:val="22"/>
              </w:rPr>
            </w:pPr>
            <w:r w:rsidRPr="001F0711">
              <w:rPr>
                <w:sz w:val="22"/>
              </w:rPr>
              <w:t>je průměrná měsíční úhrada za unikátního pojištěnce v referenčním období vypočtená jako:</w:t>
            </w:r>
          </w:p>
          <w:p w14:paraId="718F3C2E" w14:textId="3CB86AEE" w:rsidR="008D2AC2" w:rsidRPr="00211A49" w:rsidRDefault="00A82FB0" w:rsidP="00211A49">
            <w:pPr>
              <w:spacing w:after="0" w:line="259" w:lineRule="auto"/>
              <w:ind w:left="898" w:right="0" w:firstLine="0"/>
              <w:jc w:val="center"/>
              <w:rPr>
                <w:sz w:val="24"/>
                <w:szCs w:val="24"/>
                <w:vertAlign w:val="subscript"/>
              </w:rPr>
            </w:pPr>
            <w:proofErr w:type="spellStart"/>
            <w:r w:rsidRPr="00211A49">
              <w:rPr>
                <w:sz w:val="24"/>
                <w:szCs w:val="24"/>
              </w:rPr>
              <w:t>Uhr</w:t>
            </w:r>
            <w:r w:rsidR="004F59C4" w:rsidRPr="00211A49">
              <w:rPr>
                <w:sz w:val="24"/>
                <w:szCs w:val="24"/>
                <w:vertAlign w:val="subscript"/>
              </w:rPr>
              <w:t>ref</w:t>
            </w:r>
            <w:proofErr w:type="spellEnd"/>
          </w:p>
          <w:p w14:paraId="1F04A321" w14:textId="6F8B0C5A" w:rsidR="008D2AC2" w:rsidRPr="00211A49" w:rsidRDefault="00A82FB0" w:rsidP="00211A49">
            <w:pPr>
              <w:tabs>
                <w:tab w:val="center" w:pos="3247"/>
                <w:tab w:val="center" w:pos="4303"/>
              </w:tabs>
              <w:spacing w:after="0" w:line="259" w:lineRule="auto"/>
              <w:ind w:left="0" w:right="0" w:firstLine="0"/>
              <w:jc w:val="left"/>
              <w:rPr>
                <w:sz w:val="24"/>
                <w:szCs w:val="24"/>
              </w:rPr>
            </w:pPr>
            <w:r w:rsidRPr="00211A49">
              <w:rPr>
                <w:sz w:val="24"/>
                <w:szCs w:val="24"/>
              </w:rPr>
              <w:tab/>
            </w:r>
            <w:proofErr w:type="spellStart"/>
            <w:r w:rsidRPr="00211A49">
              <w:rPr>
                <w:sz w:val="24"/>
                <w:szCs w:val="24"/>
              </w:rPr>
              <w:t>PMUP</w:t>
            </w:r>
            <w:r w:rsidRPr="00211A49">
              <w:rPr>
                <w:sz w:val="24"/>
                <w:szCs w:val="24"/>
                <w:vertAlign w:val="subscript"/>
              </w:rPr>
              <w:t>ref</w:t>
            </w:r>
            <w:proofErr w:type="spellEnd"/>
            <w:r w:rsidRPr="00211A49">
              <w:rPr>
                <w:sz w:val="24"/>
                <w:szCs w:val="24"/>
                <w:vertAlign w:val="subscript"/>
              </w:rPr>
              <w:t xml:space="preserve"> </w:t>
            </w:r>
            <w:r w:rsidRPr="00211A49">
              <w:rPr>
                <w:noProof/>
                <w:sz w:val="24"/>
                <w:szCs w:val="24"/>
              </w:rPr>
              <w:drawing>
                <wp:inline distT="0" distB="0" distL="0" distR="0" wp14:anchorId="6614DBAA" wp14:editId="493BE8E4">
                  <wp:extent cx="70104" cy="12195"/>
                  <wp:effectExtent l="0" t="0" r="0" b="0"/>
                  <wp:docPr id="6315" name="Picture 6315"/>
                  <wp:cNvGraphicFramePr/>
                  <a:graphic xmlns:a="http://schemas.openxmlformats.org/drawingml/2006/main">
                    <a:graphicData uri="http://schemas.openxmlformats.org/drawingml/2006/picture">
                      <pic:pic xmlns:pic="http://schemas.openxmlformats.org/drawingml/2006/picture">
                        <pic:nvPicPr>
                          <pic:cNvPr id="6315" name="Picture 6315"/>
                          <pic:cNvPicPr/>
                        </pic:nvPicPr>
                        <pic:blipFill>
                          <a:blip r:embed="rId9"/>
                          <a:stretch>
                            <a:fillRect/>
                          </a:stretch>
                        </pic:blipFill>
                        <pic:spPr>
                          <a:xfrm>
                            <a:off x="0" y="0"/>
                            <a:ext cx="70104" cy="12195"/>
                          </a:xfrm>
                          <a:prstGeom prst="rect">
                            <a:avLst/>
                          </a:prstGeom>
                        </pic:spPr>
                      </pic:pic>
                    </a:graphicData>
                  </a:graphic>
                </wp:inline>
              </w:drawing>
            </w:r>
            <w:r w:rsidR="004F59C4" w:rsidRPr="00211A49">
              <w:rPr>
                <w:noProof/>
                <w:sz w:val="24"/>
                <w:szCs w:val="24"/>
              </w:rPr>
              <w:t>=</w:t>
            </w:r>
            <w:r w:rsidRPr="00211A49">
              <w:rPr>
                <w:sz w:val="24"/>
                <w:szCs w:val="24"/>
              </w:rPr>
              <w:tab/>
            </w:r>
            <w:r w:rsidRPr="00211A49">
              <w:rPr>
                <w:noProof/>
                <w:sz w:val="24"/>
                <w:szCs w:val="24"/>
              </w:rPr>
              <w:drawing>
                <wp:inline distT="0" distB="0" distL="0" distR="0" wp14:anchorId="128581A0" wp14:editId="26CA879B">
                  <wp:extent cx="746760" cy="15244"/>
                  <wp:effectExtent l="0" t="0" r="0" b="0"/>
                  <wp:docPr id="6358" name="Picture 6358"/>
                  <wp:cNvGraphicFramePr/>
                  <a:graphic xmlns:a="http://schemas.openxmlformats.org/drawingml/2006/main">
                    <a:graphicData uri="http://schemas.openxmlformats.org/drawingml/2006/picture">
                      <pic:pic xmlns:pic="http://schemas.openxmlformats.org/drawingml/2006/picture">
                        <pic:nvPicPr>
                          <pic:cNvPr id="6358" name="Picture 6358"/>
                          <pic:cNvPicPr/>
                        </pic:nvPicPr>
                        <pic:blipFill>
                          <a:blip r:embed="rId10"/>
                          <a:stretch>
                            <a:fillRect/>
                          </a:stretch>
                        </pic:blipFill>
                        <pic:spPr>
                          <a:xfrm>
                            <a:off x="0" y="0"/>
                            <a:ext cx="746760" cy="15244"/>
                          </a:xfrm>
                          <a:prstGeom prst="rect">
                            <a:avLst/>
                          </a:prstGeom>
                        </pic:spPr>
                      </pic:pic>
                    </a:graphicData>
                  </a:graphic>
                </wp:inline>
              </w:drawing>
            </w:r>
          </w:p>
          <w:p w14:paraId="439A47E5" w14:textId="77777777" w:rsidR="004F59C4" w:rsidRPr="00211A49" w:rsidRDefault="004F59C4" w:rsidP="00211A49">
            <w:pPr>
              <w:spacing w:after="0" w:line="259" w:lineRule="auto"/>
              <w:ind w:left="869" w:right="0" w:firstLine="0"/>
              <w:jc w:val="center"/>
              <w:rPr>
                <w:sz w:val="24"/>
                <w:szCs w:val="24"/>
                <w:vertAlign w:val="subscript"/>
              </w:rPr>
            </w:pPr>
            <w:r w:rsidRPr="00211A49">
              <w:rPr>
                <w:sz w:val="24"/>
                <w:szCs w:val="24"/>
              </w:rPr>
              <w:t>∑</w:t>
            </w:r>
            <w:r w:rsidR="004C564C" w:rsidRPr="00211A49">
              <w:rPr>
                <w:sz w:val="24"/>
                <w:szCs w:val="24"/>
                <w:vertAlign w:val="subscript"/>
              </w:rPr>
              <w:t>i=1…</w:t>
            </w:r>
            <w:proofErr w:type="spellStart"/>
            <w:proofErr w:type="gramStart"/>
            <w:r w:rsidR="004C564C" w:rsidRPr="00211A49">
              <w:rPr>
                <w:sz w:val="24"/>
                <w:szCs w:val="24"/>
                <w:vertAlign w:val="subscript"/>
              </w:rPr>
              <w:t>n</w:t>
            </w:r>
            <w:r w:rsidR="004C564C" w:rsidRPr="00211A49">
              <w:rPr>
                <w:sz w:val="24"/>
                <w:szCs w:val="24"/>
              </w:rPr>
              <w:t>PUM</w:t>
            </w:r>
            <w:r w:rsidR="004C564C" w:rsidRPr="00211A49">
              <w:rPr>
                <w:sz w:val="24"/>
                <w:szCs w:val="24"/>
                <w:vertAlign w:val="subscript"/>
              </w:rPr>
              <w:t>ref,i</w:t>
            </w:r>
            <w:proofErr w:type="spellEnd"/>
            <w:proofErr w:type="gramEnd"/>
          </w:p>
          <w:p w14:paraId="0FF2EA8E" w14:textId="7A2048EB" w:rsidR="00C24609" w:rsidRPr="004C564C" w:rsidRDefault="00C24609" w:rsidP="00211A49">
            <w:pPr>
              <w:spacing w:after="0" w:line="259" w:lineRule="auto"/>
              <w:ind w:left="869" w:right="0" w:firstLine="0"/>
              <w:jc w:val="center"/>
              <w:rPr>
                <w:sz w:val="22"/>
                <w:vertAlign w:val="subscript"/>
              </w:rPr>
            </w:pPr>
          </w:p>
        </w:tc>
      </w:tr>
      <w:tr w:rsidR="008D2AC2" w:rsidRPr="001F0711" w14:paraId="2CCF362B" w14:textId="77777777" w:rsidTr="00211A49">
        <w:trPr>
          <w:trHeight w:val="545"/>
        </w:trPr>
        <w:tc>
          <w:tcPr>
            <w:tcW w:w="984" w:type="dxa"/>
            <w:tcBorders>
              <w:top w:val="nil"/>
              <w:left w:val="nil"/>
              <w:bottom w:val="nil"/>
              <w:right w:val="nil"/>
            </w:tcBorders>
          </w:tcPr>
          <w:p w14:paraId="73C644C0" w14:textId="77777777" w:rsidR="008D2AC2" w:rsidRPr="001F0711" w:rsidRDefault="00A82FB0" w:rsidP="00211A49">
            <w:pPr>
              <w:spacing w:after="0" w:line="259" w:lineRule="auto"/>
              <w:ind w:left="0" w:right="0" w:firstLine="0"/>
              <w:jc w:val="left"/>
              <w:rPr>
                <w:sz w:val="22"/>
              </w:rPr>
            </w:pPr>
            <w:proofErr w:type="spellStart"/>
            <w:r w:rsidRPr="001F0711">
              <w:rPr>
                <w:sz w:val="22"/>
              </w:rPr>
              <w:t>Uhr</w:t>
            </w:r>
            <w:r w:rsidRPr="00AD7426">
              <w:rPr>
                <w:sz w:val="22"/>
                <w:vertAlign w:val="subscript"/>
              </w:rPr>
              <w:t>ref</w:t>
            </w:r>
            <w:proofErr w:type="spellEnd"/>
          </w:p>
        </w:tc>
        <w:tc>
          <w:tcPr>
            <w:tcW w:w="7728" w:type="dxa"/>
            <w:tcBorders>
              <w:top w:val="nil"/>
              <w:left w:val="nil"/>
              <w:bottom w:val="nil"/>
              <w:right w:val="nil"/>
            </w:tcBorders>
          </w:tcPr>
          <w:p w14:paraId="1848681F" w14:textId="77777777" w:rsidR="008D2AC2" w:rsidRPr="001F0711" w:rsidRDefault="00A82FB0" w:rsidP="00211A49">
            <w:pPr>
              <w:spacing w:after="0" w:line="259" w:lineRule="auto"/>
              <w:ind w:left="19" w:right="0" w:hanging="19"/>
              <w:rPr>
                <w:sz w:val="22"/>
              </w:rPr>
            </w:pPr>
            <w:r w:rsidRPr="001F0711">
              <w:rPr>
                <w:sz w:val="22"/>
              </w:rPr>
              <w:t>je celková úhrada Pobytového zařízení za výkony, včetně zvlášť účtovaného materiálu a zvlášť účtovaných léčivých přípravků v referenčním období.</w:t>
            </w:r>
          </w:p>
        </w:tc>
      </w:tr>
      <w:tr w:rsidR="008D2AC2" w:rsidRPr="001F0711" w14:paraId="0ED52149" w14:textId="77777777" w:rsidTr="00211A49">
        <w:trPr>
          <w:trHeight w:val="469"/>
        </w:trPr>
        <w:tc>
          <w:tcPr>
            <w:tcW w:w="984" w:type="dxa"/>
            <w:tcBorders>
              <w:top w:val="nil"/>
              <w:left w:val="nil"/>
              <w:bottom w:val="nil"/>
              <w:right w:val="nil"/>
            </w:tcBorders>
          </w:tcPr>
          <w:p w14:paraId="245DDF59" w14:textId="2A39C053" w:rsidR="008D2AC2" w:rsidRPr="00AD7426" w:rsidRDefault="00A82FB0" w:rsidP="00211A49">
            <w:pPr>
              <w:spacing w:after="0" w:line="259" w:lineRule="auto"/>
              <w:ind w:left="0" w:right="0" w:firstLine="0"/>
              <w:jc w:val="left"/>
              <w:rPr>
                <w:sz w:val="22"/>
                <w:vertAlign w:val="subscript"/>
              </w:rPr>
            </w:pPr>
            <w:proofErr w:type="spellStart"/>
            <w:proofErr w:type="gramStart"/>
            <w:r w:rsidRPr="001F0711">
              <w:rPr>
                <w:sz w:val="22"/>
              </w:rPr>
              <w:t>P</w:t>
            </w:r>
            <w:r w:rsidR="008938E7">
              <w:rPr>
                <w:sz w:val="22"/>
              </w:rPr>
              <w:t>U</w:t>
            </w:r>
            <w:r w:rsidR="00AD7426">
              <w:rPr>
                <w:sz w:val="22"/>
              </w:rPr>
              <w:t>M</w:t>
            </w:r>
            <w:r w:rsidR="00AD7426">
              <w:rPr>
                <w:sz w:val="22"/>
                <w:vertAlign w:val="subscript"/>
              </w:rPr>
              <w:t>ref,i</w:t>
            </w:r>
            <w:proofErr w:type="spellEnd"/>
            <w:proofErr w:type="gramEnd"/>
          </w:p>
        </w:tc>
        <w:tc>
          <w:tcPr>
            <w:tcW w:w="7728" w:type="dxa"/>
            <w:tcBorders>
              <w:top w:val="nil"/>
              <w:left w:val="nil"/>
              <w:bottom w:val="nil"/>
              <w:right w:val="nil"/>
            </w:tcBorders>
          </w:tcPr>
          <w:p w14:paraId="404E1700" w14:textId="77777777" w:rsidR="008D2AC2" w:rsidRPr="001F0711" w:rsidRDefault="00A82FB0" w:rsidP="00211A49">
            <w:pPr>
              <w:spacing w:after="0" w:line="259" w:lineRule="auto"/>
              <w:ind w:left="10" w:right="0" w:hanging="10"/>
              <w:rPr>
                <w:sz w:val="22"/>
              </w:rPr>
            </w:pPr>
            <w:r w:rsidRPr="001F0711">
              <w:rPr>
                <w:sz w:val="22"/>
              </w:rPr>
              <w:t>je počet vykázaných kalendářních měsíců, v nichž byly poskytovány unikátnímu pojištěnci i zdravotní služby v referenčním období.</w:t>
            </w:r>
          </w:p>
        </w:tc>
      </w:tr>
    </w:tbl>
    <w:p w14:paraId="216AAF89" w14:textId="66B1A43E" w:rsidR="008D2AC2" w:rsidRPr="001F0711" w:rsidRDefault="00211A49">
      <w:pPr>
        <w:spacing w:after="91"/>
        <w:ind w:left="1493" w:right="115" w:firstLine="0"/>
        <w:rPr>
          <w:sz w:val="22"/>
        </w:rPr>
      </w:pPr>
      <w:r>
        <w:rPr>
          <w:sz w:val="22"/>
        </w:rPr>
        <w:br w:type="textWrapping" w:clear="all"/>
      </w:r>
      <w:r w:rsidR="00A82FB0" w:rsidRPr="001F0711">
        <w:rPr>
          <w:sz w:val="22"/>
        </w:rPr>
        <w:t>nabývá hodnot 1 až n, kde n je počet unikátních pojištěnců ošetřených v referenčním období.</w:t>
      </w:r>
    </w:p>
    <w:p w14:paraId="14DCCF39" w14:textId="77777777" w:rsidR="008D2AC2" w:rsidRPr="001F0711" w:rsidRDefault="00A82FB0">
      <w:pPr>
        <w:numPr>
          <w:ilvl w:val="0"/>
          <w:numId w:val="1"/>
        </w:numPr>
        <w:spacing w:after="80"/>
        <w:ind w:left="610" w:right="115"/>
        <w:rPr>
          <w:sz w:val="22"/>
        </w:rPr>
      </w:pPr>
      <w:r w:rsidRPr="001F0711">
        <w:rPr>
          <w:sz w:val="22"/>
        </w:rPr>
        <w:t xml:space="preserve">Pokud je Pobytovému zařízení oproti referenčnímu období nově nasmlouván výkon č. 06648 (bonifikační výkon za práci sestry v nepřetržitém nebo v třísměnném pracovním režimu), přičemž Pobytové zařízení v referenčním období vykazovalo hrazené služby poskytnuté v době od 22:00 do 06:00 hodin výkonem č. 06645 (bonifikační výkon za práci zdravotní sestry v době od 22:00 do 06:00 hodin) a hrazené služby poskytnuté v době pracovního volna nebo pracovního klidu vykazovalo výkonem č. 06649 (bonifikační výkon za práci sestry v době pracovního volna nebo pracovního klidu), hodnota </w:t>
      </w:r>
      <w:proofErr w:type="spellStart"/>
      <w:r w:rsidRPr="001F0711">
        <w:rPr>
          <w:sz w:val="22"/>
        </w:rPr>
        <w:t>PMUP</w:t>
      </w:r>
      <w:r w:rsidRPr="008938E7">
        <w:rPr>
          <w:sz w:val="22"/>
          <w:vertAlign w:val="subscript"/>
        </w:rPr>
        <w:t>ref</w:t>
      </w:r>
      <w:proofErr w:type="spellEnd"/>
      <w:r w:rsidRPr="001F0711">
        <w:rPr>
          <w:sz w:val="22"/>
        </w:rPr>
        <w:t xml:space="preserve"> se navýší o částku vypočtenou takto:</w:t>
      </w:r>
    </w:p>
    <w:p w14:paraId="760676E0" w14:textId="5FF695F0" w:rsidR="008D2AC2" w:rsidRPr="00211A49" w:rsidRDefault="00550296" w:rsidP="00A34FE5">
      <w:pPr>
        <w:spacing w:after="0" w:line="259" w:lineRule="auto"/>
        <w:ind w:left="2268" w:right="794" w:hanging="11"/>
        <w:jc w:val="center"/>
        <w:rPr>
          <w:sz w:val="24"/>
          <w:szCs w:val="24"/>
          <w:vertAlign w:val="subscript"/>
        </w:rPr>
      </w:pPr>
      <w:r>
        <w:rPr>
          <w:sz w:val="22"/>
        </w:rPr>
        <w:t>{</w:t>
      </w:r>
      <w:r w:rsidR="00A82FB0" w:rsidRPr="00211A49">
        <w:rPr>
          <w:sz w:val="24"/>
          <w:szCs w:val="24"/>
        </w:rPr>
        <w:t>PV</w:t>
      </w:r>
      <w:r w:rsidR="00A82FB0" w:rsidRPr="00211A49">
        <w:rPr>
          <w:sz w:val="24"/>
          <w:szCs w:val="24"/>
          <w:vertAlign w:val="subscript"/>
        </w:rPr>
        <w:t>výk</w:t>
      </w:r>
      <w:r w:rsidR="00A82FB0" w:rsidRPr="00211A49">
        <w:rPr>
          <w:sz w:val="24"/>
          <w:szCs w:val="24"/>
        </w:rPr>
        <w:t>2019 * (BH</w:t>
      </w:r>
      <w:r w:rsidR="00A82FB0" w:rsidRPr="00211A49">
        <w:rPr>
          <w:sz w:val="24"/>
          <w:szCs w:val="24"/>
          <w:vertAlign w:val="subscript"/>
        </w:rPr>
        <w:t>výk</w:t>
      </w:r>
      <w:r w:rsidR="00A82FB0" w:rsidRPr="00211A49">
        <w:rPr>
          <w:sz w:val="24"/>
          <w:szCs w:val="24"/>
        </w:rPr>
        <w:t>2022 — BH</w:t>
      </w:r>
      <w:r w:rsidR="00A82FB0" w:rsidRPr="00211A49">
        <w:rPr>
          <w:sz w:val="24"/>
          <w:szCs w:val="24"/>
          <w:vertAlign w:val="subscript"/>
        </w:rPr>
        <w:t>výk</w:t>
      </w:r>
      <w:r w:rsidR="00A82FB0" w:rsidRPr="00211A49">
        <w:rPr>
          <w:sz w:val="24"/>
          <w:szCs w:val="24"/>
        </w:rPr>
        <w:t>2019</w:t>
      </w:r>
      <w:proofErr w:type="gramStart"/>
      <w:r w:rsidR="00A82FB0" w:rsidRPr="00211A49">
        <w:rPr>
          <w:sz w:val="24"/>
          <w:szCs w:val="24"/>
        </w:rPr>
        <w:t>)</w:t>
      </w:r>
      <w:r w:rsidRPr="00211A49">
        <w:rPr>
          <w:sz w:val="24"/>
          <w:szCs w:val="24"/>
        </w:rPr>
        <w:t>}</w:t>
      </w:r>
      <w:r w:rsidR="008938E7" w:rsidRPr="00211A49">
        <w:rPr>
          <w:sz w:val="24"/>
          <w:szCs w:val="24"/>
        </w:rPr>
        <w:t xml:space="preserve">  </w:t>
      </w:r>
      <w:r w:rsidR="00211A49">
        <w:rPr>
          <w:sz w:val="24"/>
          <w:szCs w:val="24"/>
        </w:rPr>
        <w:t xml:space="preserve"> </w:t>
      </w:r>
      <w:proofErr w:type="gramEnd"/>
      <w:r w:rsidR="00211A49">
        <w:rPr>
          <w:sz w:val="24"/>
          <w:szCs w:val="24"/>
        </w:rPr>
        <w:tab/>
      </w:r>
      <w:r w:rsidR="00211A49">
        <w:rPr>
          <w:sz w:val="24"/>
          <w:szCs w:val="24"/>
        </w:rPr>
        <w:tab/>
        <w:t>*</w:t>
      </w:r>
      <w:proofErr w:type="spellStart"/>
      <w:r w:rsidR="00211A49">
        <w:rPr>
          <w:sz w:val="24"/>
          <w:szCs w:val="24"/>
        </w:rPr>
        <w:t>HB</w:t>
      </w:r>
      <w:r w:rsidR="00211A49">
        <w:rPr>
          <w:sz w:val="24"/>
          <w:szCs w:val="24"/>
          <w:vertAlign w:val="subscript"/>
        </w:rPr>
        <w:t>ref</w:t>
      </w:r>
      <w:proofErr w:type="spellEnd"/>
    </w:p>
    <w:tbl>
      <w:tblPr>
        <w:tblpPr w:leftFromText="141" w:rightFromText="141" w:vertAnchor="text" w:horzAnchor="page" w:tblpX="4681" w:tblpY="16"/>
        <w:tblW w:w="0" w:type="auto"/>
        <w:tblBorders>
          <w:top w:val="single" w:sz="4" w:space="0" w:color="auto"/>
        </w:tblBorders>
        <w:tblCellMar>
          <w:left w:w="70" w:type="dxa"/>
          <w:right w:w="70" w:type="dxa"/>
        </w:tblCellMar>
        <w:tblLook w:val="0000" w:firstRow="0" w:lastRow="0" w:firstColumn="0" w:lastColumn="0" w:noHBand="0" w:noVBand="0"/>
      </w:tblPr>
      <w:tblGrid>
        <w:gridCol w:w="1346"/>
        <w:gridCol w:w="2029"/>
        <w:gridCol w:w="1346"/>
      </w:tblGrid>
      <w:tr w:rsidR="008938E7" w:rsidRPr="00211A49" w14:paraId="0E8CB744" w14:textId="77777777" w:rsidTr="005401A2">
        <w:tblPrEx>
          <w:tblCellMar>
            <w:top w:w="0" w:type="dxa"/>
            <w:bottom w:w="0" w:type="dxa"/>
          </w:tblCellMar>
        </w:tblPrEx>
        <w:trPr>
          <w:gridAfter w:val="1"/>
          <w:wAfter w:w="1346" w:type="dxa"/>
          <w:trHeight w:val="101"/>
        </w:trPr>
        <w:tc>
          <w:tcPr>
            <w:tcW w:w="3375" w:type="dxa"/>
            <w:gridSpan w:val="2"/>
            <w:tcBorders>
              <w:top w:val="nil"/>
            </w:tcBorders>
          </w:tcPr>
          <w:p w14:paraId="40F4E89D" w14:textId="16788158" w:rsidR="008938E7" w:rsidRPr="00211A49" w:rsidRDefault="008938E7" w:rsidP="005401A2">
            <w:pPr>
              <w:spacing w:after="0" w:line="259" w:lineRule="auto"/>
              <w:ind w:left="0" w:right="1498" w:firstLine="0"/>
              <w:jc w:val="center"/>
              <w:rPr>
                <w:sz w:val="24"/>
                <w:szCs w:val="24"/>
                <w:vertAlign w:val="subscript"/>
              </w:rPr>
            </w:pPr>
            <w:proofErr w:type="spellStart"/>
            <w:proofErr w:type="gramStart"/>
            <w:r w:rsidRPr="00211A49">
              <w:rPr>
                <w:sz w:val="24"/>
                <w:szCs w:val="24"/>
              </w:rPr>
              <w:t>PUM</w:t>
            </w:r>
            <w:r w:rsidRPr="00211A49">
              <w:rPr>
                <w:sz w:val="24"/>
                <w:szCs w:val="24"/>
                <w:vertAlign w:val="subscript"/>
              </w:rPr>
              <w:t>ref,i</w:t>
            </w:r>
            <w:proofErr w:type="spellEnd"/>
            <w:proofErr w:type="gramEnd"/>
          </w:p>
        </w:tc>
      </w:tr>
      <w:tr w:rsidR="008938E7" w14:paraId="7A8251F9" w14:textId="77777777" w:rsidTr="00A34FE5">
        <w:tblPrEx>
          <w:tblCellMar>
            <w:top w:w="0" w:type="dxa"/>
            <w:bottom w:w="0" w:type="dxa"/>
          </w:tblCellMar>
        </w:tblPrEx>
        <w:trPr>
          <w:gridBefore w:val="1"/>
          <w:wBefore w:w="1346" w:type="dxa"/>
          <w:trHeight w:val="101"/>
        </w:trPr>
        <w:tc>
          <w:tcPr>
            <w:tcW w:w="3375" w:type="dxa"/>
            <w:gridSpan w:val="2"/>
          </w:tcPr>
          <w:p w14:paraId="125C5054" w14:textId="77777777" w:rsidR="008938E7" w:rsidRDefault="008938E7" w:rsidP="00A34FE5">
            <w:pPr>
              <w:spacing w:after="0" w:line="259" w:lineRule="auto"/>
              <w:ind w:left="0" w:right="1498" w:firstLine="0"/>
              <w:jc w:val="left"/>
              <w:rPr>
                <w:sz w:val="22"/>
              </w:rPr>
            </w:pPr>
          </w:p>
        </w:tc>
      </w:tr>
    </w:tbl>
    <w:tbl>
      <w:tblPr>
        <w:tblpPr w:leftFromText="141" w:rightFromText="141" w:vertAnchor="text" w:horzAnchor="margin" w:tblpXSpec="center" w:tblpYSpec="outside"/>
        <w:tblW w:w="0" w:type="auto"/>
        <w:tblBorders>
          <w:top w:val="single" w:sz="4" w:space="0" w:color="auto"/>
        </w:tblBorders>
        <w:tblCellMar>
          <w:left w:w="70" w:type="dxa"/>
          <w:right w:w="70" w:type="dxa"/>
        </w:tblCellMar>
        <w:tblLook w:val="0000" w:firstRow="0" w:lastRow="0" w:firstColumn="0" w:lastColumn="0" w:noHBand="0" w:noVBand="0"/>
      </w:tblPr>
      <w:tblGrid>
        <w:gridCol w:w="4215"/>
      </w:tblGrid>
      <w:tr w:rsidR="005401A2" w14:paraId="342A61D0" w14:textId="77777777" w:rsidTr="00A34FE5">
        <w:tblPrEx>
          <w:tblCellMar>
            <w:top w:w="0" w:type="dxa"/>
            <w:bottom w:w="0" w:type="dxa"/>
          </w:tblCellMar>
        </w:tblPrEx>
        <w:trPr>
          <w:trHeight w:val="100"/>
        </w:trPr>
        <w:tc>
          <w:tcPr>
            <w:tcW w:w="4215" w:type="dxa"/>
          </w:tcPr>
          <w:p w14:paraId="07D5E7CD" w14:textId="77777777" w:rsidR="005401A2" w:rsidRDefault="005401A2" w:rsidP="00A34FE5">
            <w:pPr>
              <w:spacing w:after="0" w:line="259" w:lineRule="auto"/>
              <w:ind w:left="0" w:right="1497" w:firstLine="0"/>
              <w:jc w:val="left"/>
              <w:rPr>
                <w:sz w:val="22"/>
              </w:rPr>
            </w:pPr>
          </w:p>
        </w:tc>
      </w:tr>
    </w:tbl>
    <w:p w14:paraId="710B5FEA" w14:textId="0F58D905" w:rsidR="008D2AC2" w:rsidRPr="001F0711" w:rsidRDefault="00550296" w:rsidP="008938E7">
      <w:pPr>
        <w:spacing w:after="0" w:line="259" w:lineRule="auto"/>
        <w:ind w:left="0" w:right="0" w:firstLine="0"/>
        <w:rPr>
          <w:sz w:val="22"/>
        </w:rPr>
      </w:pPr>
      <w:r>
        <w:rPr>
          <w:sz w:val="22"/>
        </w:rPr>
        <w:t xml:space="preserve"> </w:t>
      </w:r>
    </w:p>
    <w:p w14:paraId="5C6B8D9D" w14:textId="3979C4CC" w:rsidR="008D2AC2" w:rsidRPr="001F0711" w:rsidRDefault="008D2AC2" w:rsidP="008938E7">
      <w:pPr>
        <w:spacing w:after="56" w:line="259" w:lineRule="auto"/>
        <w:ind w:left="2124" w:right="0" w:firstLine="0"/>
        <w:jc w:val="right"/>
        <w:rPr>
          <w:sz w:val="22"/>
        </w:rPr>
      </w:pPr>
    </w:p>
    <w:p w14:paraId="2524B8BF" w14:textId="77777777" w:rsidR="008D2AC2" w:rsidRPr="001F0711" w:rsidRDefault="00A82FB0">
      <w:pPr>
        <w:ind w:left="634" w:right="115" w:firstLine="0"/>
        <w:rPr>
          <w:sz w:val="22"/>
        </w:rPr>
      </w:pPr>
      <w:r w:rsidRPr="001F0711">
        <w:rPr>
          <w:sz w:val="22"/>
        </w:rPr>
        <w:lastRenderedPageBreak/>
        <w:t>kde:</w:t>
      </w:r>
    </w:p>
    <w:p w14:paraId="0CD042C5" w14:textId="1C8B8554" w:rsidR="008D2AC2" w:rsidRPr="001F0711" w:rsidRDefault="00A82FB0">
      <w:pPr>
        <w:spacing w:after="62"/>
        <w:ind w:left="1484" w:right="115" w:hanging="850"/>
        <w:rPr>
          <w:sz w:val="22"/>
        </w:rPr>
      </w:pPr>
      <w:r w:rsidRPr="001F0711">
        <w:rPr>
          <w:sz w:val="22"/>
        </w:rPr>
        <w:t>PV</w:t>
      </w:r>
      <w:r w:rsidRPr="00703436">
        <w:rPr>
          <w:sz w:val="22"/>
          <w:vertAlign w:val="subscript"/>
        </w:rPr>
        <w:t>výk2019</w:t>
      </w:r>
      <w:r w:rsidRPr="001F0711">
        <w:rPr>
          <w:sz w:val="22"/>
        </w:rPr>
        <w:t xml:space="preserve"> celkový počet Pobytovým zařízením vykázaných a Pojišťovnou uznaných výkonů č</w:t>
      </w:r>
      <w:r w:rsidR="00A44C62">
        <w:rPr>
          <w:sz w:val="22"/>
        </w:rPr>
        <w:t>.</w:t>
      </w:r>
      <w:r w:rsidRPr="001F0711">
        <w:rPr>
          <w:sz w:val="22"/>
        </w:rPr>
        <w:t xml:space="preserve"> 06645 — bonifikační výkon za práci zdravotní sestry v době od 22:00 do 06:00 hodin a výkonů č- ()6649 — bonifikační výkon za práci sestry v době pracovního volna nebo pracovního klidu. Do celkového počtu výkonů jsou zařazeny výkony uvedené ve větě první poskytnuté v roce 2019, Pobytovým zařízením vykázané do 31. 3</w:t>
      </w:r>
      <w:r w:rsidR="00757CAC">
        <w:rPr>
          <w:sz w:val="22"/>
        </w:rPr>
        <w:t>.</w:t>
      </w:r>
      <w:r w:rsidRPr="001F0711">
        <w:rPr>
          <w:sz w:val="22"/>
        </w:rPr>
        <w:t xml:space="preserve"> 2020 a Pojišťovnou uznané do 31. 5. 2020.</w:t>
      </w:r>
    </w:p>
    <w:p w14:paraId="2C9E28B4" w14:textId="77777777" w:rsidR="008D2AC2" w:rsidRPr="001F0711" w:rsidRDefault="00A82FB0">
      <w:pPr>
        <w:ind w:left="1484" w:right="115" w:hanging="850"/>
        <w:rPr>
          <w:sz w:val="22"/>
        </w:rPr>
      </w:pPr>
      <w:r w:rsidRPr="001F0711">
        <w:rPr>
          <w:sz w:val="22"/>
        </w:rPr>
        <w:t>BH</w:t>
      </w:r>
      <w:r w:rsidRPr="00703436">
        <w:rPr>
          <w:sz w:val="22"/>
          <w:vertAlign w:val="subscript"/>
        </w:rPr>
        <w:t>výk2019</w:t>
      </w:r>
      <w:r w:rsidRPr="001F0711">
        <w:rPr>
          <w:sz w:val="22"/>
        </w:rPr>
        <w:t xml:space="preserve"> bodová hodnota výkonu č. 06645 - bonifikační výkon za práci zdravotní sestry v době od 22:00 do 06:00 </w:t>
      </w:r>
      <w:proofErr w:type="gramStart"/>
      <w:r w:rsidRPr="001F0711">
        <w:rPr>
          <w:sz w:val="22"/>
        </w:rPr>
        <w:t>hodin</w:t>
      </w:r>
      <w:proofErr w:type="gramEnd"/>
      <w:r w:rsidRPr="001F0711">
        <w:rPr>
          <w:sz w:val="22"/>
        </w:rPr>
        <w:t xml:space="preserve"> respektive výkonu č. 06649 — bonifikační výkon za práci sestry v době pracovního volna nebo pracovního klidu, uvedená v seznamu zdravotních výkonů platném pro rok 20191</w:t>
      </w:r>
    </w:p>
    <w:p w14:paraId="4A8C5084" w14:textId="77777777" w:rsidR="008D2AC2" w:rsidRPr="001F0711" w:rsidRDefault="00A82FB0">
      <w:pPr>
        <w:ind w:left="1497" w:right="115" w:hanging="859"/>
        <w:rPr>
          <w:sz w:val="22"/>
        </w:rPr>
      </w:pPr>
      <w:r w:rsidRPr="001F0711">
        <w:rPr>
          <w:sz w:val="22"/>
        </w:rPr>
        <w:t>BH</w:t>
      </w:r>
      <w:r w:rsidRPr="00703436">
        <w:rPr>
          <w:sz w:val="22"/>
          <w:vertAlign w:val="subscript"/>
        </w:rPr>
        <w:t>výk2022</w:t>
      </w:r>
      <w:r w:rsidRPr="001F0711">
        <w:rPr>
          <w:sz w:val="22"/>
        </w:rPr>
        <w:t xml:space="preserve"> bodová hodnota výkonu č. 06645 - bonifikační výkon za práci zdravotní sestry v době od 22:00 do 06:00 </w:t>
      </w:r>
      <w:proofErr w:type="gramStart"/>
      <w:r w:rsidRPr="001F0711">
        <w:rPr>
          <w:sz w:val="22"/>
        </w:rPr>
        <w:t>hodin</w:t>
      </w:r>
      <w:proofErr w:type="gramEnd"/>
      <w:r w:rsidRPr="001F0711">
        <w:rPr>
          <w:sz w:val="22"/>
        </w:rPr>
        <w:t xml:space="preserve"> respektive výkonu č. 06649 — bonifikační výkon za práci sestry v době pracovního</w:t>
      </w:r>
    </w:p>
    <w:p w14:paraId="03F9AA9A" w14:textId="77777777" w:rsidR="008D2AC2" w:rsidRPr="001F0711" w:rsidRDefault="00A82FB0">
      <w:pPr>
        <w:ind w:left="1536" w:right="115" w:firstLine="0"/>
        <w:rPr>
          <w:sz w:val="22"/>
        </w:rPr>
      </w:pPr>
      <w:r w:rsidRPr="001F0711">
        <w:rPr>
          <w:sz w:val="22"/>
        </w:rPr>
        <w:t>volna nebo pracovního klidu uvedená v seznamu zdravotních výkonů platném pro rok 2021, přičemž bodová hodnota výkonu č. 06645 a výkonu č. 06649 je navýšena o bodovou hodnotu výkonu č. 06648 - bonifikační výkon za práci zdravotní sestry v nepřetržitém nebo v třísměnném pracovním režimu, uvedeném v seznamu zdravotních výkonů platném pro rok 2022,</w:t>
      </w:r>
    </w:p>
    <w:p w14:paraId="1C1296D6" w14:textId="77777777" w:rsidR="008D2AC2" w:rsidRPr="001F0711" w:rsidRDefault="00A82FB0">
      <w:pPr>
        <w:tabs>
          <w:tab w:val="center" w:pos="876"/>
          <w:tab w:val="center" w:pos="4394"/>
        </w:tabs>
        <w:spacing w:after="159"/>
        <w:ind w:left="0" w:right="0" w:firstLine="0"/>
        <w:jc w:val="left"/>
        <w:rPr>
          <w:sz w:val="22"/>
        </w:rPr>
      </w:pPr>
      <w:r w:rsidRPr="001F0711">
        <w:rPr>
          <w:sz w:val="22"/>
        </w:rPr>
        <w:tab/>
      </w:r>
      <w:proofErr w:type="spellStart"/>
      <w:r w:rsidRPr="001F0711">
        <w:rPr>
          <w:sz w:val="22"/>
        </w:rPr>
        <w:t>HB</w:t>
      </w:r>
      <w:r w:rsidRPr="00EB1332">
        <w:rPr>
          <w:sz w:val="22"/>
          <w:vertAlign w:val="subscript"/>
        </w:rPr>
        <w:t>ref</w:t>
      </w:r>
      <w:proofErr w:type="spellEnd"/>
      <w:r w:rsidRPr="001F0711">
        <w:rPr>
          <w:sz w:val="22"/>
        </w:rPr>
        <w:tab/>
        <w:t>hodnota bodu v referenčním období, která je stanovena ve výši 1,10 Kč</w:t>
      </w:r>
    </w:p>
    <w:p w14:paraId="10314EC3" w14:textId="77777777" w:rsidR="008D2AC2" w:rsidRPr="001F0711" w:rsidRDefault="00A82FB0">
      <w:pPr>
        <w:numPr>
          <w:ilvl w:val="0"/>
          <w:numId w:val="2"/>
        </w:numPr>
        <w:spacing w:after="155"/>
        <w:ind w:left="624" w:right="115" w:hanging="581"/>
        <w:rPr>
          <w:sz w:val="22"/>
        </w:rPr>
      </w:pPr>
      <w:r w:rsidRPr="001F0711">
        <w:rPr>
          <w:sz w:val="22"/>
        </w:rPr>
        <w:t>Referenčním obdobím se rozumí rok 2019 a hodnoceným obdobím se rozumí rok 2022</w:t>
      </w:r>
    </w:p>
    <w:p w14:paraId="4EA73919" w14:textId="77777777" w:rsidR="008D2AC2" w:rsidRPr="001F0711" w:rsidRDefault="00A82FB0">
      <w:pPr>
        <w:numPr>
          <w:ilvl w:val="0"/>
          <w:numId w:val="2"/>
        </w:numPr>
        <w:spacing w:after="203"/>
        <w:ind w:left="624" w:right="115" w:hanging="581"/>
        <w:rPr>
          <w:sz w:val="22"/>
        </w:rPr>
      </w:pPr>
      <w:r w:rsidRPr="001F0711">
        <w:rPr>
          <w:sz w:val="22"/>
        </w:rPr>
        <w:t>Unikátním pojištěncem se rozumí pojištěnec Pojišťovny ošetřený Pobytovým zařízením v konkrétní odbornosti v hodnoceném nebo referenčním období alespoň jednou. Pokud byl pojištěnec Pobytovým zařízením v konkrétní odbornosti ošetřen v hodnoceném období nebo referenčním období vícekrát, zahrnuje se do počtu unikátních pojištěnců Pojišťovny ošetřených v konkrétní odbornosti pouze jednou, V případě sloučení zdravotních pojišťoven se pojištěnec, který byl v hodnoceném období nebo v referenčním období ošetřen u více než jedné ze sloučených zdravotních pojišťoven, započte do počtu unikátních ošetřených pojištěnců pouze jednou.</w:t>
      </w:r>
    </w:p>
    <w:p w14:paraId="00465F02" w14:textId="77777777" w:rsidR="008D2AC2" w:rsidRPr="001F0711" w:rsidRDefault="00A82FB0">
      <w:pPr>
        <w:numPr>
          <w:ilvl w:val="0"/>
          <w:numId w:val="2"/>
        </w:numPr>
        <w:spacing w:after="78"/>
        <w:ind w:left="624" w:right="115" w:hanging="581"/>
        <w:rPr>
          <w:sz w:val="22"/>
        </w:rPr>
      </w:pPr>
      <w:r w:rsidRPr="001F0711">
        <w:rPr>
          <w:sz w:val="22"/>
        </w:rPr>
        <w:t>V případě, že Pobytové zařízení v hodnoceném nebo referenčním období ošetří 30 a méně unikátních pojištěnců Pojišťovny, výpočet celkové výše úhrady podle odst. 4 tohoto článku se nepoužije,</w:t>
      </w:r>
    </w:p>
    <w:p w14:paraId="26B78AEC" w14:textId="6124E986" w:rsidR="008D2AC2" w:rsidRPr="001F0711" w:rsidRDefault="00A82FB0">
      <w:pPr>
        <w:spacing w:after="246"/>
        <w:ind w:left="610" w:right="115"/>
        <w:rPr>
          <w:sz w:val="22"/>
        </w:rPr>
      </w:pPr>
      <w:r w:rsidRPr="001F0711">
        <w:rPr>
          <w:noProof/>
          <w:sz w:val="22"/>
        </w:rPr>
        <w:drawing>
          <wp:inline distT="0" distB="0" distL="0" distR="0" wp14:anchorId="42C10CCA" wp14:editId="0314862A">
            <wp:extent cx="82296" cy="85368"/>
            <wp:effectExtent l="0" t="0" r="0" b="0"/>
            <wp:docPr id="23358" name="Picture 23358"/>
            <wp:cNvGraphicFramePr/>
            <a:graphic xmlns:a="http://schemas.openxmlformats.org/drawingml/2006/main">
              <a:graphicData uri="http://schemas.openxmlformats.org/drawingml/2006/picture">
                <pic:pic xmlns:pic="http://schemas.openxmlformats.org/drawingml/2006/picture">
                  <pic:nvPicPr>
                    <pic:cNvPr id="23358" name="Picture 23358"/>
                    <pic:cNvPicPr/>
                  </pic:nvPicPr>
                  <pic:blipFill>
                    <a:blip r:embed="rId11"/>
                    <a:stretch>
                      <a:fillRect/>
                    </a:stretch>
                  </pic:blipFill>
                  <pic:spPr>
                    <a:xfrm>
                      <a:off x="0" y="0"/>
                      <a:ext cx="82296" cy="85368"/>
                    </a:xfrm>
                    <a:prstGeom prst="rect">
                      <a:avLst/>
                    </a:prstGeom>
                  </pic:spPr>
                </pic:pic>
              </a:graphicData>
            </a:graphic>
          </wp:inline>
        </w:drawing>
      </w:r>
      <w:r w:rsidR="00A44C62">
        <w:rPr>
          <w:sz w:val="22"/>
        </w:rPr>
        <w:tab/>
      </w:r>
      <w:r w:rsidRPr="001F0711">
        <w:rPr>
          <w:sz w:val="22"/>
        </w:rPr>
        <w:t>Změny v rozsahu a struktuře poskytovaných hrazených služeb ve srovnání s referenčním obdobím, vyjma nasmlouvání výkonu č. 06648, jehož dopad do výpočtu celkové výše úhrady je stanoven v Článku I'. odst. 5 tohoto Dodatku, musí být dohodnuty ve Zvláštní smlouvě, včetně souvisejících změn ve výpočtu celkové výše úhrady.</w:t>
      </w:r>
    </w:p>
    <w:p w14:paraId="6A59463E" w14:textId="3B1C6BBA" w:rsidR="008D2AC2" w:rsidRPr="003C0B72" w:rsidRDefault="00A82FB0">
      <w:pPr>
        <w:spacing w:after="155" w:line="259" w:lineRule="auto"/>
        <w:ind w:left="168" w:right="202" w:hanging="10"/>
        <w:jc w:val="center"/>
        <w:rPr>
          <w:b/>
          <w:bCs/>
          <w:sz w:val="22"/>
        </w:rPr>
      </w:pPr>
      <w:r w:rsidRPr="003C0B72">
        <w:rPr>
          <w:b/>
          <w:bCs/>
          <w:sz w:val="22"/>
        </w:rPr>
        <w:t xml:space="preserve">Článek </w:t>
      </w:r>
      <w:r w:rsidR="001F0711" w:rsidRPr="003C0B72">
        <w:rPr>
          <w:b/>
          <w:bCs/>
          <w:sz w:val="22"/>
        </w:rPr>
        <w:t>III</w:t>
      </w:r>
      <w:r w:rsidRPr="003C0B72">
        <w:rPr>
          <w:b/>
          <w:bCs/>
          <w:sz w:val="22"/>
        </w:rPr>
        <w:t>.</w:t>
      </w:r>
    </w:p>
    <w:p w14:paraId="7DE89DD3" w14:textId="66AE46BF" w:rsidR="008D2AC2" w:rsidRPr="001F0711" w:rsidRDefault="00A82FB0">
      <w:pPr>
        <w:spacing w:after="140"/>
        <w:ind w:left="610" w:right="115"/>
        <w:rPr>
          <w:sz w:val="22"/>
        </w:rPr>
      </w:pPr>
      <w:proofErr w:type="gramStart"/>
      <w:r w:rsidRPr="001F0711">
        <w:rPr>
          <w:sz w:val="22"/>
        </w:rPr>
        <w:t>1 .</w:t>
      </w:r>
      <w:proofErr w:type="gramEnd"/>
      <w:r w:rsidRPr="001F0711">
        <w:rPr>
          <w:sz w:val="22"/>
        </w:rPr>
        <w:t xml:space="preserve"> Základním fakturačním obdobím je kalendářní měsíc. Pobytové zařízení předkládá Pojišťovně faktury za poskytnuté hrazené služby v termínech dohodnutých ve Zvláštní smlouvě Pojišťovna provede úhradu hrazených služeb formou předběžné měsíční úhrady a ročního finančního vypořádání,</w:t>
      </w:r>
    </w:p>
    <w:p w14:paraId="5FFB97AB" w14:textId="77777777" w:rsidR="008D2AC2" w:rsidRPr="001F0711" w:rsidRDefault="00A82FB0">
      <w:pPr>
        <w:numPr>
          <w:ilvl w:val="0"/>
          <w:numId w:val="3"/>
        </w:numPr>
        <w:ind w:left="610" w:right="115"/>
        <w:rPr>
          <w:sz w:val="22"/>
        </w:rPr>
      </w:pPr>
      <w:r w:rsidRPr="001F0711">
        <w:rPr>
          <w:sz w:val="22"/>
        </w:rPr>
        <w:t xml:space="preserve">Pojišťovna poskytne Pobytovému zařízení předběžnou měsíční úhradu, která bude odpovídat fakturované částce, přičemž částka fakturovaná za poskytnuté hrazené služby nesmí za příslušný měsíc překročit maximální limit předběžné měsíční úhrady stanovený pro rok 2022 ve výši jedné dvanáctiny 124 % objemu úhrady za referenční období, </w:t>
      </w:r>
      <w:r w:rsidRPr="00A44C62">
        <w:rPr>
          <w:b/>
          <w:bCs/>
          <w:sz w:val="22"/>
        </w:rPr>
        <w:t>tj. =94262,- Kč měsíčně</w:t>
      </w:r>
      <w:r w:rsidRPr="001F0711">
        <w:rPr>
          <w:sz w:val="22"/>
        </w:rPr>
        <w:t>.</w:t>
      </w:r>
    </w:p>
    <w:p w14:paraId="51F66A3D" w14:textId="77777777" w:rsidR="008D2AC2" w:rsidRPr="001F0711" w:rsidRDefault="00A82FB0">
      <w:pPr>
        <w:numPr>
          <w:ilvl w:val="0"/>
          <w:numId w:val="3"/>
        </w:numPr>
        <w:spacing w:after="170"/>
        <w:ind w:left="610" w:right="115"/>
        <w:rPr>
          <w:sz w:val="22"/>
        </w:rPr>
      </w:pPr>
      <w:r w:rsidRPr="001F0711">
        <w:rPr>
          <w:sz w:val="22"/>
        </w:rPr>
        <w:t>Předložení faktury na částku převyšující maximální limit předběžné měsíční úhrady opravňuje Pojišťovnu vrátit Pobytovému zařízení příslušnou fakturu k provedení opravy. V takovém případě běží doba splatnosti sjednaná ve Zvláštní smlouvě až od termínu opětovného převzetí faktury Pojišťovnou.</w:t>
      </w:r>
    </w:p>
    <w:p w14:paraId="75568E4F" w14:textId="77777777" w:rsidR="008D2AC2" w:rsidRPr="001F0711" w:rsidRDefault="00A82FB0">
      <w:pPr>
        <w:numPr>
          <w:ilvl w:val="0"/>
          <w:numId w:val="3"/>
        </w:numPr>
        <w:spacing w:after="176"/>
        <w:ind w:left="610" w:right="115"/>
        <w:rPr>
          <w:sz w:val="22"/>
        </w:rPr>
      </w:pPr>
      <w:r w:rsidRPr="001F0711">
        <w:rPr>
          <w:sz w:val="22"/>
        </w:rPr>
        <w:t>Předběžné měsíční úhrady za rok 2022 se považují za zálohy a budou finančně vypořádány v rámci celkového finančního vypořádání, včetně regulačních omezení, a to nejpozději do 180 dnů po skončení hodnoceného období.</w:t>
      </w:r>
    </w:p>
    <w:p w14:paraId="149E58F9" w14:textId="77777777" w:rsidR="008D2AC2" w:rsidRPr="001F0711" w:rsidRDefault="00A82FB0">
      <w:pPr>
        <w:numPr>
          <w:ilvl w:val="0"/>
          <w:numId w:val="3"/>
        </w:numPr>
        <w:spacing w:after="176"/>
        <w:ind w:left="610" w:right="115"/>
        <w:rPr>
          <w:sz w:val="22"/>
        </w:rPr>
      </w:pPr>
      <w:r w:rsidRPr="001F0711">
        <w:rPr>
          <w:sz w:val="22"/>
        </w:rPr>
        <w:t>Pokud vznikne nedoplatek ze strany Pojišťovny, bude Pobytovému zařízení příslušná částka poukázána samostatnou platbou. Přeplatek ze strany Pojišťovny je Pojišťovna oprávněna započíst proti kterékoliv pohledávce Pobytového zařízení za Pojišťovnou, a to poté, co doručí Pobytovému zařízení vyúčtování, v němž bude přeplatek uveden.</w:t>
      </w:r>
    </w:p>
    <w:p w14:paraId="19C80E11" w14:textId="77777777" w:rsidR="008D2AC2" w:rsidRPr="001F0711" w:rsidRDefault="00A82FB0">
      <w:pPr>
        <w:numPr>
          <w:ilvl w:val="0"/>
          <w:numId w:val="3"/>
        </w:numPr>
        <w:spacing w:after="264"/>
        <w:ind w:left="610" w:right="115"/>
        <w:rPr>
          <w:sz w:val="22"/>
        </w:rPr>
      </w:pPr>
      <w:r w:rsidRPr="001F0711">
        <w:rPr>
          <w:sz w:val="22"/>
        </w:rPr>
        <w:lastRenderedPageBreak/>
        <w:t>Hrazené služby poskytnuté v období před 1. 1. 2022 jsou vykazovány a hrazeny způsobem dohodnutým ve Zvláštní smlouvě. Pro úhradu těchto hrazených služeb platí úhradová ujednání platná pro příslušné kalendářní období, ve kterém byly hrazené služby poskytnuty.</w:t>
      </w:r>
    </w:p>
    <w:p w14:paraId="2AD07233" w14:textId="3705AFF0" w:rsidR="008D2AC2" w:rsidRPr="003C0B72" w:rsidRDefault="00A82FB0">
      <w:pPr>
        <w:spacing w:after="41" w:line="259" w:lineRule="auto"/>
        <w:ind w:left="168" w:right="264" w:hanging="10"/>
        <w:jc w:val="center"/>
        <w:rPr>
          <w:b/>
          <w:bCs/>
          <w:sz w:val="22"/>
        </w:rPr>
      </w:pPr>
      <w:r w:rsidRPr="003C0B72">
        <w:rPr>
          <w:b/>
          <w:bCs/>
          <w:sz w:val="22"/>
        </w:rPr>
        <w:t xml:space="preserve">Článek </w:t>
      </w:r>
      <w:r w:rsidR="00BB7D18" w:rsidRPr="003C0B72">
        <w:rPr>
          <w:b/>
          <w:bCs/>
          <w:sz w:val="22"/>
        </w:rPr>
        <w:t>IV</w:t>
      </w:r>
      <w:r w:rsidRPr="003C0B72">
        <w:rPr>
          <w:b/>
          <w:bCs/>
          <w:sz w:val="22"/>
        </w:rPr>
        <w:t>.</w:t>
      </w:r>
    </w:p>
    <w:p w14:paraId="19B9E812" w14:textId="703B5F9A" w:rsidR="008D2AC2" w:rsidRPr="001F0711" w:rsidRDefault="00A82FB0">
      <w:pPr>
        <w:spacing w:after="171"/>
        <w:ind w:left="610" w:right="115"/>
        <w:rPr>
          <w:sz w:val="22"/>
        </w:rPr>
      </w:pPr>
      <w:r w:rsidRPr="001F0711">
        <w:rPr>
          <w:noProof/>
          <w:sz w:val="22"/>
        </w:rPr>
        <w:drawing>
          <wp:inline distT="0" distB="0" distL="0" distR="0" wp14:anchorId="456BB87F" wp14:editId="5091C5AB">
            <wp:extent cx="76200" cy="82320"/>
            <wp:effectExtent l="0" t="0" r="0" b="0"/>
            <wp:docPr id="23360" name="Picture 23360"/>
            <wp:cNvGraphicFramePr/>
            <a:graphic xmlns:a="http://schemas.openxmlformats.org/drawingml/2006/main">
              <a:graphicData uri="http://schemas.openxmlformats.org/drawingml/2006/picture">
                <pic:pic xmlns:pic="http://schemas.openxmlformats.org/drawingml/2006/picture">
                  <pic:nvPicPr>
                    <pic:cNvPr id="23360" name="Picture 23360"/>
                    <pic:cNvPicPr/>
                  </pic:nvPicPr>
                  <pic:blipFill>
                    <a:blip r:embed="rId12"/>
                    <a:stretch>
                      <a:fillRect/>
                    </a:stretch>
                  </pic:blipFill>
                  <pic:spPr>
                    <a:xfrm>
                      <a:off x="0" y="0"/>
                      <a:ext cx="76200" cy="82320"/>
                    </a:xfrm>
                    <a:prstGeom prst="rect">
                      <a:avLst/>
                    </a:prstGeom>
                  </pic:spPr>
                </pic:pic>
              </a:graphicData>
            </a:graphic>
          </wp:inline>
        </w:drawing>
      </w:r>
      <w:r w:rsidR="00BB7D18">
        <w:rPr>
          <w:sz w:val="22"/>
        </w:rPr>
        <w:tab/>
      </w:r>
      <w:r w:rsidRPr="001F0711">
        <w:rPr>
          <w:sz w:val="22"/>
        </w:rPr>
        <w:t>Hrazené služby poskytnuté zahraničním pojištěncům vykazuje Pobytové zařízení podle seznamu zdravotních výkonů samostatnou fakturou, doloženou dávkami dokladů.</w:t>
      </w:r>
    </w:p>
    <w:p w14:paraId="0C08B057" w14:textId="5587400E" w:rsidR="008D2AC2" w:rsidRPr="001F0711" w:rsidRDefault="00A82FB0">
      <w:pPr>
        <w:ind w:left="610" w:right="115"/>
        <w:rPr>
          <w:sz w:val="22"/>
        </w:rPr>
      </w:pPr>
      <w:r w:rsidRPr="001F0711">
        <w:rPr>
          <w:sz w:val="22"/>
        </w:rPr>
        <w:t xml:space="preserve">2. </w:t>
      </w:r>
      <w:r w:rsidR="00BB7D18">
        <w:rPr>
          <w:sz w:val="22"/>
        </w:rPr>
        <w:tab/>
      </w:r>
      <w:r w:rsidRPr="001F0711">
        <w:rPr>
          <w:sz w:val="22"/>
        </w:rPr>
        <w:t xml:space="preserve">Hrazené služby poskytnuté zahraničním pojištěncům jsou hrazeny s hodnotou bodu ve výši 1,25 Kč a nezahrnují se do výpočtu celkové výše úhrady podle Článku </w:t>
      </w:r>
      <w:r w:rsidR="00BB7D18">
        <w:rPr>
          <w:sz w:val="22"/>
        </w:rPr>
        <w:t>II.</w:t>
      </w:r>
      <w:r w:rsidRPr="001F0711">
        <w:rPr>
          <w:sz w:val="22"/>
        </w:rPr>
        <w:t xml:space="preserve"> </w:t>
      </w:r>
      <w:r w:rsidR="00BB7D18" w:rsidRPr="001F0711">
        <w:rPr>
          <w:sz w:val="22"/>
        </w:rPr>
        <w:t>O</w:t>
      </w:r>
      <w:r w:rsidRPr="001F0711">
        <w:rPr>
          <w:sz w:val="22"/>
        </w:rPr>
        <w:t>dst</w:t>
      </w:r>
      <w:r w:rsidR="00BB7D18">
        <w:rPr>
          <w:sz w:val="22"/>
        </w:rPr>
        <w:t>.</w:t>
      </w:r>
      <w:r w:rsidRPr="001F0711">
        <w:rPr>
          <w:sz w:val="22"/>
        </w:rPr>
        <w:t xml:space="preserve"> 4.</w:t>
      </w:r>
    </w:p>
    <w:p w14:paraId="2F3C955E" w14:textId="77777777" w:rsidR="003C0B72" w:rsidRDefault="003C0B72" w:rsidP="00A44C62">
      <w:pPr>
        <w:spacing w:after="0"/>
        <w:ind w:left="45" w:right="113" w:firstLine="0"/>
        <w:jc w:val="left"/>
        <w:rPr>
          <w:sz w:val="22"/>
        </w:rPr>
      </w:pPr>
      <w:r>
        <w:rPr>
          <w:sz w:val="22"/>
        </w:rPr>
        <w:t>3.</w:t>
      </w:r>
    </w:p>
    <w:p w14:paraId="4461BD1E" w14:textId="5417C710" w:rsidR="008D2AC2" w:rsidRPr="001F0711" w:rsidRDefault="00A82FB0" w:rsidP="00AE5577">
      <w:pPr>
        <w:spacing w:after="0" w:line="240" w:lineRule="auto"/>
        <w:ind w:left="0" w:right="0" w:firstLine="0"/>
        <w:jc w:val="left"/>
        <w:rPr>
          <w:sz w:val="22"/>
        </w:rPr>
      </w:pPr>
      <w:r w:rsidRPr="001F0711">
        <w:rPr>
          <w:sz w:val="22"/>
        </w:rPr>
        <w:t>Zahraničním pojištěncem se rozumí pojištěnec definovaný v S 1 vyhlášky č. 396/2021 Sb., o stanovení hodnot bodu, výše úhrad hrazených služeb a regulačních omezení pro rok 2022</w:t>
      </w:r>
    </w:p>
    <w:p w14:paraId="535F71F1" w14:textId="77777777" w:rsidR="00A44C62" w:rsidRDefault="00A44C62" w:rsidP="000D4034">
      <w:pPr>
        <w:spacing w:after="3" w:line="259" w:lineRule="auto"/>
        <w:ind w:left="0" w:right="283" w:hanging="10"/>
        <w:jc w:val="center"/>
        <w:rPr>
          <w:sz w:val="22"/>
        </w:rPr>
      </w:pPr>
    </w:p>
    <w:p w14:paraId="74A0F49F" w14:textId="0AE02105" w:rsidR="008D2AC2" w:rsidRPr="003C0B72" w:rsidRDefault="00A82FB0">
      <w:pPr>
        <w:spacing w:after="3" w:line="259" w:lineRule="auto"/>
        <w:ind w:left="168" w:right="283" w:hanging="10"/>
        <w:jc w:val="center"/>
        <w:rPr>
          <w:b/>
          <w:bCs/>
          <w:sz w:val="22"/>
        </w:rPr>
      </w:pPr>
      <w:r w:rsidRPr="003C0B72">
        <w:rPr>
          <w:b/>
          <w:bCs/>
          <w:sz w:val="22"/>
        </w:rPr>
        <w:t>Článek V.</w:t>
      </w:r>
    </w:p>
    <w:p w14:paraId="36E11B9E" w14:textId="713FF084" w:rsidR="003C0B72" w:rsidRPr="003C0B72" w:rsidRDefault="00A82FB0" w:rsidP="00E67600">
      <w:pPr>
        <w:pStyle w:val="Odstavecseseznamem"/>
        <w:numPr>
          <w:ilvl w:val="0"/>
          <w:numId w:val="5"/>
        </w:numPr>
        <w:spacing w:after="44" w:line="295" w:lineRule="auto"/>
        <w:ind w:left="357" w:right="612" w:hanging="357"/>
        <w:rPr>
          <w:sz w:val="22"/>
        </w:rPr>
      </w:pPr>
      <w:r w:rsidRPr="003C0B72">
        <w:rPr>
          <w:sz w:val="22"/>
        </w:rPr>
        <w:t>Tento Dodatek se stává nedílnou součástí Zvláštní smlouvy a nabývá platnosti dnem jeho uzavření</w:t>
      </w:r>
      <w:r w:rsidR="003C0B72" w:rsidRPr="003C0B72">
        <w:rPr>
          <w:sz w:val="22"/>
        </w:rPr>
        <w:t>.</w:t>
      </w:r>
    </w:p>
    <w:p w14:paraId="5DD577F6" w14:textId="4FA088FC" w:rsidR="008D2AC2" w:rsidRPr="003C0B72" w:rsidRDefault="003C0B72" w:rsidP="003C0B72">
      <w:pPr>
        <w:pStyle w:val="Odstavecseseznamem"/>
        <w:spacing w:after="0" w:line="240" w:lineRule="auto"/>
        <w:ind w:left="0" w:right="612" w:firstLine="0"/>
        <w:jc w:val="left"/>
        <w:rPr>
          <w:sz w:val="22"/>
        </w:rPr>
      </w:pPr>
      <w:r w:rsidRPr="003C0B72">
        <w:rPr>
          <w:sz w:val="22"/>
        </w:rPr>
        <w:t xml:space="preserve">2. </w:t>
      </w:r>
      <w:r w:rsidR="00E67600">
        <w:rPr>
          <w:sz w:val="22"/>
        </w:rPr>
        <w:t xml:space="preserve">        </w:t>
      </w:r>
      <w:r w:rsidR="00A82FB0" w:rsidRPr="003C0B72">
        <w:rPr>
          <w:sz w:val="22"/>
        </w:rPr>
        <w:t>Tento Dodatek upravuje práva a povinnosti smluvních stran v období od 1. 1. 2022 do 31. 12. 202</w:t>
      </w:r>
      <w:r w:rsidR="00BB7D18" w:rsidRPr="003C0B72">
        <w:rPr>
          <w:sz w:val="22"/>
        </w:rPr>
        <w:t>2.</w:t>
      </w:r>
    </w:p>
    <w:p w14:paraId="6168107A" w14:textId="2B255C57" w:rsidR="008D2AC2" w:rsidRPr="001F0711" w:rsidRDefault="00A82FB0">
      <w:pPr>
        <w:numPr>
          <w:ilvl w:val="0"/>
          <w:numId w:val="4"/>
        </w:numPr>
        <w:ind w:left="610" w:right="115"/>
        <w:rPr>
          <w:sz w:val="22"/>
        </w:rPr>
      </w:pPr>
      <w:r w:rsidRPr="001F0711">
        <w:rPr>
          <w:sz w:val="22"/>
        </w:rPr>
        <w:t>Tento Dodatek je uzavírán v elektronické nebo listinné podobě. Dodatek v listinné podobě je vyhotoven ve dvou stejnopisech, z nichž každá smluvní strana obdrží jedno vyhotove</w:t>
      </w:r>
      <w:r w:rsidR="00BB7D18">
        <w:rPr>
          <w:sz w:val="22"/>
        </w:rPr>
        <w:t>ní.</w:t>
      </w:r>
    </w:p>
    <w:p w14:paraId="704CF8AD" w14:textId="523BC597" w:rsidR="008D2AC2" w:rsidRPr="001F0711" w:rsidRDefault="00A82FB0">
      <w:pPr>
        <w:numPr>
          <w:ilvl w:val="0"/>
          <w:numId w:val="4"/>
        </w:numPr>
        <w:ind w:left="610" w:right="115"/>
        <w:rPr>
          <w:sz w:val="22"/>
        </w:rPr>
      </w:pPr>
      <w:r w:rsidRPr="001F0711">
        <w:rPr>
          <w:sz w:val="22"/>
        </w:rPr>
        <w:t>Smluvní strany svým podpisem stvrzují, že tento Dodatek Zvláštní smlouvy byl uzavřen podle jejich svobodné vůle a že souhlasí s jeho obsahem.</w:t>
      </w:r>
    </w:p>
    <w:p w14:paraId="53ECF550" w14:textId="77777777" w:rsidR="008D2AC2" w:rsidRPr="001F0711" w:rsidRDefault="008D2AC2" w:rsidP="00A44C62">
      <w:pPr>
        <w:ind w:left="0" w:firstLine="0"/>
        <w:rPr>
          <w:sz w:val="22"/>
        </w:rPr>
        <w:sectPr w:rsidR="008D2AC2" w:rsidRPr="001F0711" w:rsidSect="001F0711">
          <w:footerReference w:type="even" r:id="rId13"/>
          <w:footerReference w:type="default" r:id="rId14"/>
          <w:footerReference w:type="first" r:id="rId15"/>
          <w:pgSz w:w="11904" w:h="16838"/>
          <w:pgMar w:top="720" w:right="720" w:bottom="720" w:left="720" w:header="708" w:footer="1100" w:gutter="0"/>
          <w:cols w:space="708"/>
          <w:docGrid w:linePitch="272"/>
        </w:sectPr>
      </w:pPr>
    </w:p>
    <w:tbl>
      <w:tblPr>
        <w:tblStyle w:val="TableGrid"/>
        <w:tblpPr w:vertAnchor="text" w:tblpX="-1594" w:tblpY="-2838"/>
        <w:tblOverlap w:val="never"/>
        <w:tblW w:w="4575" w:type="dxa"/>
        <w:tblInd w:w="0" w:type="dxa"/>
        <w:tblCellMar>
          <w:top w:w="2" w:type="dxa"/>
        </w:tblCellMar>
        <w:tblLook w:val="04A0" w:firstRow="1" w:lastRow="0" w:firstColumn="1" w:lastColumn="0" w:noHBand="0" w:noVBand="1"/>
      </w:tblPr>
      <w:tblGrid>
        <w:gridCol w:w="4575"/>
      </w:tblGrid>
      <w:tr w:rsidR="00A44C62" w:rsidRPr="001F0711" w14:paraId="25241C2A" w14:textId="7286D27D" w:rsidTr="00A44C62">
        <w:trPr>
          <w:trHeight w:val="178"/>
        </w:trPr>
        <w:tc>
          <w:tcPr>
            <w:tcW w:w="4575" w:type="dxa"/>
            <w:tcBorders>
              <w:top w:val="nil"/>
              <w:left w:val="nil"/>
              <w:bottom w:val="nil"/>
              <w:right w:val="nil"/>
            </w:tcBorders>
          </w:tcPr>
          <w:p w14:paraId="448BF0A1" w14:textId="32078CE6" w:rsidR="00A44C62" w:rsidRPr="001F0711" w:rsidRDefault="00A44C62">
            <w:pPr>
              <w:tabs>
                <w:tab w:val="center" w:pos="1426"/>
                <w:tab w:val="center" w:pos="1488"/>
                <w:tab w:val="center" w:pos="1548"/>
                <w:tab w:val="center" w:pos="1608"/>
                <w:tab w:val="center" w:pos="1668"/>
                <w:tab w:val="center" w:pos="1728"/>
                <w:tab w:val="center" w:pos="1790"/>
                <w:tab w:val="center" w:pos="1850"/>
                <w:tab w:val="center" w:pos="1910"/>
                <w:tab w:val="center" w:pos="1970"/>
              </w:tabs>
              <w:spacing w:after="0" w:line="259" w:lineRule="auto"/>
              <w:ind w:left="0" w:right="0" w:firstLine="0"/>
              <w:jc w:val="left"/>
              <w:rPr>
                <w:sz w:val="22"/>
              </w:rPr>
            </w:pPr>
            <w:r w:rsidRPr="001F0711">
              <w:rPr>
                <w:sz w:val="22"/>
              </w:rPr>
              <w:tab/>
            </w:r>
            <w:r w:rsidRPr="001F0711">
              <w:rPr>
                <w:noProof/>
                <w:sz w:val="22"/>
              </w:rPr>
              <w:drawing>
                <wp:inline distT="0" distB="0" distL="0" distR="0" wp14:anchorId="4496E0E4" wp14:editId="6B3E6C15">
                  <wp:extent cx="15240" cy="12195"/>
                  <wp:effectExtent l="0" t="0" r="0" b="0"/>
                  <wp:docPr id="11764" name="Picture 11764"/>
                  <wp:cNvGraphicFramePr/>
                  <a:graphic xmlns:a="http://schemas.openxmlformats.org/drawingml/2006/main">
                    <a:graphicData uri="http://schemas.openxmlformats.org/drawingml/2006/picture">
                      <pic:pic xmlns:pic="http://schemas.openxmlformats.org/drawingml/2006/picture">
                        <pic:nvPicPr>
                          <pic:cNvPr id="11764" name="Picture 11764"/>
                          <pic:cNvPicPr/>
                        </pic:nvPicPr>
                        <pic:blipFill>
                          <a:blip r:embed="rId16"/>
                          <a:stretch>
                            <a:fillRect/>
                          </a:stretch>
                        </pic:blipFill>
                        <pic:spPr>
                          <a:xfrm>
                            <a:off x="0" y="0"/>
                            <a:ext cx="15240" cy="12195"/>
                          </a:xfrm>
                          <a:prstGeom prst="rect">
                            <a:avLst/>
                          </a:prstGeom>
                        </pic:spPr>
                      </pic:pic>
                    </a:graphicData>
                  </a:graphic>
                </wp:inline>
              </w:drawing>
            </w:r>
          </w:p>
        </w:tc>
      </w:tr>
    </w:tbl>
    <w:p w14:paraId="4DC4785D" w14:textId="77777777" w:rsidR="001F10A0" w:rsidRDefault="001F10A0" w:rsidP="001F10A0">
      <w:pPr>
        <w:tabs>
          <w:tab w:val="left" w:pos="4995"/>
        </w:tabs>
        <w:spacing w:after="0" w:line="240" w:lineRule="auto"/>
        <w:ind w:left="0" w:right="0" w:firstLine="0"/>
        <w:jc w:val="left"/>
        <w:rPr>
          <w:sz w:val="22"/>
        </w:rPr>
      </w:pPr>
    </w:p>
    <w:p w14:paraId="1413EBD5" w14:textId="33921677" w:rsidR="001F10A0" w:rsidRDefault="000D4034" w:rsidP="001F10A0">
      <w:pPr>
        <w:tabs>
          <w:tab w:val="left" w:pos="4995"/>
        </w:tabs>
        <w:spacing w:after="0" w:line="240" w:lineRule="auto"/>
        <w:ind w:left="0" w:right="0" w:firstLine="0"/>
        <w:jc w:val="left"/>
        <w:rPr>
          <w:sz w:val="22"/>
        </w:rPr>
      </w:pPr>
      <w:r w:rsidRPr="001F0711">
        <w:rPr>
          <w:noProof/>
          <w:sz w:val="22"/>
        </w:rPr>
        <w:drawing>
          <wp:anchor distT="0" distB="0" distL="114300" distR="114300" simplePos="0" relativeHeight="251659264" behindDoc="0" locked="0" layoutInCell="1" allowOverlap="0" wp14:anchorId="42DBF166" wp14:editId="314FFC22">
            <wp:simplePos x="0" y="0"/>
            <wp:positionH relativeFrom="column">
              <wp:posOffset>1161415</wp:posOffset>
            </wp:positionH>
            <wp:positionV relativeFrom="paragraph">
              <wp:posOffset>10160</wp:posOffset>
            </wp:positionV>
            <wp:extent cx="886968" cy="295740"/>
            <wp:effectExtent l="0" t="0" r="0" b="0"/>
            <wp:wrapSquare wrapText="bothSides"/>
            <wp:docPr id="11990" name="Picture 11990"/>
            <wp:cNvGraphicFramePr/>
            <a:graphic xmlns:a="http://schemas.openxmlformats.org/drawingml/2006/main">
              <a:graphicData uri="http://schemas.openxmlformats.org/drawingml/2006/picture">
                <pic:pic xmlns:pic="http://schemas.openxmlformats.org/drawingml/2006/picture">
                  <pic:nvPicPr>
                    <pic:cNvPr id="11990" name="Picture 11990"/>
                    <pic:cNvPicPr/>
                  </pic:nvPicPr>
                  <pic:blipFill>
                    <a:blip r:embed="rId17"/>
                    <a:stretch>
                      <a:fillRect/>
                    </a:stretch>
                  </pic:blipFill>
                  <pic:spPr>
                    <a:xfrm>
                      <a:off x="0" y="0"/>
                      <a:ext cx="886968" cy="295740"/>
                    </a:xfrm>
                    <a:prstGeom prst="rect">
                      <a:avLst/>
                    </a:prstGeom>
                  </pic:spPr>
                </pic:pic>
              </a:graphicData>
            </a:graphic>
            <wp14:sizeRelH relativeFrom="margin">
              <wp14:pctWidth>0</wp14:pctWidth>
            </wp14:sizeRelH>
            <wp14:sizeRelV relativeFrom="margin">
              <wp14:pctHeight>0</wp14:pctHeight>
            </wp14:sizeRelV>
          </wp:anchor>
        </w:drawing>
      </w:r>
    </w:p>
    <w:p w14:paraId="3724612C" w14:textId="5DA9F6EE" w:rsidR="001F10A0" w:rsidRDefault="00757CAC" w:rsidP="00757CAC">
      <w:pPr>
        <w:tabs>
          <w:tab w:val="left" w:pos="4995"/>
        </w:tabs>
        <w:spacing w:after="0" w:line="240" w:lineRule="auto"/>
        <w:ind w:left="0" w:right="0" w:firstLine="0"/>
        <w:rPr>
          <w:sz w:val="22"/>
        </w:rPr>
      </w:pPr>
      <w:r>
        <w:rPr>
          <w:sz w:val="22"/>
        </w:rPr>
        <w:t>Nera</w:t>
      </w:r>
      <w:r w:rsidR="000D4034">
        <w:rPr>
          <w:sz w:val="22"/>
        </w:rPr>
        <w:t>t</w:t>
      </w:r>
      <w:r>
        <w:rPr>
          <w:sz w:val="22"/>
        </w:rPr>
        <w:t>ovice</w:t>
      </w:r>
      <w:r w:rsidR="000D4034">
        <w:rPr>
          <w:sz w:val="22"/>
        </w:rPr>
        <w:t xml:space="preserve"> </w:t>
      </w:r>
      <w:r>
        <w:rPr>
          <w:sz w:val="22"/>
        </w:rPr>
        <w:t>dne</w:t>
      </w:r>
      <w:r>
        <w:rPr>
          <w:sz w:val="22"/>
        </w:rPr>
        <w:tab/>
        <w:t>Praha dne</w:t>
      </w:r>
      <w:r w:rsidR="000D4034">
        <w:rPr>
          <w:sz w:val="22"/>
        </w:rPr>
        <w:t xml:space="preserve"> </w:t>
      </w:r>
      <w:r>
        <w:rPr>
          <w:sz w:val="22"/>
        </w:rPr>
        <w:t>……………………………</w:t>
      </w:r>
    </w:p>
    <w:p w14:paraId="5AE1DE4E" w14:textId="36621E80" w:rsidR="001F10A0" w:rsidRDefault="001F10A0" w:rsidP="001F10A0">
      <w:pPr>
        <w:tabs>
          <w:tab w:val="left" w:pos="4995"/>
        </w:tabs>
        <w:spacing w:after="0" w:line="240" w:lineRule="auto"/>
        <w:ind w:left="0" w:right="0" w:firstLine="0"/>
        <w:jc w:val="left"/>
        <w:rPr>
          <w:sz w:val="22"/>
        </w:rPr>
      </w:pPr>
    </w:p>
    <w:p w14:paraId="5799EA4B" w14:textId="46BE16D6" w:rsidR="001F10A0" w:rsidRDefault="001F10A0" w:rsidP="001F10A0">
      <w:pPr>
        <w:tabs>
          <w:tab w:val="left" w:pos="4995"/>
        </w:tabs>
        <w:spacing w:after="0" w:line="240" w:lineRule="auto"/>
        <w:ind w:left="0" w:right="0" w:firstLine="0"/>
        <w:jc w:val="left"/>
        <w:rPr>
          <w:sz w:val="22"/>
        </w:rPr>
      </w:pPr>
    </w:p>
    <w:p w14:paraId="057EF68C" w14:textId="3AD08466" w:rsidR="001F10A0" w:rsidRDefault="001F10A0" w:rsidP="001F10A0">
      <w:pPr>
        <w:tabs>
          <w:tab w:val="left" w:pos="4995"/>
        </w:tabs>
        <w:spacing w:after="0" w:line="240" w:lineRule="auto"/>
        <w:ind w:left="0" w:right="0" w:firstLine="0"/>
        <w:jc w:val="left"/>
        <w:rPr>
          <w:sz w:val="22"/>
        </w:rPr>
      </w:pPr>
    </w:p>
    <w:p w14:paraId="6C7420DB" w14:textId="3E1D6FAA" w:rsidR="000D4034" w:rsidRDefault="000D4034" w:rsidP="001F10A0">
      <w:pPr>
        <w:tabs>
          <w:tab w:val="left" w:pos="4995"/>
        </w:tabs>
        <w:spacing w:after="0" w:line="240" w:lineRule="auto"/>
        <w:ind w:left="0" w:right="0" w:firstLine="0"/>
        <w:jc w:val="left"/>
        <w:rPr>
          <w:sz w:val="22"/>
        </w:rPr>
      </w:pPr>
    </w:p>
    <w:p w14:paraId="0A519B36" w14:textId="77777777" w:rsidR="000D4034" w:rsidRDefault="000D4034" w:rsidP="001F10A0">
      <w:pPr>
        <w:tabs>
          <w:tab w:val="left" w:pos="4995"/>
        </w:tabs>
        <w:spacing w:after="0" w:line="240" w:lineRule="auto"/>
        <w:ind w:left="0" w:right="0" w:firstLine="0"/>
        <w:jc w:val="left"/>
        <w:rPr>
          <w:sz w:val="22"/>
        </w:rPr>
      </w:pPr>
    </w:p>
    <w:p w14:paraId="3F5233F8" w14:textId="354488B1" w:rsidR="001F10A0" w:rsidRPr="001F0711" w:rsidRDefault="000D4034" w:rsidP="001F10A0">
      <w:pPr>
        <w:tabs>
          <w:tab w:val="left" w:pos="4995"/>
        </w:tabs>
        <w:spacing w:after="0" w:line="240" w:lineRule="auto"/>
        <w:ind w:left="0" w:right="0" w:firstLine="0"/>
        <w:jc w:val="left"/>
        <w:rPr>
          <w:sz w:val="22"/>
        </w:rPr>
      </w:pPr>
      <w:r>
        <w:rPr>
          <w:sz w:val="22"/>
        </w:rPr>
        <w:t xml:space="preserve">     ……………………………………………………….                     ………………………………………………………………………..</w:t>
      </w:r>
      <w:r>
        <w:rPr>
          <w:sz w:val="22"/>
        </w:rPr>
        <w:tab/>
      </w:r>
    </w:p>
    <w:tbl>
      <w:tblPr>
        <w:tblStyle w:val="TableGrid"/>
        <w:tblW w:w="7411" w:type="dxa"/>
        <w:tblInd w:w="1416" w:type="dxa"/>
        <w:tblCellMar>
          <w:top w:w="5" w:type="dxa"/>
        </w:tblCellMar>
        <w:tblLook w:val="04A0" w:firstRow="1" w:lastRow="0" w:firstColumn="1" w:lastColumn="0" w:noHBand="0" w:noVBand="1"/>
      </w:tblPr>
      <w:tblGrid>
        <w:gridCol w:w="3125"/>
        <w:gridCol w:w="4286"/>
      </w:tblGrid>
      <w:tr w:rsidR="008D2AC2" w:rsidRPr="001F0711" w14:paraId="44075EBE" w14:textId="77777777" w:rsidTr="000D4034">
        <w:trPr>
          <w:trHeight w:val="210"/>
        </w:trPr>
        <w:tc>
          <w:tcPr>
            <w:tcW w:w="3125" w:type="dxa"/>
            <w:tcBorders>
              <w:top w:val="nil"/>
              <w:left w:val="nil"/>
              <w:bottom w:val="nil"/>
              <w:right w:val="nil"/>
            </w:tcBorders>
          </w:tcPr>
          <w:p w14:paraId="42A65957" w14:textId="103011EA" w:rsidR="000D4034" w:rsidRPr="000D4034" w:rsidRDefault="000D4034" w:rsidP="00AD76BD">
            <w:pPr>
              <w:spacing w:after="0" w:line="240" w:lineRule="auto"/>
              <w:ind w:left="0" w:right="0" w:firstLine="0"/>
              <w:jc w:val="left"/>
              <w:rPr>
                <w:szCs w:val="20"/>
              </w:rPr>
            </w:pPr>
            <w:r w:rsidRPr="000D4034">
              <w:rPr>
                <w:szCs w:val="20"/>
              </w:rPr>
              <w:t>Za Poskytovatele</w:t>
            </w:r>
          </w:p>
          <w:p w14:paraId="3F34B910" w14:textId="67BFC2F0" w:rsidR="008D2AC2" w:rsidRPr="000D4034" w:rsidRDefault="00A82FB0" w:rsidP="000D4034">
            <w:pPr>
              <w:spacing w:after="0" w:line="240" w:lineRule="auto"/>
              <w:ind w:left="0" w:right="0" w:firstLine="0"/>
              <w:jc w:val="left"/>
              <w:rPr>
                <w:szCs w:val="20"/>
              </w:rPr>
            </w:pPr>
            <w:r w:rsidRPr="000D4034">
              <w:rPr>
                <w:szCs w:val="20"/>
              </w:rPr>
              <w:t>JUDr. Martin Vrba</w:t>
            </w:r>
          </w:p>
        </w:tc>
        <w:tc>
          <w:tcPr>
            <w:tcW w:w="4286" w:type="dxa"/>
            <w:tcBorders>
              <w:top w:val="nil"/>
              <w:left w:val="nil"/>
              <w:bottom w:val="nil"/>
              <w:right w:val="nil"/>
            </w:tcBorders>
          </w:tcPr>
          <w:p w14:paraId="75B91E3F" w14:textId="5AD670E2" w:rsidR="000D4034" w:rsidRPr="000D4034" w:rsidRDefault="000D4034" w:rsidP="000D4034">
            <w:pPr>
              <w:spacing w:after="0" w:line="240" w:lineRule="auto"/>
              <w:ind w:left="0" w:right="0" w:firstLine="0"/>
              <w:jc w:val="center"/>
              <w:rPr>
                <w:szCs w:val="20"/>
              </w:rPr>
            </w:pPr>
            <w:r w:rsidRPr="000D4034">
              <w:rPr>
                <w:szCs w:val="20"/>
              </w:rPr>
              <w:t>Za Pojišťovnu</w:t>
            </w:r>
          </w:p>
          <w:p w14:paraId="64AC60B8" w14:textId="24BD6F98" w:rsidR="008D2AC2" w:rsidRPr="000D4034" w:rsidRDefault="00A82FB0" w:rsidP="000D4034">
            <w:pPr>
              <w:spacing w:after="0" w:line="240" w:lineRule="auto"/>
              <w:ind w:left="0" w:right="0" w:firstLine="0"/>
              <w:jc w:val="center"/>
              <w:rPr>
                <w:szCs w:val="20"/>
              </w:rPr>
            </w:pPr>
            <w:r w:rsidRPr="000D4034">
              <w:rPr>
                <w:szCs w:val="20"/>
              </w:rPr>
              <w:t>MUDr. Milan Prokop, ředitel Odboru zdravotní</w:t>
            </w:r>
            <w:r w:rsidR="000D4034" w:rsidRPr="000D4034">
              <w:rPr>
                <w:szCs w:val="20"/>
              </w:rPr>
              <w:t xml:space="preserve"> péče</w:t>
            </w:r>
            <w:r w:rsidR="00E24A2B">
              <w:rPr>
                <w:szCs w:val="20"/>
              </w:rPr>
              <w:t>,</w:t>
            </w:r>
          </w:p>
        </w:tc>
      </w:tr>
      <w:tr w:rsidR="008D2AC2" w:rsidRPr="001F0711" w14:paraId="614EF3E2" w14:textId="77777777" w:rsidTr="000D4034">
        <w:trPr>
          <w:trHeight w:val="400"/>
        </w:trPr>
        <w:tc>
          <w:tcPr>
            <w:tcW w:w="3125" w:type="dxa"/>
            <w:tcBorders>
              <w:top w:val="nil"/>
              <w:left w:val="nil"/>
              <w:bottom w:val="nil"/>
              <w:right w:val="nil"/>
            </w:tcBorders>
          </w:tcPr>
          <w:p w14:paraId="69CA6814" w14:textId="77777777" w:rsidR="008D2AC2" w:rsidRPr="000D4034" w:rsidRDefault="00A82FB0" w:rsidP="000D4034">
            <w:pPr>
              <w:spacing w:after="0" w:line="259" w:lineRule="auto"/>
              <w:ind w:left="0" w:right="0" w:firstLine="0"/>
              <w:jc w:val="left"/>
              <w:rPr>
                <w:szCs w:val="20"/>
              </w:rPr>
            </w:pPr>
            <w:r w:rsidRPr="000D4034">
              <w:rPr>
                <w:szCs w:val="20"/>
              </w:rPr>
              <w:t>ředitel</w:t>
            </w:r>
          </w:p>
        </w:tc>
        <w:tc>
          <w:tcPr>
            <w:tcW w:w="4286" w:type="dxa"/>
            <w:tcBorders>
              <w:top w:val="nil"/>
              <w:left w:val="nil"/>
              <w:bottom w:val="nil"/>
              <w:right w:val="nil"/>
            </w:tcBorders>
          </w:tcPr>
          <w:p w14:paraId="1507A4EE" w14:textId="77777777" w:rsidR="008D2AC2" w:rsidRPr="000D4034" w:rsidRDefault="00A82FB0" w:rsidP="00E24A2B">
            <w:pPr>
              <w:spacing w:after="0" w:line="240" w:lineRule="auto"/>
              <w:ind w:left="1382" w:right="0" w:hanging="1382"/>
              <w:jc w:val="left"/>
              <w:rPr>
                <w:szCs w:val="20"/>
              </w:rPr>
            </w:pPr>
            <w:r w:rsidRPr="000D4034">
              <w:rPr>
                <w:szCs w:val="20"/>
              </w:rPr>
              <w:t>Regionální pobočky Praha, pobočky pro Hl. m. Prahu a Středočeský kraj</w:t>
            </w:r>
          </w:p>
        </w:tc>
      </w:tr>
    </w:tbl>
    <w:p w14:paraId="2CEF1280" w14:textId="77777777" w:rsidR="00A82FB0" w:rsidRPr="001F0711" w:rsidRDefault="00A82FB0">
      <w:pPr>
        <w:rPr>
          <w:sz w:val="22"/>
        </w:rPr>
      </w:pPr>
    </w:p>
    <w:sectPr w:rsidR="00A82FB0" w:rsidRPr="001F0711" w:rsidSect="000D4034">
      <w:type w:val="continuous"/>
      <w:pgSz w:w="11904"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02D6" w14:textId="77777777" w:rsidR="00FA348B" w:rsidRDefault="00FA348B">
      <w:pPr>
        <w:spacing w:after="0" w:line="240" w:lineRule="auto"/>
      </w:pPr>
      <w:r>
        <w:separator/>
      </w:r>
    </w:p>
  </w:endnote>
  <w:endnote w:type="continuationSeparator" w:id="0">
    <w:p w14:paraId="0D46C4CA" w14:textId="77777777" w:rsidR="00FA348B" w:rsidRDefault="00FA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702" w14:textId="77777777" w:rsidR="008D2AC2" w:rsidRDefault="00A82FB0">
    <w:pPr>
      <w:spacing w:after="0" w:line="259" w:lineRule="auto"/>
      <w:ind w:left="0" w:right="-14" w:firstLine="0"/>
      <w:jc w:val="right"/>
    </w:pPr>
    <w:r>
      <w:rPr>
        <w:sz w:val="18"/>
      </w:rPr>
      <w:t xml:space="preserve">Stránka </w:t>
    </w:r>
    <w:r>
      <w:fldChar w:fldCharType="begin"/>
    </w:r>
    <w:r>
      <w:instrText xml:space="preserve"> PAGE   \* MERGEFORMAT </w:instrText>
    </w:r>
    <w:r>
      <w:fldChar w:fldCharType="separate"/>
    </w:r>
    <w:r>
      <w:rPr>
        <w:sz w:val="12"/>
      </w:rPr>
      <w:t>1</w:t>
    </w:r>
    <w:r>
      <w:rPr>
        <w:sz w:val="12"/>
      </w:rPr>
      <w:fldChar w:fldCharType="end"/>
    </w:r>
    <w:r>
      <w:rPr>
        <w:sz w:val="12"/>
      </w:rPr>
      <w:t xml:space="preserve"> </w:t>
    </w:r>
    <w:r>
      <w:rPr>
        <w:sz w:val="24"/>
      </w:rPr>
      <w:t xml:space="preserve">z </w:t>
    </w:r>
    <w:fldSimple w:instr=" NUMPAGES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079" w14:textId="77777777" w:rsidR="008D2AC2" w:rsidRPr="00F81E7A" w:rsidRDefault="00A82FB0">
    <w:pPr>
      <w:spacing w:after="0" w:line="259" w:lineRule="auto"/>
      <w:ind w:left="0" w:right="-14" w:firstLine="0"/>
      <w:jc w:val="right"/>
      <w:rPr>
        <w:sz w:val="16"/>
        <w:szCs w:val="16"/>
      </w:rPr>
    </w:pPr>
    <w:r w:rsidRPr="00F81E7A">
      <w:rPr>
        <w:sz w:val="16"/>
        <w:szCs w:val="16"/>
      </w:rPr>
      <w:t xml:space="preserve">Stránka </w:t>
    </w:r>
    <w:r w:rsidRPr="00F81E7A">
      <w:rPr>
        <w:sz w:val="16"/>
        <w:szCs w:val="16"/>
      </w:rPr>
      <w:fldChar w:fldCharType="begin"/>
    </w:r>
    <w:r w:rsidRPr="00F81E7A">
      <w:rPr>
        <w:sz w:val="16"/>
        <w:szCs w:val="16"/>
      </w:rPr>
      <w:instrText xml:space="preserve"> PAGE   \* MERGEFORMAT </w:instrText>
    </w:r>
    <w:r w:rsidRPr="00F81E7A">
      <w:rPr>
        <w:sz w:val="16"/>
        <w:szCs w:val="16"/>
      </w:rPr>
      <w:fldChar w:fldCharType="separate"/>
    </w:r>
    <w:r w:rsidRPr="00F81E7A">
      <w:rPr>
        <w:sz w:val="16"/>
        <w:szCs w:val="16"/>
      </w:rPr>
      <w:t>1</w:t>
    </w:r>
    <w:r w:rsidRPr="00F81E7A">
      <w:rPr>
        <w:sz w:val="16"/>
        <w:szCs w:val="16"/>
      </w:rPr>
      <w:fldChar w:fldCharType="end"/>
    </w:r>
    <w:r w:rsidRPr="00F81E7A">
      <w:rPr>
        <w:sz w:val="16"/>
        <w:szCs w:val="16"/>
      </w:rPr>
      <w:t xml:space="preserve"> z </w:t>
    </w:r>
    <w:r w:rsidRPr="00F81E7A">
      <w:rPr>
        <w:sz w:val="16"/>
        <w:szCs w:val="16"/>
      </w:rPr>
      <w:fldChar w:fldCharType="begin"/>
    </w:r>
    <w:r w:rsidRPr="00F81E7A">
      <w:rPr>
        <w:sz w:val="16"/>
        <w:szCs w:val="16"/>
      </w:rPr>
      <w:instrText xml:space="preserve"> NUMPAGES   \* MERGEFORMAT </w:instrText>
    </w:r>
    <w:r w:rsidRPr="00F81E7A">
      <w:rPr>
        <w:sz w:val="16"/>
        <w:szCs w:val="16"/>
      </w:rPr>
      <w:fldChar w:fldCharType="separate"/>
    </w:r>
    <w:r w:rsidRPr="00F81E7A">
      <w:rPr>
        <w:sz w:val="16"/>
        <w:szCs w:val="16"/>
      </w:rPr>
      <w:t>4</w:t>
    </w:r>
    <w:r w:rsidRPr="00F81E7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3BFD" w14:textId="77777777" w:rsidR="008D2AC2" w:rsidRDefault="00A82FB0">
    <w:pPr>
      <w:spacing w:after="0" w:line="259" w:lineRule="auto"/>
      <w:ind w:left="0" w:right="-14" w:firstLine="0"/>
      <w:jc w:val="right"/>
    </w:pPr>
    <w:r>
      <w:rPr>
        <w:sz w:val="18"/>
      </w:rPr>
      <w:t xml:space="preserve">Stránka </w:t>
    </w:r>
    <w:r>
      <w:fldChar w:fldCharType="begin"/>
    </w:r>
    <w:r>
      <w:instrText xml:space="preserve"> PAGE   \* MERGEFORMAT </w:instrText>
    </w:r>
    <w:r>
      <w:fldChar w:fldCharType="separate"/>
    </w:r>
    <w:r>
      <w:rPr>
        <w:sz w:val="12"/>
      </w:rPr>
      <w:t>1</w:t>
    </w:r>
    <w:r>
      <w:rPr>
        <w:sz w:val="12"/>
      </w:rPr>
      <w:fldChar w:fldCharType="end"/>
    </w:r>
    <w:r>
      <w:rPr>
        <w:sz w:val="12"/>
      </w:rPr>
      <w:t xml:space="preserve"> </w:t>
    </w:r>
    <w:r>
      <w:rPr>
        <w:sz w:val="24"/>
      </w:rPr>
      <w:t xml:space="preserve">z </w:t>
    </w:r>
    <w:fldSimple w:instr=" NUMPAGES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33A0" w14:textId="77777777" w:rsidR="00FA348B" w:rsidRDefault="00FA348B">
      <w:pPr>
        <w:spacing w:after="0" w:line="240" w:lineRule="auto"/>
      </w:pPr>
      <w:r>
        <w:separator/>
      </w:r>
    </w:p>
  </w:footnote>
  <w:footnote w:type="continuationSeparator" w:id="0">
    <w:p w14:paraId="2A27FA5C" w14:textId="77777777" w:rsidR="00FA348B" w:rsidRDefault="00FA3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9" type="#_x0000_t75" style="width:18.75pt;height:20.25pt;visibility:visible;mso-wrap-style:square" o:bullet="t">
        <v:imagedata r:id="rId1" o:title=""/>
      </v:shape>
    </w:pict>
  </w:numPicBullet>
  <w:abstractNum w:abstractNumId="0" w15:restartNumberingAfterBreak="0">
    <w:nsid w:val="41FA64B1"/>
    <w:multiLevelType w:val="hybridMultilevel"/>
    <w:tmpl w:val="599E53AE"/>
    <w:lvl w:ilvl="0" w:tplc="A3C6899A">
      <w:start w:val="2"/>
      <w:numFmt w:val="decimal"/>
      <w:lvlText w:val="%1."/>
      <w:lvlJc w:val="left"/>
      <w:pPr>
        <w:ind w:left="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A43766">
      <w:start w:val="1"/>
      <w:numFmt w:val="lowerLetter"/>
      <w:lvlText w:val="%2"/>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4A72DE">
      <w:start w:val="1"/>
      <w:numFmt w:val="lowerRoman"/>
      <w:lvlText w:val="%3"/>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8F00C">
      <w:start w:val="1"/>
      <w:numFmt w:val="decimal"/>
      <w:lvlText w:val="%4"/>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1C2D40">
      <w:start w:val="1"/>
      <w:numFmt w:val="lowerLetter"/>
      <w:lvlText w:val="%5"/>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285646">
      <w:start w:val="1"/>
      <w:numFmt w:val="lowerRoman"/>
      <w:lvlText w:val="%6"/>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A18F6">
      <w:start w:val="1"/>
      <w:numFmt w:val="decimal"/>
      <w:lvlText w:val="%7"/>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2A7B6">
      <w:start w:val="1"/>
      <w:numFmt w:val="lowerLetter"/>
      <w:lvlText w:val="%8"/>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F24E86">
      <w:start w:val="1"/>
      <w:numFmt w:val="lowerRoman"/>
      <w:lvlText w:val="%9"/>
      <w:lvlJc w:val="left"/>
      <w:pPr>
        <w:ind w:left="6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053EB9"/>
    <w:multiLevelType w:val="hybridMultilevel"/>
    <w:tmpl w:val="02AE2E56"/>
    <w:lvl w:ilvl="0" w:tplc="20CECFB8">
      <w:start w:val="6"/>
      <w:numFmt w:val="decimal"/>
      <w:lvlText w:val="%1."/>
      <w:lvlJc w:val="left"/>
      <w:pPr>
        <w:ind w:left="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0B1EC">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C438E">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87FF8">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C0C92C">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9C6B3A">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7A72B0">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EE456">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7C2074">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E21435"/>
    <w:multiLevelType w:val="hybridMultilevel"/>
    <w:tmpl w:val="DBCE14AA"/>
    <w:lvl w:ilvl="0" w:tplc="1730DA10">
      <w:start w:val="2"/>
      <w:numFmt w:val="decimal"/>
      <w:lvlText w:val="%1."/>
      <w:lvlJc w:val="left"/>
      <w:pPr>
        <w:ind w:left="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2DA3E">
      <w:start w:val="1"/>
      <w:numFmt w:val="lowerLetter"/>
      <w:lvlText w:val="%2"/>
      <w:lvlJc w:val="left"/>
      <w:pPr>
        <w:ind w:left="1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E5272">
      <w:start w:val="1"/>
      <w:numFmt w:val="lowerRoman"/>
      <w:lvlText w:val="%3"/>
      <w:lvlJc w:val="left"/>
      <w:pPr>
        <w:ind w:left="1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9AA188">
      <w:start w:val="1"/>
      <w:numFmt w:val="decimal"/>
      <w:lvlText w:val="%4"/>
      <w:lvlJc w:val="left"/>
      <w:pPr>
        <w:ind w:left="2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92BE04">
      <w:start w:val="1"/>
      <w:numFmt w:val="lowerLetter"/>
      <w:lvlText w:val="%5"/>
      <w:lvlJc w:val="left"/>
      <w:pPr>
        <w:ind w:left="32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56D97A">
      <w:start w:val="1"/>
      <w:numFmt w:val="lowerRoman"/>
      <w:lvlText w:val="%6"/>
      <w:lvlJc w:val="left"/>
      <w:pPr>
        <w:ind w:left="39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1435C2">
      <w:start w:val="1"/>
      <w:numFmt w:val="decimal"/>
      <w:lvlText w:val="%7"/>
      <w:lvlJc w:val="left"/>
      <w:pPr>
        <w:ind w:left="4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A08FC">
      <w:start w:val="1"/>
      <w:numFmt w:val="lowerLetter"/>
      <w:lvlText w:val="%8"/>
      <w:lvlJc w:val="left"/>
      <w:pPr>
        <w:ind w:left="5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16A990">
      <w:start w:val="1"/>
      <w:numFmt w:val="lowerRoman"/>
      <w:lvlText w:val="%9"/>
      <w:lvlJc w:val="left"/>
      <w:pPr>
        <w:ind w:left="6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EC4F20"/>
    <w:multiLevelType w:val="hybridMultilevel"/>
    <w:tmpl w:val="6C80CAE2"/>
    <w:lvl w:ilvl="0" w:tplc="C35E8FD2">
      <w:start w:val="1"/>
      <w:numFmt w:val="bullet"/>
      <w:lvlText w:val=""/>
      <w:lvlPicBulletId w:val="0"/>
      <w:lvlJc w:val="left"/>
      <w:pPr>
        <w:tabs>
          <w:tab w:val="num" w:pos="1036"/>
        </w:tabs>
        <w:ind w:left="1036" w:hanging="360"/>
      </w:pPr>
      <w:rPr>
        <w:rFonts w:ascii="Symbol" w:hAnsi="Symbol" w:hint="default"/>
      </w:rPr>
    </w:lvl>
    <w:lvl w:ilvl="1" w:tplc="026A0458" w:tentative="1">
      <w:start w:val="1"/>
      <w:numFmt w:val="bullet"/>
      <w:lvlText w:val=""/>
      <w:lvlJc w:val="left"/>
      <w:pPr>
        <w:tabs>
          <w:tab w:val="num" w:pos="1756"/>
        </w:tabs>
        <w:ind w:left="1756" w:hanging="360"/>
      </w:pPr>
      <w:rPr>
        <w:rFonts w:ascii="Symbol" w:hAnsi="Symbol" w:hint="default"/>
      </w:rPr>
    </w:lvl>
    <w:lvl w:ilvl="2" w:tplc="1BE8F528" w:tentative="1">
      <w:start w:val="1"/>
      <w:numFmt w:val="bullet"/>
      <w:lvlText w:val=""/>
      <w:lvlJc w:val="left"/>
      <w:pPr>
        <w:tabs>
          <w:tab w:val="num" w:pos="2476"/>
        </w:tabs>
        <w:ind w:left="2476" w:hanging="360"/>
      </w:pPr>
      <w:rPr>
        <w:rFonts w:ascii="Symbol" w:hAnsi="Symbol" w:hint="default"/>
      </w:rPr>
    </w:lvl>
    <w:lvl w:ilvl="3" w:tplc="7F50B9FC" w:tentative="1">
      <w:start w:val="1"/>
      <w:numFmt w:val="bullet"/>
      <w:lvlText w:val=""/>
      <w:lvlJc w:val="left"/>
      <w:pPr>
        <w:tabs>
          <w:tab w:val="num" w:pos="3196"/>
        </w:tabs>
        <w:ind w:left="3196" w:hanging="360"/>
      </w:pPr>
      <w:rPr>
        <w:rFonts w:ascii="Symbol" w:hAnsi="Symbol" w:hint="default"/>
      </w:rPr>
    </w:lvl>
    <w:lvl w:ilvl="4" w:tplc="7700A644" w:tentative="1">
      <w:start w:val="1"/>
      <w:numFmt w:val="bullet"/>
      <w:lvlText w:val=""/>
      <w:lvlJc w:val="left"/>
      <w:pPr>
        <w:tabs>
          <w:tab w:val="num" w:pos="3916"/>
        </w:tabs>
        <w:ind w:left="3916" w:hanging="360"/>
      </w:pPr>
      <w:rPr>
        <w:rFonts w:ascii="Symbol" w:hAnsi="Symbol" w:hint="default"/>
      </w:rPr>
    </w:lvl>
    <w:lvl w:ilvl="5" w:tplc="1C507CCA" w:tentative="1">
      <w:start w:val="1"/>
      <w:numFmt w:val="bullet"/>
      <w:lvlText w:val=""/>
      <w:lvlJc w:val="left"/>
      <w:pPr>
        <w:tabs>
          <w:tab w:val="num" w:pos="4636"/>
        </w:tabs>
        <w:ind w:left="4636" w:hanging="360"/>
      </w:pPr>
      <w:rPr>
        <w:rFonts w:ascii="Symbol" w:hAnsi="Symbol" w:hint="default"/>
      </w:rPr>
    </w:lvl>
    <w:lvl w:ilvl="6" w:tplc="EFC4DEA6" w:tentative="1">
      <w:start w:val="1"/>
      <w:numFmt w:val="bullet"/>
      <w:lvlText w:val=""/>
      <w:lvlJc w:val="left"/>
      <w:pPr>
        <w:tabs>
          <w:tab w:val="num" w:pos="5356"/>
        </w:tabs>
        <w:ind w:left="5356" w:hanging="360"/>
      </w:pPr>
      <w:rPr>
        <w:rFonts w:ascii="Symbol" w:hAnsi="Symbol" w:hint="default"/>
      </w:rPr>
    </w:lvl>
    <w:lvl w:ilvl="7" w:tplc="1B8A0750" w:tentative="1">
      <w:start w:val="1"/>
      <w:numFmt w:val="bullet"/>
      <w:lvlText w:val=""/>
      <w:lvlJc w:val="left"/>
      <w:pPr>
        <w:tabs>
          <w:tab w:val="num" w:pos="6076"/>
        </w:tabs>
        <w:ind w:left="6076" w:hanging="360"/>
      </w:pPr>
      <w:rPr>
        <w:rFonts w:ascii="Symbol" w:hAnsi="Symbol" w:hint="default"/>
      </w:rPr>
    </w:lvl>
    <w:lvl w:ilvl="8" w:tplc="F9C0C610" w:tentative="1">
      <w:start w:val="1"/>
      <w:numFmt w:val="bullet"/>
      <w:lvlText w:val=""/>
      <w:lvlJc w:val="left"/>
      <w:pPr>
        <w:tabs>
          <w:tab w:val="num" w:pos="6796"/>
        </w:tabs>
        <w:ind w:left="6796" w:hanging="360"/>
      </w:pPr>
      <w:rPr>
        <w:rFonts w:ascii="Symbol" w:hAnsi="Symbol" w:hint="default"/>
      </w:rPr>
    </w:lvl>
  </w:abstractNum>
  <w:abstractNum w:abstractNumId="4" w15:restartNumberingAfterBreak="0">
    <w:nsid w:val="7BB644E7"/>
    <w:multiLevelType w:val="hybridMultilevel"/>
    <w:tmpl w:val="22FC8628"/>
    <w:lvl w:ilvl="0" w:tplc="293E92DC">
      <w:start w:val="3"/>
      <w:numFmt w:val="decimal"/>
      <w:lvlText w:val="%1."/>
      <w:lvlJc w:val="left"/>
      <w:pPr>
        <w:ind w:left="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B8501E">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CE4C9C">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E01FA4">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4A4BC2">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8AE600">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DAD66C">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C7258">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E4F99C">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C2"/>
    <w:rsid w:val="000B0126"/>
    <w:rsid w:val="000D4034"/>
    <w:rsid w:val="001F0711"/>
    <w:rsid w:val="001F10A0"/>
    <w:rsid w:val="00211A49"/>
    <w:rsid w:val="003C0B72"/>
    <w:rsid w:val="004A7ADE"/>
    <w:rsid w:val="004C564C"/>
    <w:rsid w:val="004F59C4"/>
    <w:rsid w:val="0050254C"/>
    <w:rsid w:val="005401A2"/>
    <w:rsid w:val="00550296"/>
    <w:rsid w:val="00703436"/>
    <w:rsid w:val="00757CAC"/>
    <w:rsid w:val="008938E7"/>
    <w:rsid w:val="008D2AC2"/>
    <w:rsid w:val="008F14C1"/>
    <w:rsid w:val="0099311A"/>
    <w:rsid w:val="00A34FE5"/>
    <w:rsid w:val="00A44C62"/>
    <w:rsid w:val="00A82FB0"/>
    <w:rsid w:val="00AD7426"/>
    <w:rsid w:val="00AD76BD"/>
    <w:rsid w:val="00AE5577"/>
    <w:rsid w:val="00BB7D18"/>
    <w:rsid w:val="00BC38BC"/>
    <w:rsid w:val="00C24609"/>
    <w:rsid w:val="00C30666"/>
    <w:rsid w:val="00C34D10"/>
    <w:rsid w:val="00E24A2B"/>
    <w:rsid w:val="00E67600"/>
    <w:rsid w:val="00EA7F73"/>
    <w:rsid w:val="00EB1332"/>
    <w:rsid w:val="00ED0204"/>
    <w:rsid w:val="00F81E7A"/>
    <w:rsid w:val="00FA3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70E9"/>
  <w15:docId w15:val="{F0370847-53D7-41E8-83E1-A03056F1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8" w:line="223" w:lineRule="auto"/>
      <w:ind w:left="2770" w:right="1291" w:hanging="567"/>
      <w:jc w:val="both"/>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81E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1E7A"/>
    <w:rPr>
      <w:rFonts w:ascii="Calibri" w:eastAsia="Calibri" w:hAnsi="Calibri" w:cs="Calibri"/>
      <w:color w:val="000000"/>
      <w:sz w:val="20"/>
    </w:rPr>
  </w:style>
  <w:style w:type="paragraph" w:styleId="Odstavecseseznamem">
    <w:name w:val="List Paragraph"/>
    <w:basedOn w:val="Normln"/>
    <w:uiPriority w:val="34"/>
    <w:qFormat/>
    <w:rsid w:val="003C0B72"/>
    <w:pPr>
      <w:ind w:left="720"/>
      <w:contextualSpacing/>
    </w:pPr>
  </w:style>
  <w:style w:type="character" w:styleId="Zstupntext">
    <w:name w:val="Placeholder Text"/>
    <w:basedOn w:val="Standardnpsmoodstavce"/>
    <w:uiPriority w:val="99"/>
    <w:semiHidden/>
    <w:rsid w:val="005502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A36D-252C-491A-8DD3-9289E353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1546</Words>
  <Characters>9122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Hvolkova</dc:creator>
  <cp:keywords/>
  <cp:lastModifiedBy>Hvolkova</cp:lastModifiedBy>
  <cp:revision>22</cp:revision>
  <dcterms:created xsi:type="dcterms:W3CDTF">2022-01-27T10:14:00Z</dcterms:created>
  <dcterms:modified xsi:type="dcterms:W3CDTF">2022-01-28T06:37:00Z</dcterms:modified>
</cp:coreProperties>
</file>