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31FA" w14:textId="772936DF" w:rsidR="00FE3C92" w:rsidRDefault="00FE3C92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032B0805" w14:textId="77777777" w:rsidR="00177F2C" w:rsidRDefault="00177F2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57EE452B" w14:textId="22A9619B" w:rsidR="00EB7A10" w:rsidRPr="0042060B" w:rsidRDefault="00EF7AD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42060B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C95304">
        <w:rPr>
          <w:rFonts w:asciiTheme="minorHAnsi" w:hAnsiTheme="minorHAnsi"/>
          <w:b/>
          <w:sz w:val="28"/>
          <w:szCs w:val="28"/>
          <w:lang w:val="cs-CZ"/>
        </w:rPr>
        <w:t>4</w:t>
      </w:r>
      <w:r w:rsidR="000117FF" w:rsidRPr="0042060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14:paraId="6AE065AD" w14:textId="7358CD53" w:rsidR="00EB7A10" w:rsidRPr="00FE3C92" w:rsidRDefault="0028267E" w:rsidP="00FE3C92">
      <w:pPr>
        <w:spacing w:line="320" w:lineRule="exact"/>
        <w:jc w:val="center"/>
        <w:rPr>
          <w:rFonts w:asciiTheme="minorHAnsi" w:hAnsiTheme="minorHAnsi"/>
          <w:bCs/>
          <w:noProof/>
          <w:sz w:val="22"/>
          <w:szCs w:val="22"/>
          <w:lang w:val="cs-CZ"/>
        </w:rPr>
      </w:pPr>
      <w:r w:rsidRPr="00FE3C92">
        <w:rPr>
          <w:rFonts w:asciiTheme="minorHAnsi" w:hAnsiTheme="minorHAnsi"/>
          <w:bCs/>
          <w:sz w:val="22"/>
          <w:szCs w:val="22"/>
          <w:lang w:val="cs-CZ"/>
        </w:rPr>
        <w:t>k</w:t>
      </w:r>
      <w:r w:rsidR="00794827" w:rsidRPr="00FE3C92">
        <w:rPr>
          <w:rFonts w:asciiTheme="minorHAnsi" w:hAnsiTheme="minorHAnsi"/>
          <w:bCs/>
          <w:sz w:val="22"/>
          <w:szCs w:val="22"/>
          <w:lang w:val="cs-CZ"/>
        </w:rPr>
        <w:t>e</w:t>
      </w:r>
      <w:r w:rsidRPr="00FE3C92">
        <w:rPr>
          <w:rFonts w:asciiTheme="minorHAnsi" w:hAnsiTheme="minorHAnsi"/>
          <w:bCs/>
          <w:sz w:val="22"/>
          <w:szCs w:val="22"/>
          <w:lang w:val="cs-CZ"/>
        </w:rPr>
        <w:t xml:space="preserve"> </w:t>
      </w:r>
      <w:r w:rsidR="00794827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Smlouvě o </w:t>
      </w:r>
      <w:r w:rsidR="00442A2B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dílo </w:t>
      </w:r>
      <w:r w:rsidR="00227D3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č. </w:t>
      </w:r>
      <w:r w:rsidR="00431189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2062995013</w:t>
      </w:r>
      <w:r w:rsidR="00FE3C9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,</w:t>
      </w:r>
      <w:r w:rsidR="00443E1C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442A2B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uzavřené </w:t>
      </w:r>
      <w:r w:rsidR="00794827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dne</w:t>
      </w:r>
      <w:r w:rsidR="00BF50F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447D93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13. 10. 2020</w:t>
      </w:r>
      <w:r w:rsidR="00A10440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, ve znění dodatku</w:t>
      </w:r>
      <w:r w:rsidR="00FE3C9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A10440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č. 1 ze dne </w:t>
      </w:r>
      <w:r w:rsidR="0080265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29. 7. 2021</w:t>
      </w:r>
      <w:r w:rsidR="00C95304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, č. 2 ze dne </w:t>
      </w:r>
      <w:r w:rsidR="0022618E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22. 9. 2021 a č. 3 ze dne 29. 11. 2021 </w:t>
      </w:r>
    </w:p>
    <w:p w14:paraId="3127BDB2" w14:textId="77777777" w:rsidR="001A290A" w:rsidRPr="0042060B" w:rsidRDefault="001A290A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3DA97CA2" w14:textId="77777777" w:rsidR="00EB7A10" w:rsidRPr="0042060B" w:rsidRDefault="00095ADA" w:rsidP="00EB41B9">
      <w:pPr>
        <w:spacing w:line="320" w:lineRule="exact"/>
        <w:ind w:left="624" w:hanging="624"/>
        <w:rPr>
          <w:rFonts w:asciiTheme="minorHAnsi" w:hAnsiTheme="minorHAnsi"/>
          <w:b/>
          <w:sz w:val="22"/>
          <w:szCs w:val="22"/>
          <w:lang w:val="cs-CZ"/>
        </w:rPr>
      </w:pPr>
      <w:r w:rsidRPr="0042060B">
        <w:rPr>
          <w:rFonts w:asciiTheme="minorHAnsi" w:hAnsiTheme="minorHAnsi"/>
          <w:b/>
          <w:sz w:val="22"/>
          <w:szCs w:val="22"/>
          <w:lang w:val="cs-CZ"/>
        </w:rPr>
        <w:t>1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42060B">
        <w:rPr>
          <w:rFonts w:asciiTheme="minorHAnsi" w:hAnsiTheme="minorHAnsi"/>
          <w:b/>
          <w:sz w:val="22"/>
          <w:szCs w:val="22"/>
          <w:lang w:val="cs-CZ"/>
        </w:rPr>
        <w:t xml:space="preserve">Smluvní 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strany:</w:t>
      </w:r>
    </w:p>
    <w:p w14:paraId="720D8630" w14:textId="77777777" w:rsidR="00227D32" w:rsidRPr="00F52F45" w:rsidRDefault="00227D32" w:rsidP="0022618E">
      <w:pPr>
        <w:spacing w:line="320" w:lineRule="exact"/>
        <w:rPr>
          <w:lang w:eastAsia="cs-CZ"/>
        </w:rPr>
      </w:pPr>
    </w:p>
    <w:p w14:paraId="568BAAF3" w14:textId="323C5E71" w:rsidR="002E0B8B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Vysoká škola chemicko-technologická v Praze</w:t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</w:p>
    <w:p w14:paraId="56E6B9E4" w14:textId="297FE0F9" w:rsidR="00227D32" w:rsidRPr="00227D32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>Technická 1905/5, Praha 6 – Dejvice, PSČ 16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6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28</w:t>
      </w:r>
    </w:p>
    <w:p w14:paraId="7AF21E6A" w14:textId="7F3A00B5" w:rsidR="00263D5F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Zastoupený: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C7CAC">
        <w:rPr>
          <w:rFonts w:asciiTheme="minorHAnsi" w:hAnsiTheme="minorHAnsi"/>
          <w:color w:val="000000"/>
          <w:sz w:val="22"/>
          <w:szCs w:val="22"/>
          <w:lang w:val="cs-CZ"/>
        </w:rPr>
        <w:t>xxxxxxxxxxxxxxxxxx</w:t>
      </w:r>
      <w:r w:rsidR="00263D5F" w:rsidRPr="00263D5F">
        <w:rPr>
          <w:rFonts w:asciiTheme="minorHAnsi" w:hAnsiTheme="minorHAnsi"/>
          <w:color w:val="000000"/>
          <w:sz w:val="22"/>
          <w:szCs w:val="22"/>
          <w:lang w:val="cs-CZ"/>
        </w:rPr>
        <w:t xml:space="preserve">, rektor </w:t>
      </w:r>
    </w:p>
    <w:p w14:paraId="799619D3" w14:textId="28C3CF3D" w:rsidR="002E0B8B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IČ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60461373 </w:t>
      </w:r>
    </w:p>
    <w:p w14:paraId="0FAE99DD" w14:textId="6FC8E6DE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CZ60461373</w:t>
      </w:r>
    </w:p>
    <w:p w14:paraId="3851705A" w14:textId="35AFBE3A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1C7CAC">
        <w:rPr>
          <w:rFonts w:asciiTheme="minorHAnsi" w:hAnsiTheme="minorHAnsi"/>
          <w:color w:val="000000"/>
          <w:sz w:val="22"/>
          <w:szCs w:val="22"/>
          <w:lang w:val="cs-CZ"/>
        </w:rPr>
        <w:tab/>
        <w:t>xxxxxxxxxxxxxxxx</w:t>
      </w:r>
    </w:p>
    <w:p w14:paraId="275007F6" w14:textId="567E5F08" w:rsidR="00227D32" w:rsidRPr="00227D32" w:rsidRDefault="001C7CA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č. účtu: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 xml:space="preserve">               xxxxxxxxxxxxxxxxxxxx</w:t>
      </w:r>
    </w:p>
    <w:p w14:paraId="444E24FC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04EDAF5E" w14:textId="6C4B6C3A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483E721" w14:textId="5E463D90" w:rsidR="00EB41B9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a </w:t>
      </w:r>
    </w:p>
    <w:p w14:paraId="47B49CD9" w14:textId="77777777" w:rsidR="00EB41B9" w:rsidRPr="00227D32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D6D5821" w14:textId="25813DA1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Zhotovitel:</w:t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EF4D8E">
        <w:rPr>
          <w:rFonts w:asciiTheme="minorHAnsi" w:hAnsiTheme="minorHAnsi"/>
          <w:b/>
          <w:color w:val="000000"/>
          <w:sz w:val="22"/>
          <w:szCs w:val="22"/>
          <w:lang w:val="cs-CZ"/>
        </w:rPr>
        <w:t>Zlínstav a. s.</w:t>
      </w:r>
    </w:p>
    <w:p w14:paraId="20F39510" w14:textId="51FFC857" w:rsid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D8E">
        <w:rPr>
          <w:rFonts w:asciiTheme="minorHAnsi" w:hAnsiTheme="minorHAnsi"/>
          <w:color w:val="000000"/>
          <w:sz w:val="22"/>
          <w:szCs w:val="22"/>
          <w:lang w:val="cs-CZ"/>
        </w:rPr>
        <w:tab/>
        <w:t>Bartošova 5532, 760 01 Zlín</w:t>
      </w:r>
    </w:p>
    <w:p w14:paraId="0D2ED330" w14:textId="5046F8D5" w:rsidR="00227D32" w:rsidRPr="00227D32" w:rsidRDefault="00BF50F2" w:rsidP="00EB41B9">
      <w:pPr>
        <w:spacing w:line="320" w:lineRule="exact"/>
        <w:ind w:left="2124" w:hanging="21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Zastoupený: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C7CAC">
        <w:rPr>
          <w:rFonts w:asciiTheme="minorHAnsi" w:hAnsiTheme="minorHAnsi"/>
          <w:color w:val="000000"/>
          <w:sz w:val="22"/>
          <w:szCs w:val="22"/>
          <w:lang w:val="cs-CZ"/>
        </w:rPr>
        <w:t>xxxxxxxxxxxxxx</w:t>
      </w:r>
      <w:r w:rsidR="00263D5F" w:rsidRPr="000C23BF">
        <w:rPr>
          <w:rFonts w:asciiTheme="minorHAnsi" w:hAnsiTheme="minorHAnsi"/>
          <w:color w:val="000000"/>
          <w:sz w:val="22"/>
          <w:szCs w:val="22"/>
          <w:lang w:val="cs-CZ"/>
        </w:rPr>
        <w:t xml:space="preserve">, </w:t>
      </w:r>
      <w:r w:rsidR="00EF4D8E">
        <w:rPr>
          <w:rFonts w:asciiTheme="minorHAnsi" w:hAnsiTheme="minorHAnsi"/>
          <w:color w:val="000000"/>
          <w:sz w:val="22"/>
          <w:szCs w:val="22"/>
          <w:lang w:val="cs-CZ"/>
        </w:rPr>
        <w:t xml:space="preserve">předseda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představenstva</w:t>
      </w:r>
      <w:r w:rsidR="00EF4D8E">
        <w:rPr>
          <w:rFonts w:asciiTheme="minorHAnsi" w:hAnsiTheme="minorHAnsi"/>
          <w:color w:val="000000"/>
          <w:sz w:val="22"/>
          <w:szCs w:val="22"/>
          <w:lang w:val="cs-CZ"/>
        </w:rPr>
        <w:t xml:space="preserve"> Zlínstav a. s.</w:t>
      </w:r>
    </w:p>
    <w:p w14:paraId="2BD19F25" w14:textId="691B2939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IČO: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D8E">
        <w:rPr>
          <w:rFonts w:asciiTheme="minorHAnsi" w:hAnsiTheme="minorHAnsi"/>
          <w:color w:val="000000"/>
          <w:sz w:val="22"/>
          <w:szCs w:val="22"/>
          <w:lang w:val="cs-CZ"/>
        </w:rPr>
        <w:t>28315669</w:t>
      </w:r>
    </w:p>
    <w:p w14:paraId="23D3292E" w14:textId="739FB9C9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63D5F" w:rsidRPr="00263D5F">
        <w:rPr>
          <w:rFonts w:asciiTheme="minorHAnsi" w:hAnsiTheme="minorHAnsi"/>
          <w:color w:val="000000"/>
          <w:sz w:val="22"/>
          <w:szCs w:val="22"/>
          <w:lang w:val="cs-CZ"/>
        </w:rPr>
        <w:t>CZ</w:t>
      </w:r>
      <w:r w:rsidR="00EF4D8E">
        <w:rPr>
          <w:rFonts w:asciiTheme="minorHAnsi" w:hAnsiTheme="minorHAnsi"/>
          <w:color w:val="000000"/>
          <w:sz w:val="22"/>
          <w:szCs w:val="22"/>
          <w:lang w:val="cs-CZ"/>
        </w:rPr>
        <w:t>28315669</w:t>
      </w:r>
    </w:p>
    <w:p w14:paraId="58D3A0A9" w14:textId="27C245F1" w:rsidR="00BF50F2" w:rsidRP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C7CAC">
        <w:rPr>
          <w:rFonts w:asciiTheme="minorHAnsi" w:hAnsiTheme="minorHAnsi"/>
          <w:color w:val="000000"/>
          <w:sz w:val="22"/>
          <w:szCs w:val="22"/>
          <w:lang w:val="cs-CZ"/>
        </w:rPr>
        <w:t>xxxxxxxxxxxxxxxxxxxxxx</w:t>
      </w:r>
    </w:p>
    <w:p w14:paraId="6E589EDE" w14:textId="5087EAA9" w:rsidR="00BF50F2" w:rsidRP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Číslo účtu: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C7CAC">
        <w:rPr>
          <w:rFonts w:asciiTheme="minorHAnsi" w:hAnsiTheme="minorHAnsi"/>
          <w:color w:val="000000"/>
          <w:sz w:val="22"/>
          <w:szCs w:val="22"/>
          <w:lang w:val="cs-CZ"/>
        </w:rPr>
        <w:t>xxxxxxxxxxxxxxxxxx</w:t>
      </w:r>
    </w:p>
    <w:p w14:paraId="76DFA246" w14:textId="7EA59808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Zhotovitel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31C6554E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07556292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Objednatel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a 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Zhotovitel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dále společně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81A7BD0" w14:textId="425F8F4B" w:rsidR="00A033BE" w:rsidRDefault="00CF1BC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F50257">
        <w:rPr>
          <w:rFonts w:asciiTheme="minorHAnsi" w:hAnsiTheme="minorHAnsi"/>
          <w:color w:val="000000"/>
          <w:sz w:val="22"/>
          <w:szCs w:val="22"/>
          <w:lang w:val="cs-CZ"/>
        </w:rPr>
        <w:t xml:space="preserve"> čl.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XV</w:t>
      </w:r>
      <w:r w:rsidR="00EF348C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., odst. 2</w:t>
      </w:r>
      <w:r w:rsidR="009E3544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ve spojení s čl. V., odst. 2 </w:t>
      </w:r>
      <w:r w:rsidR="001A290A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dohodl</w:t>
      </w:r>
      <w:r w:rsidR="0022618E">
        <w:rPr>
          <w:rFonts w:asciiTheme="minorHAnsi" w:hAnsiTheme="minorHAnsi"/>
          <w:color w:val="000000"/>
          <w:sz w:val="22"/>
          <w:szCs w:val="22"/>
          <w:lang w:val="cs-CZ"/>
        </w:rPr>
        <w:t>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na jej</w:t>
      </w:r>
      <w:r w:rsidR="00EB053C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4B442D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E3544">
        <w:rPr>
          <w:rFonts w:asciiTheme="minorHAnsi" w:hAnsiTheme="minorHAnsi"/>
          <w:color w:val="000000"/>
          <w:sz w:val="22"/>
          <w:szCs w:val="22"/>
          <w:lang w:val="cs-CZ"/>
        </w:rPr>
        <w:t xml:space="preserve">jak stanoví tento dodatek. </w:t>
      </w:r>
    </w:p>
    <w:p w14:paraId="78507DA3" w14:textId="2C502E77" w:rsidR="00EB41B9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B134DFF" w14:textId="1A56F7F7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5737CD9" w14:textId="48AFD0F6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BF04C4E" w14:textId="2BC2C306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9C08628" w14:textId="55ACD731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2C860DE" w14:textId="0A21620A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DBACF5B" w14:textId="1758F791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4B1E3943" w14:textId="3C7F873F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3744FE3" w14:textId="1CFDA72E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4A03541F" w14:textId="77777777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BE07383" w14:textId="46792428" w:rsidR="00EC5BCA" w:rsidRPr="00EC5BCA" w:rsidRDefault="00EC5BCA" w:rsidP="00EC5BCA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lastRenderedPageBreak/>
        <w:t>2.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Ú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čel dodatku</w:t>
      </w:r>
    </w:p>
    <w:p w14:paraId="16143B54" w14:textId="33FC49A7" w:rsidR="005E3FEC" w:rsidRPr="00753752" w:rsidRDefault="00EB41B9" w:rsidP="0029476A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>Shora uvedené smluvní strany uzavřely dne 13. 10. 2020 smlouvu o dílo</w:t>
      </w:r>
      <w:r w:rsidR="00A10440">
        <w:rPr>
          <w:rFonts w:asciiTheme="minorHAnsi" w:hAnsiTheme="minorHAnsi"/>
          <w:color w:val="000000"/>
          <w:sz w:val="22"/>
          <w:szCs w:val="22"/>
          <w:lang w:val="cs-CZ"/>
        </w:rPr>
        <w:t>, ve znění dodatku č. 1</w:t>
      </w:r>
      <w:r w:rsidR="00B97368">
        <w:rPr>
          <w:rFonts w:asciiTheme="minorHAnsi" w:hAnsiTheme="minorHAnsi"/>
          <w:color w:val="000000"/>
          <w:sz w:val="22"/>
          <w:szCs w:val="22"/>
          <w:lang w:val="cs-CZ"/>
        </w:rPr>
        <w:t>, č. 2 a č. 3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 (dále jen „Smlouva") kterou se Zhotovitel zavazuje na svůj náklad a na své nebezpečí, v souladu s právními předpisy a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>účinnými technickými normami, v rozsahu, způsobem, v jakosti a ve lhůtě podle této Smlouvy, řádně a včas provést Dílo</w:t>
      </w:r>
      <w:r w:rsidR="00753752"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 spočívající v rekonstrukci kancelářských prostor v budově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B</w:t>
      </w:r>
      <w:r w:rsidR="00753752"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 Zikova ul. Vysoké školy chem</w:t>
      </w:r>
      <w:r w:rsidR="003D1B17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="00753752" w:rsidRPr="00753752">
        <w:rPr>
          <w:rFonts w:asciiTheme="minorHAnsi" w:hAnsiTheme="minorHAnsi"/>
          <w:color w:val="000000"/>
          <w:sz w:val="22"/>
          <w:szCs w:val="22"/>
          <w:lang w:val="cs-CZ"/>
        </w:rPr>
        <w:t>cko-technologické v Praze na adrese Technická 1903/3, Praha 6 - Dejvice.</w:t>
      </w:r>
    </w:p>
    <w:p w14:paraId="3C377530" w14:textId="6CCBAB5E" w:rsidR="00EB41B9" w:rsidRDefault="00EB41B9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Účelem tohoto dodatku je uplatnění nepodstatných změn závazku ze Smlouvy v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rozsahu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dle §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222 zákona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č.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134/2016 Sb., o zadávání veřejných zakázek, ve znění pozdějších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předpisů </w:t>
      </w:r>
      <w:r w:rsidR="00F67728" w:rsidRPr="00EB41B9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="00F67728" w:rsidRPr="00812DCD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ZZVZ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“)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souvisejícího prodloužení termínu plnění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z těchto změn vyplývajícího.</w:t>
      </w:r>
    </w:p>
    <w:p w14:paraId="5C7A1F05" w14:textId="77777777" w:rsidR="00816D91" w:rsidRPr="00816D91" w:rsidRDefault="00816D91" w:rsidP="00816D91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960A4A9" w14:textId="77777777" w:rsidR="00386DF3" w:rsidRDefault="007B0F88" w:rsidP="00812DCD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Předmětem tohoto dodatku je provedení</w:t>
      </w:r>
      <w:r w:rsidR="00386DF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0E2D7FE2" w14:textId="00F295BD" w:rsidR="007F14C5" w:rsidRDefault="007F14C5" w:rsidP="007F14C5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(i)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nepodstatných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z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měn závazku ze Smlouvy za podmínek dle § 222 odst. 4 ZZVZ v rozsahu soupisu stavebních prací, dodávek a služeb s výkazem výměr, včetně popisu změn a technických listů změn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5B27C97C" w14:textId="77777777" w:rsidR="00CF4346" w:rsidRDefault="00CF4346" w:rsidP="00CF4346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36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E45262">
        <w:rPr>
          <w:rFonts w:asciiTheme="minorHAnsi" w:hAnsiTheme="minorHAnsi"/>
          <w:color w:val="000000"/>
          <w:sz w:val="22"/>
          <w:szCs w:val="22"/>
          <w:lang w:val="cs-CZ"/>
        </w:rPr>
        <w:t>36a Lešení pro CHÚC, 36b Lešení schodiště Šolínova, Zikova</w:t>
      </w:r>
    </w:p>
    <w:p w14:paraId="2069813A" w14:textId="77777777" w:rsidR="00CF4346" w:rsidRDefault="00CF4346" w:rsidP="00CF4346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37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Mříž na přívod vzduchu do CHÚC Zikova (PP24)</w:t>
      </w:r>
    </w:p>
    <w:p w14:paraId="0A8F461F" w14:textId="77777777" w:rsidR="00CF4346" w:rsidRDefault="00CF4346" w:rsidP="00CF4346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38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Podhledy PP09 – část ASŘ - Nábytek</w:t>
      </w:r>
    </w:p>
    <w:p w14:paraId="627D9C8F" w14:textId="0D78985A" w:rsidR="00FF60CB" w:rsidRDefault="00FF60CB" w:rsidP="00FF60CB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</w:t>
      </w:r>
      <w:r w:rsidR="00370C76">
        <w:rPr>
          <w:rFonts w:asciiTheme="minorHAnsi" w:hAnsiTheme="minorHAnsi"/>
          <w:color w:val="000000"/>
          <w:sz w:val="22"/>
          <w:szCs w:val="22"/>
          <w:lang w:val="cs-CZ"/>
        </w:rPr>
        <w:t>3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9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370C76">
        <w:rPr>
          <w:rFonts w:asciiTheme="minorHAnsi" w:hAnsiTheme="minorHAnsi"/>
          <w:color w:val="000000"/>
          <w:sz w:val="22"/>
          <w:szCs w:val="22"/>
          <w:lang w:val="cs-CZ"/>
        </w:rPr>
        <w:t xml:space="preserve">Pozice výplně </w:t>
      </w:r>
      <w:r w:rsidR="00E45262">
        <w:rPr>
          <w:rFonts w:asciiTheme="minorHAnsi" w:hAnsiTheme="minorHAnsi"/>
          <w:color w:val="000000"/>
          <w:sz w:val="22"/>
          <w:szCs w:val="22"/>
          <w:lang w:val="cs-CZ"/>
        </w:rPr>
        <w:t>–</w:t>
      </w:r>
      <w:r w:rsidR="00370C76">
        <w:rPr>
          <w:rFonts w:asciiTheme="minorHAnsi" w:hAnsiTheme="minorHAnsi"/>
          <w:color w:val="000000"/>
          <w:sz w:val="22"/>
          <w:szCs w:val="22"/>
          <w:lang w:val="cs-CZ"/>
        </w:rPr>
        <w:t xml:space="preserve"> vrátnice</w:t>
      </w:r>
    </w:p>
    <w:p w14:paraId="12806C1C" w14:textId="2BBAD636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40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063508">
        <w:rPr>
          <w:rFonts w:asciiTheme="minorHAnsi" w:hAnsiTheme="minorHAnsi"/>
          <w:color w:val="000000"/>
          <w:sz w:val="22"/>
          <w:szCs w:val="22"/>
          <w:lang w:val="cs-CZ"/>
        </w:rPr>
        <w:t>40 PP29 - ASŘ část SDK, bourací práce, schodiště</w:t>
      </w:r>
    </w:p>
    <w:p w14:paraId="63C0320E" w14:textId="77777777" w:rsidR="00CF4346" w:rsidRPr="00620BD1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41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Úprava dveřních křídel (</w:t>
      </w:r>
      <w:r>
        <w:rPr>
          <w:rFonts w:asciiTheme="minorHAnsi" w:hAnsiTheme="minorHAnsi"/>
          <w:color w:val="000000"/>
          <w:szCs w:val="22"/>
          <w:lang w:val="cs-CZ"/>
        </w:rPr>
        <w:t xml:space="preserve">PP20) </w:t>
      </w:r>
    </w:p>
    <w:p w14:paraId="5F4D32A7" w14:textId="77777777" w:rsidR="00CF4346" w:rsidRPr="00620BD1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43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Koordinátor zavírání dveří</w:t>
      </w:r>
    </w:p>
    <w:p w14:paraId="2F9D1C44" w14:textId="528C7B9C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44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FF60CB">
        <w:rPr>
          <w:rFonts w:asciiTheme="minorHAnsi" w:hAnsiTheme="minorHAnsi"/>
          <w:color w:val="000000"/>
          <w:sz w:val="22"/>
          <w:szCs w:val="22"/>
          <w:lang w:val="cs-CZ"/>
        </w:rPr>
        <w:t>41 PBŘ - Protipožární nátěr (PP21)</w:t>
      </w:r>
    </w:p>
    <w:p w14:paraId="726EF81F" w14:textId="471A7C8D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45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CF4346">
        <w:rPr>
          <w:rFonts w:asciiTheme="minorHAnsi" w:hAnsiTheme="minorHAnsi"/>
          <w:color w:val="000000"/>
          <w:sz w:val="22"/>
          <w:szCs w:val="22"/>
          <w:lang w:val="cs-CZ"/>
        </w:rPr>
        <w:t>Zhotovení šikmých částí skleněných příček</w:t>
      </w:r>
    </w:p>
    <w:p w14:paraId="12ABB3AE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46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Propojení EPS nájemci (PP32)</w:t>
      </w:r>
    </w:p>
    <w:p w14:paraId="6018C7C4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47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5C07F1">
        <w:rPr>
          <w:rFonts w:asciiTheme="minorHAnsi" w:hAnsiTheme="minorHAnsi"/>
          <w:color w:val="000000"/>
          <w:sz w:val="22"/>
          <w:szCs w:val="22"/>
          <w:lang w:val="cs-CZ"/>
        </w:rPr>
        <w:t>Lištování elektro Kloknerův ústav</w:t>
      </w:r>
    </w:p>
    <w:p w14:paraId="39523040" w14:textId="240A26D2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48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6F01A6">
        <w:rPr>
          <w:rFonts w:asciiTheme="minorHAnsi" w:hAnsiTheme="minorHAnsi"/>
          <w:color w:val="000000"/>
          <w:sz w:val="22"/>
          <w:szCs w:val="22"/>
          <w:lang w:val="cs-CZ"/>
        </w:rPr>
        <w:t>48 Nábytek - místnosti 2ks akustika B2319 a B3304, ostatní místnosti, parapety vrátnice, parapet peněžní přepážka</w:t>
      </w:r>
    </w:p>
    <w:p w14:paraId="4A007374" w14:textId="77777777" w:rsidR="00CF4346" w:rsidRDefault="00CF4346" w:rsidP="00CF4346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49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Vložky CHÚC</w:t>
      </w:r>
    </w:p>
    <w:p w14:paraId="2111CF09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50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Zakrytí SDK lamel - světlík</w:t>
      </w:r>
    </w:p>
    <w:p w14:paraId="43404032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51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Čištění schodiště podstupnice</w:t>
      </w:r>
    </w:p>
    <w:p w14:paraId="1B32815A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52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SDK příčky viz. ZL05</w:t>
      </w:r>
    </w:p>
    <w:p w14:paraId="0B5CD2FE" w14:textId="2EAA9D5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53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Dilatace 4NP</w:t>
      </w:r>
    </w:p>
    <w:p w14:paraId="12EB9349" w14:textId="54E55D83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54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EPS Čidla výtahová šachta (PP33)</w:t>
      </w:r>
    </w:p>
    <w:p w14:paraId="727E182E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55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Ovládání světelné rampy viz. KD</w:t>
      </w:r>
    </w:p>
    <w:p w14:paraId="6A72938C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56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Požadavky a doplnění zásuvek ESI, ESL</w:t>
      </w:r>
    </w:p>
    <w:p w14:paraId="48933EFF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57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14776C">
        <w:rPr>
          <w:rFonts w:asciiTheme="minorHAnsi" w:hAnsiTheme="minorHAnsi"/>
          <w:color w:val="000000"/>
          <w:sz w:val="22"/>
          <w:szCs w:val="22"/>
          <w:lang w:val="cs-CZ"/>
        </w:rPr>
        <w:t>Revizní dvířka v sociálních zařízení (PP31)</w:t>
      </w:r>
    </w:p>
    <w:p w14:paraId="10A38469" w14:textId="77777777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58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L- profily krov, sociálky</w:t>
      </w:r>
    </w:p>
    <w:p w14:paraId="53E48E02" w14:textId="22D4911E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59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Zásuvky pro TUV</w:t>
      </w:r>
    </w:p>
    <w:p w14:paraId="4FCFF674" w14:textId="1D93E0E0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60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CF4346">
        <w:rPr>
          <w:rFonts w:asciiTheme="minorHAnsi" w:hAnsiTheme="minorHAnsi"/>
          <w:color w:val="000000"/>
          <w:sz w:val="22"/>
          <w:szCs w:val="22"/>
          <w:lang w:val="cs-CZ"/>
        </w:rPr>
        <w:t>PP20 - Úpravy dveřních křídel odečet ESL</w:t>
      </w:r>
    </w:p>
    <w:p w14:paraId="0228C69C" w14:textId="77777777" w:rsidR="00CF4346" w:rsidRPr="00620BD1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61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Dodávka propojovací skříně pro CHILLER</w:t>
      </w:r>
    </w:p>
    <w:p w14:paraId="0D8C92E1" w14:textId="49336A8D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62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Doplnění GK dle klíčového plánu VŠCHT</w:t>
      </w:r>
    </w:p>
    <w:p w14:paraId="548B8F32" w14:textId="40B9DB73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63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CF4346">
        <w:rPr>
          <w:rFonts w:asciiTheme="minorHAnsi" w:hAnsiTheme="minorHAnsi"/>
          <w:color w:val="000000"/>
          <w:sz w:val="22"/>
          <w:szCs w:val="22"/>
          <w:lang w:val="cs-CZ"/>
        </w:rPr>
        <w:t>Část ASŘ II</w:t>
      </w:r>
    </w:p>
    <w:p w14:paraId="0DC5C50D" w14:textId="244CAF04" w:rsidR="00CF4346" w:rsidRDefault="00CF4346" w:rsidP="00CF4346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ZL č. 64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CF4346">
        <w:rPr>
          <w:rFonts w:asciiTheme="minorHAnsi" w:hAnsiTheme="minorHAnsi"/>
          <w:color w:val="000000"/>
          <w:sz w:val="22"/>
          <w:szCs w:val="22"/>
          <w:lang w:val="cs-CZ"/>
        </w:rPr>
        <w:t>ELEKTRO</w:t>
      </w:r>
    </w:p>
    <w:p w14:paraId="3784B16D" w14:textId="33680BC9" w:rsidR="00620BD1" w:rsidRDefault="00F67728" w:rsidP="00386DF3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lastRenderedPageBreak/>
        <w:t>(i</w:t>
      </w:r>
      <w:r w:rsidR="00CF4346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)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nepodstatných 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z</w:t>
      </w:r>
      <w:r w:rsidR="007B0F88" w:rsidRPr="00FB7DD1">
        <w:rPr>
          <w:rFonts w:asciiTheme="minorHAnsi" w:hAnsiTheme="minorHAnsi"/>
          <w:color w:val="000000"/>
          <w:sz w:val="22"/>
          <w:szCs w:val="22"/>
          <w:lang w:val="cs-CZ"/>
        </w:rPr>
        <w:t>měn závazku ze Smlouvy za podmínek dle § 222 odst. 6 ZZVZ, jejichž potřeba vznikla v důsledku okolností, které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Objednatel jednající s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>náležitou péčí nemohl předvídat, nutn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ých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pro realizaci a naplnění předmětu a účelu Smlouvy, a</w:t>
      </w:r>
      <w:r w:rsidR="00FB7DD1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="007B0F88"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to vše v rozsahu soupisu stavebních prací, dodávek a služeb 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>s výkazem výměr, včetně popisu změn a technických listů změn</w:t>
      </w:r>
      <w:r w:rsidR="00620BD1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63F968D1" w14:textId="77777777" w:rsidR="00C50C90" w:rsidRDefault="00C50C90" w:rsidP="00C50C90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42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 xml:space="preserve">Schody ve vestibulu Zikova (PP23) </w:t>
      </w:r>
    </w:p>
    <w:p w14:paraId="1FF77478" w14:textId="15B2491F" w:rsidR="00FF60CB" w:rsidRDefault="00FF60CB" w:rsidP="00620BD1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96C2D79" w14:textId="5166282F" w:rsidR="00177F2C" w:rsidRDefault="00177F2C" w:rsidP="00620BD1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978BE0F" w14:textId="7BDCDA16" w:rsidR="007B0F88" w:rsidRDefault="007B0F88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Objednatel prohlašuje, že splnil </w:t>
      </w:r>
      <w:r w:rsidR="005F2E55">
        <w:rPr>
          <w:rFonts w:asciiTheme="minorHAnsi" w:hAnsiTheme="minorHAnsi"/>
          <w:color w:val="000000"/>
          <w:sz w:val="22"/>
          <w:szCs w:val="22"/>
          <w:lang w:val="cs-CZ"/>
        </w:rPr>
        <w:t xml:space="preserve">všechny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>podmínky dle § 222 odst. 4</w:t>
      </w:r>
      <w:r w:rsidR="00386DF3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>a 6 ZZVZ</w:t>
      </w:r>
      <w:r w:rsidR="005F2E55">
        <w:rPr>
          <w:rFonts w:asciiTheme="minorHAnsi" w:hAnsiTheme="minorHAnsi"/>
          <w:color w:val="000000"/>
          <w:sz w:val="22"/>
          <w:szCs w:val="22"/>
          <w:lang w:val="cs-CZ"/>
        </w:rPr>
        <w:t>, potřebné pro provedení změn závazků ze Smlouvy,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 uvedených v souvisejících zákonných ustanoveních</w:t>
      </w:r>
      <w:r w:rsidR="00EC0F74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185C3B67" w14:textId="77777777" w:rsidR="007B0F88" w:rsidRPr="0042060B" w:rsidRDefault="007B0F88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2930D88D" w:rsidR="00A033BE" w:rsidRDefault="00EC5BCA" w:rsidP="00EB41B9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42060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42060B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t dodatku</w:t>
      </w:r>
    </w:p>
    <w:p w14:paraId="35766BB4" w14:textId="75AC2FDA" w:rsidR="00EB7A10" w:rsidRDefault="008939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7A0793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7A079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6123C19B" w14:textId="2570F0A2" w:rsidR="00A614DE" w:rsidRPr="00FD27E3" w:rsidRDefault="00A614DE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IV. se odst. </w:t>
      </w:r>
      <w:r w:rsidR="00F44EA4" w:rsidRPr="00FD27E3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 vypouští a nahrazuje se novým odst. </w:t>
      </w:r>
      <w:r w:rsidR="00F44EA4" w:rsidRPr="00FD27E3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 následujícího znění:</w:t>
      </w:r>
    </w:p>
    <w:p w14:paraId="0A922832" w14:textId="02B092CE" w:rsidR="00F44EA4" w:rsidRDefault="00F44EA4" w:rsidP="00F44EA4">
      <w:pPr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4AFC8CA7" w14:textId="7C88A59D" w:rsidR="00F44EA4" w:rsidRDefault="00843777" w:rsidP="00843777">
      <w:pPr>
        <w:spacing w:line="320" w:lineRule="exact"/>
        <w:ind w:left="1404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„2.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44EA4">
        <w:rPr>
          <w:rFonts w:asciiTheme="minorHAnsi" w:hAnsiTheme="minorHAnsi"/>
          <w:color w:val="000000"/>
          <w:sz w:val="22"/>
          <w:szCs w:val="22"/>
          <w:lang w:val="cs-CZ"/>
        </w:rPr>
        <w:t>Zhotovitel se zavazuje</w:t>
      </w:r>
      <w:r w:rsidR="006A1CCA">
        <w:rPr>
          <w:rFonts w:asciiTheme="minorHAnsi" w:hAnsiTheme="minorHAnsi"/>
          <w:color w:val="000000"/>
          <w:sz w:val="22"/>
          <w:szCs w:val="22"/>
          <w:lang w:val="cs-CZ"/>
        </w:rPr>
        <w:t xml:space="preserve"> dílo řádně provést a protokolárně předat Objednateli dokončené dílo se všemi náležitostmi včetně všech podkladů a dokladů nezbytných pro řádné užívání, a to nejpozději do </w:t>
      </w:r>
      <w:r w:rsidR="00B97368">
        <w:rPr>
          <w:rFonts w:asciiTheme="minorHAnsi" w:hAnsiTheme="minorHAnsi"/>
          <w:color w:val="000000"/>
          <w:sz w:val="22"/>
          <w:szCs w:val="22"/>
          <w:lang w:val="cs-CZ"/>
        </w:rPr>
        <w:t>1</w:t>
      </w:r>
      <w:r w:rsidR="00D0600A">
        <w:rPr>
          <w:rFonts w:asciiTheme="minorHAnsi" w:hAnsiTheme="minorHAnsi"/>
          <w:color w:val="000000"/>
          <w:sz w:val="22"/>
          <w:szCs w:val="22"/>
          <w:lang w:val="cs-CZ"/>
        </w:rPr>
        <w:t>5</w:t>
      </w:r>
      <w:r w:rsidR="00B97368">
        <w:rPr>
          <w:rFonts w:asciiTheme="minorHAnsi" w:hAnsiTheme="minorHAnsi"/>
          <w:color w:val="000000"/>
          <w:sz w:val="22"/>
          <w:szCs w:val="22"/>
          <w:lang w:val="cs-CZ"/>
        </w:rPr>
        <w:t>. února 2022</w:t>
      </w:r>
      <w:r w:rsidR="00C44875">
        <w:rPr>
          <w:rFonts w:asciiTheme="minorHAnsi" w:hAnsiTheme="minorHAnsi"/>
          <w:color w:val="000000"/>
          <w:sz w:val="22"/>
          <w:szCs w:val="22"/>
          <w:lang w:val="cs-CZ"/>
        </w:rPr>
        <w:t>. Existence drobných vad a nedodělků, které nemají vliv na užívání, nevylučují protokolární předání.</w:t>
      </w:r>
    </w:p>
    <w:p w14:paraId="5029D5A3" w14:textId="5F951CD7" w:rsidR="00C44875" w:rsidRPr="00F44EA4" w:rsidRDefault="00C44875" w:rsidP="00843777">
      <w:pPr>
        <w:spacing w:line="320" w:lineRule="exact"/>
        <w:ind w:left="140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Termín výše uvedený je pro Zhotovitele závazný. Objednatel bude považovat nedodržení termínu za podstatné porušení povinností uložených Zhotoviteli touto smlouvou.</w:t>
      </w:r>
      <w:r w:rsidR="00843777">
        <w:rPr>
          <w:rFonts w:asciiTheme="minorHAnsi" w:hAnsiTheme="minorHAnsi"/>
          <w:color w:val="000000"/>
          <w:sz w:val="22"/>
          <w:szCs w:val="22"/>
          <w:lang w:val="cs-CZ"/>
        </w:rPr>
        <w:t>“</w:t>
      </w:r>
    </w:p>
    <w:p w14:paraId="122FDA7E" w14:textId="77777777" w:rsidR="00A614DE" w:rsidRPr="007A0793" w:rsidRDefault="00A614DE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AD7497B" w14:textId="18DC651A" w:rsidR="00AC4652" w:rsidRPr="00FD27E3" w:rsidRDefault="00AC4652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V. se odst. 1 vypouští a nahrazuje </w:t>
      </w:r>
      <w:r w:rsidR="001D66B0" w:rsidRPr="00FD27E3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7775E5C6" w14:textId="7FF26F27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9F19FD" w14:textId="7304126D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„1.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Smluvní strany se dohodly na této výši ceny za dílo:</w:t>
      </w:r>
    </w:p>
    <w:p w14:paraId="7E43DAA0" w14:textId="4D3D49AB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</w:p>
    <w:p w14:paraId="0077ABFA" w14:textId="6249070F" w:rsidR="00AC4652" w:rsidRPr="001C7CAC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1C7CAC">
        <w:rPr>
          <w:rFonts w:asciiTheme="minorHAnsi" w:hAnsiTheme="minorHAnsi"/>
          <w:color w:val="000000"/>
          <w:sz w:val="22"/>
          <w:szCs w:val="22"/>
          <w:lang w:val="cs-CZ"/>
        </w:rPr>
        <w:t xml:space="preserve">Cena bez DPH </w:t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0CB" w:rsidRPr="001C7CAC">
        <w:rPr>
          <w:rFonts w:asciiTheme="minorHAnsi" w:hAnsiTheme="minorHAnsi"/>
          <w:b/>
          <w:color w:val="000000"/>
          <w:sz w:val="22"/>
          <w:szCs w:val="22"/>
          <w:lang w:val="cs-CZ"/>
        </w:rPr>
        <w:t>154 158 431,41</w:t>
      </w:r>
      <w:r w:rsidR="00A30FBB" w:rsidRPr="001C7CAC">
        <w:rPr>
          <w:rFonts w:asciiTheme="minorHAnsi" w:hAnsiTheme="minorHAnsi"/>
          <w:color w:val="000000"/>
          <w:sz w:val="22"/>
          <w:szCs w:val="22"/>
          <w:lang w:val="en-US"/>
        </w:rPr>
        <w:t xml:space="preserve"> Kč</w:t>
      </w:r>
      <w:r w:rsidR="00DC51BD" w:rsidRPr="001C7CAC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DC51BD" w:rsidRPr="001C7CAC">
        <w:rPr>
          <w:sz w:val="22"/>
          <w:szCs w:val="22"/>
        </w:rPr>
        <w:t>(dále jen „</w:t>
      </w:r>
      <w:r w:rsidR="00DC51BD" w:rsidRPr="001C7CAC">
        <w:rPr>
          <w:i/>
          <w:iCs/>
          <w:sz w:val="22"/>
          <w:szCs w:val="22"/>
        </w:rPr>
        <w:t>cena díla</w:t>
      </w:r>
      <w:r w:rsidR="00DC51BD" w:rsidRPr="001C7CAC">
        <w:rPr>
          <w:sz w:val="22"/>
          <w:szCs w:val="22"/>
        </w:rPr>
        <w:t>“)</w:t>
      </w:r>
    </w:p>
    <w:p w14:paraId="6E11C70E" w14:textId="77777777" w:rsidR="00AC4652" w:rsidRPr="001C7CAC" w:rsidRDefault="00AC4652" w:rsidP="00EB41B9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799C4D3" w14:textId="1E8697D7" w:rsidR="00AC4652" w:rsidRPr="001C7CAC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1C7CAC">
        <w:rPr>
          <w:rFonts w:asciiTheme="minorHAnsi" w:hAnsiTheme="minorHAnsi"/>
          <w:color w:val="000000"/>
          <w:sz w:val="22"/>
          <w:szCs w:val="22"/>
          <w:lang w:val="cs-CZ"/>
        </w:rPr>
        <w:t>21% DPH</w:t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1C7CAC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0CB" w:rsidRPr="001C7CAC">
        <w:rPr>
          <w:rFonts w:asciiTheme="minorHAnsi" w:hAnsiTheme="minorHAnsi"/>
          <w:b/>
          <w:color w:val="000000"/>
          <w:sz w:val="22"/>
          <w:szCs w:val="22"/>
          <w:lang w:val="cs-CZ"/>
        </w:rPr>
        <w:t>32 373 270,60</w:t>
      </w:r>
      <w:r w:rsidR="00A608AE" w:rsidRPr="001C7CAC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832F99" w:rsidRPr="001C7CAC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</w:p>
    <w:p w14:paraId="4D2AB5C1" w14:textId="77777777" w:rsidR="00AC4652" w:rsidRPr="001C7CAC" w:rsidRDefault="00AC4652" w:rsidP="00EB41B9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0B38214" w14:textId="07657E45" w:rsidR="00AC4652" w:rsidRPr="001C7CAC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1C7CAC">
        <w:rPr>
          <w:rFonts w:asciiTheme="minorHAnsi" w:hAnsiTheme="minorHAnsi"/>
          <w:color w:val="000000"/>
          <w:sz w:val="22"/>
          <w:szCs w:val="22"/>
          <w:lang w:val="cs-CZ"/>
        </w:rPr>
        <w:t xml:space="preserve">Cena včetně 21% DPH </w:t>
      </w:r>
      <w:r w:rsidR="00DC51BD" w:rsidRPr="001C7CAC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0CB" w:rsidRPr="001C7CAC">
        <w:rPr>
          <w:rFonts w:asciiTheme="minorHAnsi" w:hAnsiTheme="minorHAnsi"/>
          <w:b/>
          <w:color w:val="000000"/>
          <w:sz w:val="22"/>
          <w:szCs w:val="22"/>
          <w:lang w:val="en-US"/>
        </w:rPr>
        <w:t>186 531 702,01</w:t>
      </w:r>
      <w:r w:rsidR="00A608AE" w:rsidRPr="001C7CAC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832F99" w:rsidRPr="001C7CAC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  <w:r w:rsidR="00843777" w:rsidRPr="001C7CAC">
        <w:rPr>
          <w:rFonts w:asciiTheme="minorHAnsi" w:hAnsiTheme="minorHAnsi"/>
          <w:color w:val="000000"/>
          <w:sz w:val="22"/>
          <w:szCs w:val="22"/>
          <w:lang w:val="en-US"/>
        </w:rPr>
        <w:t>”</w:t>
      </w:r>
    </w:p>
    <w:p w14:paraId="766100F2" w14:textId="62BE6BD7" w:rsidR="000D3175" w:rsidRDefault="000D3175" w:rsidP="000D3175">
      <w:pPr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62C38A4" w14:textId="1B17ACDB" w:rsidR="00491664" w:rsidRPr="00FD27E3" w:rsidRDefault="002F1263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>Příloha č. 2 Smlouvy se nahrazuje novou přílohou, která tvoří přílohu č. 2 tohoto dodatku – Aktualizovaný harmonogram postupu prací.</w:t>
      </w:r>
    </w:p>
    <w:p w14:paraId="3E3C046D" w14:textId="74EF94CB" w:rsidR="000D3175" w:rsidRPr="000D3175" w:rsidRDefault="000D3175" w:rsidP="000D3175">
      <w:pPr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5C085EBE" w14:textId="77777777" w:rsidR="00146D77" w:rsidRPr="00DC51BD" w:rsidRDefault="00146D77" w:rsidP="00146D77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7A0793" w:rsidRDefault="00D7403B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7A0793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10249161" w:rsidR="00443E1C" w:rsidRDefault="007D1AD0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FD27E3">
        <w:rPr>
          <w:rFonts w:asciiTheme="minorHAnsi" w:hAnsiTheme="minorHAnsi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á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nejsou tímto dodatkem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v </w:t>
      </w:r>
      <w:r w:rsidRPr="00FD27E3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06CA345A" w:rsidR="00EB7A10" w:rsidRPr="00FD27E3" w:rsidRDefault="00BE1FC1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Tento dodatek nabývá platnosti dnem 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 xml:space="preserve">připojení podpisu poslední ze Smluvních stran a účinnosti dnem jejího uveřejnění 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6A4A32F2" w:rsidR="00DC37DE" w:rsidRPr="00FD27E3" w:rsidRDefault="00BD09B5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>Smluvní strany prohlašují, že si tento dodatek přečetly, jeho obsahu porozuměl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y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a na znamení toho, že obsah dodatku odpovídá jejich skutečné a svobodné vůli, ho podepsa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2B5BA48C" w14:textId="16905A4A" w:rsidR="002C30D7" w:rsidRPr="00FD27E3" w:rsidRDefault="002C30D7" w:rsidP="002C30D7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Nedílnou součást tohoto dodatku tvoří:</w:t>
      </w:r>
    </w:p>
    <w:p w14:paraId="008E1BB6" w14:textId="689CC653" w:rsidR="00A033BE" w:rsidRDefault="00A033BE" w:rsidP="00A44E86">
      <w:pPr>
        <w:spacing w:line="320" w:lineRule="exact"/>
        <w:ind w:left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</w:t>
      </w:r>
      <w:r w:rsidR="000D317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měnový list</w:t>
      </w:r>
      <w:r w:rsidR="0091416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 xml:space="preserve">č. </w:t>
      </w:r>
      <w:r w:rsidR="00A44E86">
        <w:rPr>
          <w:rFonts w:asciiTheme="minorHAnsi" w:hAnsiTheme="minorHAnsi"/>
          <w:sz w:val="22"/>
          <w:szCs w:val="22"/>
          <w:lang w:val="cs-CZ"/>
        </w:rPr>
        <w:t>36, 37, 38, 39, 40, 41, 42, 43, 44, 45, 46, 47, 48, 49, 50, 51, 52, 53, 54, 55, 56, 57, 58, 59, 60, 61, 62, 63, 64</w:t>
      </w:r>
    </w:p>
    <w:p w14:paraId="219CB507" w14:textId="10543B2A" w:rsidR="00A92BB2" w:rsidRDefault="00A92BB2" w:rsidP="002C30D7">
      <w:pPr>
        <w:spacing w:line="320" w:lineRule="exact"/>
        <w:ind w:firstLine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2 – Aktualizovaný harmonogram postupu prací</w:t>
      </w:r>
    </w:p>
    <w:p w14:paraId="2EBCC3A4" w14:textId="1AAA2ED7" w:rsidR="00A033BE" w:rsidRDefault="00A033BE" w:rsidP="00EB41B9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7F40288" w14:textId="12E54777" w:rsidR="00DC37DE" w:rsidRDefault="00B96D1F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9D35AA">
        <w:rPr>
          <w:rFonts w:asciiTheme="minorHAnsi" w:hAnsiTheme="minorHAnsi"/>
          <w:sz w:val="22"/>
          <w:szCs w:val="22"/>
          <w:lang w:val="cs-CZ" w:eastAsia="cs-CZ"/>
        </w:rPr>
        <w:t>V Praze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...................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ab/>
      </w:r>
      <w:r w:rsidR="00C24C5E" w:rsidRPr="009D35AA">
        <w:rPr>
          <w:rFonts w:asciiTheme="minorHAnsi" w:hAnsiTheme="minorHAnsi"/>
          <w:sz w:val="22"/>
          <w:szCs w:val="22"/>
          <w:lang w:val="cs-CZ" w:eastAsia="cs-CZ"/>
        </w:rPr>
        <w:t>V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>e Zlíně</w:t>
      </w:r>
      <w:r w:rsidRPr="009D35AA">
        <w:rPr>
          <w:rFonts w:asciiTheme="minorHAnsi" w:hAnsiTheme="minorHAnsi"/>
          <w:sz w:val="22"/>
          <w:szCs w:val="22"/>
          <w:lang w:val="cs-CZ" w:eastAsia="cs-CZ"/>
        </w:rPr>
        <w:t xml:space="preserve">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.............................</w:t>
      </w:r>
    </w:p>
    <w:p w14:paraId="512A9B07" w14:textId="23BA6EBA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2368E37" w14:textId="7FA936C4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 Objednatele:</w:t>
      </w:r>
      <w:r>
        <w:rPr>
          <w:rFonts w:asciiTheme="minorHAnsi" w:hAnsiTheme="minorHAnsi"/>
          <w:sz w:val="22"/>
          <w:szCs w:val="22"/>
          <w:lang w:val="cs-CZ" w:eastAsia="cs-CZ"/>
        </w:rPr>
        <w:tab/>
        <w:t xml:space="preserve">Za Zhotovitele: </w:t>
      </w:r>
      <w:r>
        <w:rPr>
          <w:rFonts w:asciiTheme="minorHAnsi" w:hAnsiTheme="minorHAnsi"/>
          <w:sz w:val="22"/>
          <w:szCs w:val="22"/>
          <w:lang w:val="cs-CZ" w:eastAsia="cs-CZ"/>
        </w:rPr>
        <w:tab/>
      </w:r>
    </w:p>
    <w:p w14:paraId="742A10F9" w14:textId="77777777" w:rsidR="00914165" w:rsidRPr="009D35AA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711D387" w14:textId="3C8C890B" w:rsidR="00DC37DE" w:rsidRPr="007A0793" w:rsidRDefault="00DC37DE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  <w:r w:rsidR="007C24CC" w:rsidRPr="007A0793">
        <w:rPr>
          <w:rFonts w:asciiTheme="minorHAnsi" w:hAnsiTheme="minorHAnsi"/>
          <w:sz w:val="22"/>
          <w:szCs w:val="22"/>
          <w:lang w:val="cs-CZ" w:eastAsia="cs-CZ"/>
        </w:rPr>
        <w:t>......................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 xml:space="preserve">                           </w:t>
      </w: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</w:p>
    <w:p w14:paraId="12A7F278" w14:textId="2A343E09" w:rsidR="00E70C45" w:rsidRDefault="001C7CAC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xxxxxxxxxxxxxxxxxxxxxxx</w:t>
      </w:r>
      <w:r w:rsidR="00E70C45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="00914165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12406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>xxxxxxxxxxxxxxxxxxx</w:t>
      </w:r>
      <w:r w:rsidR="00EB3963">
        <w:rPr>
          <w:rFonts w:asciiTheme="minorHAnsi" w:hAnsiTheme="minorHAnsi"/>
          <w:color w:val="000000"/>
          <w:sz w:val="22"/>
          <w:szCs w:val="22"/>
          <w:lang w:val="cs-CZ"/>
        </w:rPr>
        <w:t xml:space="preserve">, </w:t>
      </w:r>
    </w:p>
    <w:p w14:paraId="54733086" w14:textId="7F62DB62" w:rsidR="00543699" w:rsidRDefault="00E70C45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rektor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 xml:space="preserve">předseda </w:t>
      </w:r>
      <w:r w:rsidR="00EB3963">
        <w:rPr>
          <w:rFonts w:asciiTheme="minorHAnsi" w:hAnsiTheme="minorHAnsi"/>
          <w:color w:val="000000"/>
          <w:sz w:val="22"/>
          <w:szCs w:val="22"/>
          <w:lang w:val="cs-CZ"/>
        </w:rPr>
        <w:t>představenstva</w:t>
      </w:r>
    </w:p>
    <w:p w14:paraId="2B4F2943" w14:textId="53AB2B4E" w:rsidR="0067476D" w:rsidRDefault="00914165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Vysok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á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škol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a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chemicko-technologick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á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v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> </w:t>
      </w:r>
      <w:r>
        <w:rPr>
          <w:rFonts w:asciiTheme="minorHAnsi" w:hAnsiTheme="minorHAnsi"/>
          <w:sz w:val="22"/>
          <w:szCs w:val="22"/>
          <w:lang w:val="cs-CZ" w:eastAsia="cs-CZ"/>
        </w:rPr>
        <w:t>Praze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ab/>
        <w:t xml:space="preserve">Zlínstav </w:t>
      </w:r>
      <w:r w:rsidR="00FB7518" w:rsidRPr="00FB7518">
        <w:rPr>
          <w:rFonts w:asciiTheme="minorHAnsi" w:hAnsiTheme="minorHAnsi"/>
          <w:sz w:val="22"/>
          <w:szCs w:val="22"/>
          <w:lang w:val="cs-CZ" w:eastAsia="cs-CZ"/>
        </w:rPr>
        <w:t>a.s.</w:t>
      </w:r>
    </w:p>
    <w:p w14:paraId="3434B851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6C5081A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EFC8C57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6AE81B9A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06F3BDD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083CAB04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095AAF8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04B7097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2EBA53A6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39DBE951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98A2F50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6F72B68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26D68383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D39C938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6E249854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2227AE95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1A8D7D93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32EA3C54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66471F91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09825335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1C7E0369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4AF4A2D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B2A0563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06E5B983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E1497B3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0809F2B6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1C3AB9DA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3C45975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145ABFE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A5FB777" w14:textId="3B88703D" w:rsidR="00A92BB2" w:rsidRPr="001C7CAC" w:rsidRDefault="00A92BB2" w:rsidP="001C7CAC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bookmarkStart w:id="0" w:name="_GoBack"/>
      <w:bookmarkEnd w:id="0"/>
    </w:p>
    <w:sectPr w:rsidR="00A92BB2" w:rsidRPr="001C7C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7C74" w14:textId="77777777" w:rsidR="000F4CF2" w:rsidRDefault="000F4CF2" w:rsidP="00665B2A">
      <w:r>
        <w:separator/>
      </w:r>
    </w:p>
  </w:endnote>
  <w:endnote w:type="continuationSeparator" w:id="0">
    <w:p w14:paraId="304A6235" w14:textId="77777777" w:rsidR="000F4CF2" w:rsidRDefault="000F4CF2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023273"/>
      <w:docPartObj>
        <w:docPartGallery w:val="Page Numbers (Bottom of Page)"/>
        <w:docPartUnique/>
      </w:docPartObj>
    </w:sdtPr>
    <w:sdtEndPr/>
    <w:sdtContent>
      <w:p w14:paraId="75AEA573" w14:textId="2A348590" w:rsidR="00622147" w:rsidRDefault="00622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AC" w:rsidRPr="001C7CAC">
          <w:rPr>
            <w:noProof/>
            <w:lang w:val="cs-CZ"/>
          </w:rPr>
          <w:t>3</w:t>
        </w:r>
        <w: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804E" w14:textId="77777777" w:rsidR="000F4CF2" w:rsidRDefault="000F4CF2" w:rsidP="00665B2A">
      <w:r>
        <w:separator/>
      </w:r>
    </w:p>
  </w:footnote>
  <w:footnote w:type="continuationSeparator" w:id="0">
    <w:p w14:paraId="6828EB70" w14:textId="77777777" w:rsidR="000F4CF2" w:rsidRDefault="000F4CF2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727A2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10"/>
    <w:rsid w:val="00010D28"/>
    <w:rsid w:val="000117FF"/>
    <w:rsid w:val="00020A87"/>
    <w:rsid w:val="000225E9"/>
    <w:rsid w:val="0002443E"/>
    <w:rsid w:val="00030A2B"/>
    <w:rsid w:val="0004344B"/>
    <w:rsid w:val="00045F21"/>
    <w:rsid w:val="00063508"/>
    <w:rsid w:val="00063736"/>
    <w:rsid w:val="00073427"/>
    <w:rsid w:val="000757D3"/>
    <w:rsid w:val="0008309E"/>
    <w:rsid w:val="00095ADA"/>
    <w:rsid w:val="000A2EC5"/>
    <w:rsid w:val="000C0EE4"/>
    <w:rsid w:val="000C23BF"/>
    <w:rsid w:val="000C587F"/>
    <w:rsid w:val="000D3175"/>
    <w:rsid w:val="000D31E6"/>
    <w:rsid w:val="000D4194"/>
    <w:rsid w:val="000D5537"/>
    <w:rsid w:val="000E5841"/>
    <w:rsid w:val="000F01B6"/>
    <w:rsid w:val="000F1DE2"/>
    <w:rsid w:val="000F4CF2"/>
    <w:rsid w:val="001072FD"/>
    <w:rsid w:val="00112406"/>
    <w:rsid w:val="00117AB9"/>
    <w:rsid w:val="0012659E"/>
    <w:rsid w:val="00145521"/>
    <w:rsid w:val="00146D77"/>
    <w:rsid w:val="0014776C"/>
    <w:rsid w:val="00177F2C"/>
    <w:rsid w:val="00182CCC"/>
    <w:rsid w:val="00186824"/>
    <w:rsid w:val="00187DAF"/>
    <w:rsid w:val="001901BB"/>
    <w:rsid w:val="00191CC3"/>
    <w:rsid w:val="00192CAD"/>
    <w:rsid w:val="001A290A"/>
    <w:rsid w:val="001A6454"/>
    <w:rsid w:val="001C7CAC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618E"/>
    <w:rsid w:val="00227D32"/>
    <w:rsid w:val="0023317F"/>
    <w:rsid w:val="00237E33"/>
    <w:rsid w:val="0024249D"/>
    <w:rsid w:val="00242AED"/>
    <w:rsid w:val="00247904"/>
    <w:rsid w:val="002510CF"/>
    <w:rsid w:val="00263D5F"/>
    <w:rsid w:val="00266660"/>
    <w:rsid w:val="00267AFE"/>
    <w:rsid w:val="0028267E"/>
    <w:rsid w:val="00284EEC"/>
    <w:rsid w:val="002A0991"/>
    <w:rsid w:val="002A2028"/>
    <w:rsid w:val="002A6AE1"/>
    <w:rsid w:val="002A7F1B"/>
    <w:rsid w:val="002B6C4E"/>
    <w:rsid w:val="002C2853"/>
    <w:rsid w:val="002C30D7"/>
    <w:rsid w:val="002D7074"/>
    <w:rsid w:val="002E0B8B"/>
    <w:rsid w:val="002E3F35"/>
    <w:rsid w:val="002E5E66"/>
    <w:rsid w:val="002F1263"/>
    <w:rsid w:val="003115C8"/>
    <w:rsid w:val="003219A9"/>
    <w:rsid w:val="0032549F"/>
    <w:rsid w:val="003325B2"/>
    <w:rsid w:val="00370C76"/>
    <w:rsid w:val="003731F4"/>
    <w:rsid w:val="00383482"/>
    <w:rsid w:val="00386DF3"/>
    <w:rsid w:val="00387889"/>
    <w:rsid w:val="00391EB3"/>
    <w:rsid w:val="003937F5"/>
    <w:rsid w:val="00393877"/>
    <w:rsid w:val="00396919"/>
    <w:rsid w:val="003B0DDC"/>
    <w:rsid w:val="003B10FE"/>
    <w:rsid w:val="003C651A"/>
    <w:rsid w:val="003D1B17"/>
    <w:rsid w:val="003F77AD"/>
    <w:rsid w:val="0042060B"/>
    <w:rsid w:val="00420A81"/>
    <w:rsid w:val="00423394"/>
    <w:rsid w:val="00424B0F"/>
    <w:rsid w:val="00424C7B"/>
    <w:rsid w:val="00431189"/>
    <w:rsid w:val="00435922"/>
    <w:rsid w:val="0044165B"/>
    <w:rsid w:val="00442A2B"/>
    <w:rsid w:val="00443E1C"/>
    <w:rsid w:val="00447D93"/>
    <w:rsid w:val="00461857"/>
    <w:rsid w:val="00485110"/>
    <w:rsid w:val="00491664"/>
    <w:rsid w:val="004935E0"/>
    <w:rsid w:val="00495DCA"/>
    <w:rsid w:val="004A0FB8"/>
    <w:rsid w:val="004B2822"/>
    <w:rsid w:val="004B442D"/>
    <w:rsid w:val="004D2925"/>
    <w:rsid w:val="004E01D4"/>
    <w:rsid w:val="004E44E3"/>
    <w:rsid w:val="004F202F"/>
    <w:rsid w:val="004F2608"/>
    <w:rsid w:val="004F2B9D"/>
    <w:rsid w:val="004F7B2D"/>
    <w:rsid w:val="005013EB"/>
    <w:rsid w:val="00504EAB"/>
    <w:rsid w:val="00521B5A"/>
    <w:rsid w:val="00522DC2"/>
    <w:rsid w:val="00533FA6"/>
    <w:rsid w:val="00543699"/>
    <w:rsid w:val="005511F6"/>
    <w:rsid w:val="00560C68"/>
    <w:rsid w:val="00563032"/>
    <w:rsid w:val="00585772"/>
    <w:rsid w:val="00590A64"/>
    <w:rsid w:val="00590C2D"/>
    <w:rsid w:val="00590D65"/>
    <w:rsid w:val="005A22AD"/>
    <w:rsid w:val="005A598B"/>
    <w:rsid w:val="005B5F83"/>
    <w:rsid w:val="005B6733"/>
    <w:rsid w:val="005C07F1"/>
    <w:rsid w:val="005D0EAE"/>
    <w:rsid w:val="005E2A7B"/>
    <w:rsid w:val="005E3FEC"/>
    <w:rsid w:val="005F2A61"/>
    <w:rsid w:val="005F2E55"/>
    <w:rsid w:val="00613B6C"/>
    <w:rsid w:val="00615C0D"/>
    <w:rsid w:val="00620BD1"/>
    <w:rsid w:val="00621D01"/>
    <w:rsid w:val="00622147"/>
    <w:rsid w:val="00626985"/>
    <w:rsid w:val="00660ED6"/>
    <w:rsid w:val="00665B2A"/>
    <w:rsid w:val="00670358"/>
    <w:rsid w:val="0067476D"/>
    <w:rsid w:val="006A1CCA"/>
    <w:rsid w:val="006A292D"/>
    <w:rsid w:val="006C2F5B"/>
    <w:rsid w:val="006E6ED5"/>
    <w:rsid w:val="006F01A6"/>
    <w:rsid w:val="006F26BF"/>
    <w:rsid w:val="007009E6"/>
    <w:rsid w:val="0070109D"/>
    <w:rsid w:val="0070657E"/>
    <w:rsid w:val="0071555A"/>
    <w:rsid w:val="00724C38"/>
    <w:rsid w:val="007258D2"/>
    <w:rsid w:val="007340B2"/>
    <w:rsid w:val="00744208"/>
    <w:rsid w:val="00751A17"/>
    <w:rsid w:val="00753752"/>
    <w:rsid w:val="00783AE4"/>
    <w:rsid w:val="00794827"/>
    <w:rsid w:val="00796471"/>
    <w:rsid w:val="007A0793"/>
    <w:rsid w:val="007A47F4"/>
    <w:rsid w:val="007A6443"/>
    <w:rsid w:val="007B0F88"/>
    <w:rsid w:val="007B193D"/>
    <w:rsid w:val="007B4576"/>
    <w:rsid w:val="007C24CC"/>
    <w:rsid w:val="007C5186"/>
    <w:rsid w:val="007D1034"/>
    <w:rsid w:val="007D1AD0"/>
    <w:rsid w:val="007D5B87"/>
    <w:rsid w:val="007D7DEC"/>
    <w:rsid w:val="007F14C5"/>
    <w:rsid w:val="00802652"/>
    <w:rsid w:val="00812DCD"/>
    <w:rsid w:val="008151AD"/>
    <w:rsid w:val="00816D91"/>
    <w:rsid w:val="00817422"/>
    <w:rsid w:val="00831FD5"/>
    <w:rsid w:val="00832F99"/>
    <w:rsid w:val="00843777"/>
    <w:rsid w:val="00855295"/>
    <w:rsid w:val="008645F7"/>
    <w:rsid w:val="0087272A"/>
    <w:rsid w:val="00880E8C"/>
    <w:rsid w:val="008905FF"/>
    <w:rsid w:val="008907A6"/>
    <w:rsid w:val="0089398B"/>
    <w:rsid w:val="008B2128"/>
    <w:rsid w:val="008B5D5D"/>
    <w:rsid w:val="008B650B"/>
    <w:rsid w:val="008B79D8"/>
    <w:rsid w:val="008C2DC1"/>
    <w:rsid w:val="008D14B9"/>
    <w:rsid w:val="008D31FB"/>
    <w:rsid w:val="008D5EA7"/>
    <w:rsid w:val="008E6761"/>
    <w:rsid w:val="00900751"/>
    <w:rsid w:val="00902F07"/>
    <w:rsid w:val="00903746"/>
    <w:rsid w:val="00914165"/>
    <w:rsid w:val="009148B1"/>
    <w:rsid w:val="0094031F"/>
    <w:rsid w:val="00940AD6"/>
    <w:rsid w:val="00941CEF"/>
    <w:rsid w:val="00965E19"/>
    <w:rsid w:val="009666FE"/>
    <w:rsid w:val="00966DE5"/>
    <w:rsid w:val="00976005"/>
    <w:rsid w:val="009869DB"/>
    <w:rsid w:val="00990AE4"/>
    <w:rsid w:val="0099581B"/>
    <w:rsid w:val="009A2D68"/>
    <w:rsid w:val="009A591B"/>
    <w:rsid w:val="009C01A5"/>
    <w:rsid w:val="009C27CE"/>
    <w:rsid w:val="009D2D6D"/>
    <w:rsid w:val="009D35AA"/>
    <w:rsid w:val="009D57E5"/>
    <w:rsid w:val="009D5B98"/>
    <w:rsid w:val="009E3544"/>
    <w:rsid w:val="00A0123A"/>
    <w:rsid w:val="00A01CDB"/>
    <w:rsid w:val="00A033BE"/>
    <w:rsid w:val="00A04D58"/>
    <w:rsid w:val="00A10440"/>
    <w:rsid w:val="00A116E8"/>
    <w:rsid w:val="00A24671"/>
    <w:rsid w:val="00A30FBB"/>
    <w:rsid w:val="00A33A69"/>
    <w:rsid w:val="00A359CC"/>
    <w:rsid w:val="00A44E86"/>
    <w:rsid w:val="00A455DE"/>
    <w:rsid w:val="00A517CD"/>
    <w:rsid w:val="00A539CF"/>
    <w:rsid w:val="00A54D7D"/>
    <w:rsid w:val="00A608AE"/>
    <w:rsid w:val="00A614DE"/>
    <w:rsid w:val="00A660A7"/>
    <w:rsid w:val="00A85435"/>
    <w:rsid w:val="00A862F7"/>
    <w:rsid w:val="00A92BB2"/>
    <w:rsid w:val="00A9428E"/>
    <w:rsid w:val="00A9700B"/>
    <w:rsid w:val="00A9702A"/>
    <w:rsid w:val="00AB01BD"/>
    <w:rsid w:val="00AB0B08"/>
    <w:rsid w:val="00AC05B0"/>
    <w:rsid w:val="00AC283D"/>
    <w:rsid w:val="00AC4652"/>
    <w:rsid w:val="00AC7140"/>
    <w:rsid w:val="00AD7957"/>
    <w:rsid w:val="00AE4F0E"/>
    <w:rsid w:val="00AE7F5B"/>
    <w:rsid w:val="00AF09A0"/>
    <w:rsid w:val="00B04814"/>
    <w:rsid w:val="00B068D4"/>
    <w:rsid w:val="00B2475A"/>
    <w:rsid w:val="00B248A9"/>
    <w:rsid w:val="00B42C3F"/>
    <w:rsid w:val="00B5106C"/>
    <w:rsid w:val="00B510DC"/>
    <w:rsid w:val="00B75835"/>
    <w:rsid w:val="00B75E11"/>
    <w:rsid w:val="00B76BE4"/>
    <w:rsid w:val="00B947F2"/>
    <w:rsid w:val="00B96D1F"/>
    <w:rsid w:val="00B97368"/>
    <w:rsid w:val="00BA6738"/>
    <w:rsid w:val="00BB196F"/>
    <w:rsid w:val="00BD09B5"/>
    <w:rsid w:val="00BD24A8"/>
    <w:rsid w:val="00BE1FC1"/>
    <w:rsid w:val="00BF50F2"/>
    <w:rsid w:val="00BF7842"/>
    <w:rsid w:val="00C16471"/>
    <w:rsid w:val="00C214BC"/>
    <w:rsid w:val="00C21B06"/>
    <w:rsid w:val="00C24C5E"/>
    <w:rsid w:val="00C257E5"/>
    <w:rsid w:val="00C34050"/>
    <w:rsid w:val="00C36D37"/>
    <w:rsid w:val="00C41693"/>
    <w:rsid w:val="00C44875"/>
    <w:rsid w:val="00C50C90"/>
    <w:rsid w:val="00C52F24"/>
    <w:rsid w:val="00C675B1"/>
    <w:rsid w:val="00C84C45"/>
    <w:rsid w:val="00C85A2E"/>
    <w:rsid w:val="00C90EEA"/>
    <w:rsid w:val="00C95304"/>
    <w:rsid w:val="00CC1125"/>
    <w:rsid w:val="00CC6088"/>
    <w:rsid w:val="00CE5C05"/>
    <w:rsid w:val="00CF1BC2"/>
    <w:rsid w:val="00CF261A"/>
    <w:rsid w:val="00CF4346"/>
    <w:rsid w:val="00CF5B3C"/>
    <w:rsid w:val="00D0600A"/>
    <w:rsid w:val="00D06520"/>
    <w:rsid w:val="00D07846"/>
    <w:rsid w:val="00D11A35"/>
    <w:rsid w:val="00D2305C"/>
    <w:rsid w:val="00D43102"/>
    <w:rsid w:val="00D43AA2"/>
    <w:rsid w:val="00D53558"/>
    <w:rsid w:val="00D56944"/>
    <w:rsid w:val="00D56988"/>
    <w:rsid w:val="00D738E7"/>
    <w:rsid w:val="00D7403B"/>
    <w:rsid w:val="00D761E8"/>
    <w:rsid w:val="00D849BC"/>
    <w:rsid w:val="00D87AFE"/>
    <w:rsid w:val="00D9566E"/>
    <w:rsid w:val="00DA0320"/>
    <w:rsid w:val="00DA4798"/>
    <w:rsid w:val="00DA4A88"/>
    <w:rsid w:val="00DC37DE"/>
    <w:rsid w:val="00DC51BD"/>
    <w:rsid w:val="00DD72B8"/>
    <w:rsid w:val="00DE033A"/>
    <w:rsid w:val="00DE0772"/>
    <w:rsid w:val="00DE6684"/>
    <w:rsid w:val="00E11CA3"/>
    <w:rsid w:val="00E36E59"/>
    <w:rsid w:val="00E42841"/>
    <w:rsid w:val="00E45262"/>
    <w:rsid w:val="00E56D59"/>
    <w:rsid w:val="00E5764B"/>
    <w:rsid w:val="00E70C45"/>
    <w:rsid w:val="00E93FB8"/>
    <w:rsid w:val="00EA1FB7"/>
    <w:rsid w:val="00EA3C43"/>
    <w:rsid w:val="00EA4C4B"/>
    <w:rsid w:val="00EB03EA"/>
    <w:rsid w:val="00EB053C"/>
    <w:rsid w:val="00EB3963"/>
    <w:rsid w:val="00EB41B9"/>
    <w:rsid w:val="00EB6DC0"/>
    <w:rsid w:val="00EB7A10"/>
    <w:rsid w:val="00EC0F74"/>
    <w:rsid w:val="00EC5BCA"/>
    <w:rsid w:val="00ED2678"/>
    <w:rsid w:val="00ED72EF"/>
    <w:rsid w:val="00EF3270"/>
    <w:rsid w:val="00EF348C"/>
    <w:rsid w:val="00EF4D8E"/>
    <w:rsid w:val="00EF5900"/>
    <w:rsid w:val="00EF7ADC"/>
    <w:rsid w:val="00EF7F2E"/>
    <w:rsid w:val="00EF7FA2"/>
    <w:rsid w:val="00F139AF"/>
    <w:rsid w:val="00F34B16"/>
    <w:rsid w:val="00F34EF1"/>
    <w:rsid w:val="00F44EA4"/>
    <w:rsid w:val="00F45A24"/>
    <w:rsid w:val="00F47D33"/>
    <w:rsid w:val="00F50257"/>
    <w:rsid w:val="00F6655E"/>
    <w:rsid w:val="00F67728"/>
    <w:rsid w:val="00F74E55"/>
    <w:rsid w:val="00F755EA"/>
    <w:rsid w:val="00F7774F"/>
    <w:rsid w:val="00F80766"/>
    <w:rsid w:val="00FA27E0"/>
    <w:rsid w:val="00FA3FF0"/>
    <w:rsid w:val="00FB0045"/>
    <w:rsid w:val="00FB0B53"/>
    <w:rsid w:val="00FB7518"/>
    <w:rsid w:val="00FB7DD1"/>
    <w:rsid w:val="00FC5321"/>
    <w:rsid w:val="00FC750A"/>
    <w:rsid w:val="00FC7BB3"/>
    <w:rsid w:val="00FD27E3"/>
    <w:rsid w:val="00FE2BDF"/>
    <w:rsid w:val="00FE3436"/>
    <w:rsid w:val="00FE3C9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90A65-C8F1-495B-AFEC-36DC1610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Zbyvatelová Jana</dc:creator>
  <cp:lastModifiedBy>Dagmar Kovacova</cp:lastModifiedBy>
  <cp:revision>3</cp:revision>
  <dcterms:created xsi:type="dcterms:W3CDTF">2022-01-29T09:26:00Z</dcterms:created>
  <dcterms:modified xsi:type="dcterms:W3CDTF">2022-01-29T09:35:00Z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