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D7" w:rsidRDefault="00BC28FF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4001D7" w:rsidRDefault="004001D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001D7" w:rsidRDefault="00BC28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), mezi stranami:</w:t>
      </w:r>
    </w:p>
    <w:p w:rsidR="004001D7" w:rsidRDefault="004001D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:rsidR="004001D7" w:rsidRDefault="00BC28FF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4001D7" w:rsidRDefault="00BC28FF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4001D7" w:rsidRDefault="00BC28FF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Organizace je vedena v živn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001D7" w:rsidRDefault="00BC28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4001D7" w:rsidRDefault="004001D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001D7" w:rsidRDefault="00BC28F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Pavel Haas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Quartet</w:t>
      </w:r>
      <w:proofErr w:type="spellEnd"/>
    </w:p>
    <w:p w:rsidR="004001D7" w:rsidRDefault="00BC28F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Mgr. Michal Medek, U Svodnice 848, 500 04 Hradec Králové</w:t>
      </w:r>
    </w:p>
    <w:p w:rsidR="004001D7" w:rsidRDefault="00BC28FF">
      <w:pPr>
        <w:widowControl w:val="0"/>
        <w:spacing w:line="288" w:lineRule="auto"/>
        <w:ind w:left="2160"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IČ: 68457278</w:t>
      </w:r>
    </w:p>
    <w:p w:rsidR="004001D7" w:rsidRDefault="00BC28F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Daňový rezident: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ČR</w:t>
      </w:r>
    </w:p>
    <w:p w:rsidR="004001D7" w:rsidRDefault="00BC28F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>ontakt: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172A32">
        <w:rPr>
          <w:rFonts w:ascii="Times New Roman" w:eastAsia="Times New Roman" w:hAnsi="Times New Roman" w:cs="Times New Roman"/>
          <w:b/>
          <w:sz w:val="22"/>
          <w:szCs w:val="22"/>
        </w:rPr>
        <w:t>xxxxxxxxxxxxxxxxxxxxxx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001D7" w:rsidRDefault="004001D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001D7" w:rsidRDefault="004001D7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4001D7" w:rsidRDefault="00BC28FF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Majitel účtu (jméno):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>Mgr. Michal Medek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Adresa majitele účtu: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U Svodnice 848, 500 04 Hradec Králové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Číslo účtu: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172A32">
        <w:rPr>
          <w:rFonts w:ascii="Times New Roman" w:eastAsia="Times New Roman" w:hAnsi="Times New Roman" w:cs="Times New Roman"/>
          <w:b/>
          <w:sz w:val="22"/>
          <w:szCs w:val="22"/>
        </w:rPr>
        <w:t>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Název banky: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72A32">
        <w:rPr>
          <w:rFonts w:ascii="Times New Roman" w:eastAsia="Times New Roman" w:hAnsi="Times New Roman" w:cs="Times New Roman"/>
          <w:b/>
          <w:sz w:val="22"/>
          <w:szCs w:val="22"/>
        </w:rPr>
        <w:t>xxxxxxxxxxxxxxxx</w:t>
      </w:r>
      <w:bookmarkStart w:id="1" w:name="_GoBack"/>
      <w:bookmarkEnd w:id="1"/>
    </w:p>
    <w:p w:rsidR="004001D7" w:rsidRDefault="004001D7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001D7" w:rsidRDefault="00BC28F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 tato Smlouva o provedení uměleckého výkonu dále také jako „Smlouva“)</w:t>
      </w:r>
    </w:p>
    <w:p w:rsidR="004001D7" w:rsidRDefault="00BC28F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eading=h.1fob9te" w:colFirst="0" w:colLast="0"/>
      <w:bookmarkEnd w:id="3"/>
      <w:r>
        <w:br w:type="page"/>
      </w:r>
    </w:p>
    <w:p w:rsidR="004001D7" w:rsidRDefault="00BC28FF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:rsidR="004001D7" w:rsidRDefault="004001D7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koncert K3 </w:t>
      </w:r>
    </w:p>
    <w:p w:rsidR="004001D7" w:rsidRDefault="00BC28FF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31. 1. 2022, 19:00</w:t>
      </w:r>
    </w:p>
    <w:p w:rsidR="004001D7" w:rsidRDefault="00BC28FF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Společenský sál Domu kultury města Ostravy</w:t>
      </w:r>
    </w:p>
    <w:p w:rsidR="004001D7" w:rsidRDefault="00BC28FF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J. Suk: Smyčcový kvartet č. 2: Meditace na staročeský chorál Svatý Václave </w:t>
      </w:r>
    </w:p>
    <w:p w:rsidR="004001D7" w:rsidRDefault="00BC28FF">
      <w:pPr>
        <w:widowControl w:val="0"/>
        <w:spacing w:line="288" w:lineRule="auto"/>
        <w:ind w:left="2573" w:firstLine="30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W.Korngold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: Smyčcový kvartet č. 3 D dur op 34</w:t>
      </w:r>
    </w:p>
    <w:p w:rsidR="004001D7" w:rsidRDefault="00BC28FF">
      <w:pPr>
        <w:widowControl w:val="0"/>
        <w:spacing w:line="288" w:lineRule="auto"/>
        <w:ind w:left="2573" w:firstLine="30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přestávka</w:t>
      </w:r>
    </w:p>
    <w:p w:rsidR="004001D7" w:rsidRDefault="00BC28FF">
      <w:pPr>
        <w:widowControl w:val="0"/>
        <w:spacing w:line="288" w:lineRule="auto"/>
        <w:ind w:left="2573" w:firstLine="30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A. Dvořák: Smyčcový </w:t>
      </w:r>
      <w:r>
        <w:rPr>
          <w:rFonts w:ascii="Times New Roman" w:eastAsia="Times New Roman" w:hAnsi="Times New Roman" w:cs="Times New Roman"/>
          <w:sz w:val="22"/>
          <w:szCs w:val="22"/>
        </w:rPr>
        <w:t>kvartet č. 13 G dur op 106</w:t>
      </w:r>
    </w:p>
    <w:p w:rsidR="004001D7" w:rsidRDefault="00BC28FF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Pavel Haas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Quartet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(Účinkující)</w:t>
      </w:r>
    </w:p>
    <w:p w:rsidR="004001D7" w:rsidRDefault="00BC28FF">
      <w:pPr>
        <w:widowControl w:val="0"/>
        <w:numPr>
          <w:ilvl w:val="1"/>
          <w:numId w:val="7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4001D7" w:rsidRDefault="00BC28FF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pondělí 31. 1.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16:00-18:00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generální zkouška (sál)</w:t>
      </w:r>
    </w:p>
    <w:p w:rsidR="004001D7" w:rsidRDefault="00BC28FF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(sál)</w:t>
      </w:r>
    </w:p>
    <w:p w:rsidR="004001D7" w:rsidRDefault="004001D7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k účasti na výše uvedené Produkci, být plně připraven k uvedenému vý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konu, a to na adekvátní umělecké úrovni.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4001D7" w:rsidRDefault="004001D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sám, na což mu Pořadatel přispívá, jak je uvedeno dále.</w:t>
      </w:r>
    </w:p>
    <w:p w:rsidR="004001D7" w:rsidRDefault="004001D7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Účinkujícímu ubytování a lokální přesuny v rámci Ostravy (tj. dopravu z/na nádraží/letiště, dopravu z hotelu na zkoušky a konce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rt vždy 30 minut před začátkem).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Produkce může být Pořadatelem nahrávána pro archivní účely. V případě, že by byl Záznam využit jinak, bude o tomto uzavřena doplňující smlouva o poskytnutí licence.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cké dokumentace Produkce a souhlasí, že takto pořízené fotky mohou být použity k propagačním účelům.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se zavazuje poskytnout Pořadateli min 1 ks fotografie v kvalitě pro tisk (min. 300 dpi, 1 MB), která bude využita k propagaci společného vysto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upení v propagačních materiálech a komunikačních kanálech JFO. Účinkující souhlasí s pořizováním fotografií během Produkce a zároveň souhlasí s jejich využitím v rámci propagace akce.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75 000 CZK (slovy: sedmdesát-pět-tisíc-Korun-českých)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hrubého,dále</w:t>
      </w:r>
      <w:proofErr w:type="spellEnd"/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pak cestovní náhradu ve sjednané výši 4000 CZK (slovy: čtyři-tisíce-Korun-českých) hrubého, celkem tedy 79 000 CZK (slovy: sedmdesát-devět-tisíc-Korun-českých)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hrubého,a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to na základě faktu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ry vystavené po provedení Produkce. Honorář pokrývá veškeré náklady spojené s výkonem v rámci Produkce.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</w:t>
      </w:r>
      <w:r>
        <w:rPr>
          <w:rFonts w:ascii="Times New Roman" w:eastAsia="Times New Roman" w:hAnsi="Times New Roman" w:cs="Times New Roman"/>
          <w:sz w:val="22"/>
          <w:szCs w:val="22"/>
        </w:rPr>
        <w:t>b., o daních z příjmů). Na základě písemné žádosti vystaví Pořadatel Účinkujícímu potvrzení o zaplacení daně.</w:t>
      </w:r>
    </w:p>
    <w:p w:rsidR="004001D7" w:rsidRDefault="004001D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 případě, že je Účinkující plátcem DPH, Odměnou dle odst. 1 tohoto článku se rozumí celková částka včetně daně z přidané hodnoty.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Veškeré tran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sakční poplatky spojené s úhradou Odměny hradí Pořadatel.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4001D7" w:rsidRDefault="004001D7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ontrolu (politická regulace, válka,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přírodní katastrofa nebo obdobný zásah vyšší moci), a jejich nesplnění povede ke znemožnění provedení Produkce, je Účinkující povinen uhradit Pořadateli smluvní pokutu ve výši 100 % dohodnutého honoráře dle článku III. (</w:t>
      </w:r>
      <w:r>
        <w:rPr>
          <w:rFonts w:ascii="Times New Roman" w:eastAsia="Times New Roman" w:hAnsi="Times New Roman" w:cs="Times New Roman"/>
          <w:sz w:val="22"/>
          <w:szCs w:val="22"/>
        </w:rPr>
        <w:t>bez příspěvku na dopravu); a přichází tím o nárok na Odměnu dle čl. III. této Smlouvy.</w:t>
      </w:r>
    </w:p>
    <w:p w:rsidR="004001D7" w:rsidRDefault="004001D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</w:t>
      </w:r>
      <w:r>
        <w:rPr>
          <w:rFonts w:ascii="Times New Roman" w:eastAsia="Times New Roman" w:hAnsi="Times New Roman" w:cs="Times New Roman"/>
          <w:sz w:val="22"/>
          <w:szCs w:val="22"/>
        </w:rPr>
        <w:t>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</w:t>
      </w:r>
      <w:r>
        <w:rPr>
          <w:rFonts w:ascii="Times New Roman" w:eastAsia="Times New Roman" w:hAnsi="Times New Roman" w:cs="Times New Roman"/>
          <w:sz w:val="22"/>
          <w:szCs w:val="22"/>
        </w:rPr>
        <w:t>l povinen uhradit Účinkujícímu celou odměnu jak je uvedeno výše (bez příspěvku na dopravu). Případné další výdaje nejsou Pořadatelem hrazeny.</w:t>
      </w:r>
    </w:p>
    <w:p w:rsidR="004001D7" w:rsidRDefault="004001D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4001D7" w:rsidRDefault="004001D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bez dalšího k zániku práv a povinností z této Smlouvy. Zásadní změny podmínek Smlouvy budou předmětem vzájemné a řádně zdokumentované dohody obou stran.</w:t>
      </w:r>
    </w:p>
    <w:p w:rsidR="004001D7" w:rsidRDefault="004001D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</w:t>
      </w:r>
      <w:r>
        <w:rPr>
          <w:rFonts w:ascii="Times New Roman" w:eastAsia="Times New Roman" w:hAnsi="Times New Roman" w:cs="Times New Roman"/>
          <w:sz w:val="22"/>
          <w:szCs w:val="22"/>
        </w:rPr>
        <w:t>akýchkoli sporů, které nebudou vyřešeny Smluvními stranami smírně, jsou soudy České republiky, a to soudy místně příslušné na straně Pořadatele.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:rsidR="004001D7" w:rsidRDefault="004001D7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BC28FF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Smluvní stran</w:t>
      </w:r>
      <w:r>
        <w:rPr>
          <w:rFonts w:ascii="Times New Roman" w:eastAsia="Times New Roman" w:hAnsi="Times New Roman" w:cs="Times New Roman"/>
          <w:sz w:val="22"/>
          <w:szCs w:val="22"/>
        </w:rPr>
        <w:t>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dpisu poslední ze Smluvních stran. Pokud tato Smlouva podléhá zákonu o registru smluv č. 340/2015 Sb., stává se účinnou dnem zveřejnění v Registru smluv. </w:t>
      </w:r>
    </w:p>
    <w:p w:rsidR="004001D7" w:rsidRDefault="004001D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001D7" w:rsidRDefault="004001D7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heading=h.2s8eyo1" w:colFirst="0" w:colLast="0"/>
      <w:bookmarkEnd w:id="10"/>
    </w:p>
    <w:tbl>
      <w:tblPr>
        <w:tblStyle w:val="a0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4001D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BC28F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BC28F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4001D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4001D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4001D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001D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4001D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4001D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001D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4001D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4001D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001D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BC28F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BC28FF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4001D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BC28FF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BC28FF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4001D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4001D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4001D7" w:rsidRDefault="004001D7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001D7" w:rsidRDefault="004001D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400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FF" w:rsidRDefault="00BC28FF">
      <w:r>
        <w:separator/>
      </w:r>
    </w:p>
  </w:endnote>
  <w:endnote w:type="continuationSeparator" w:id="0">
    <w:p w:rsidR="00BC28FF" w:rsidRDefault="00BC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7" w:rsidRDefault="00BC28FF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7" w:rsidRDefault="00BC28FF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7" w:rsidRDefault="004001D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FF" w:rsidRDefault="00BC28FF">
      <w:r>
        <w:separator/>
      </w:r>
    </w:p>
  </w:footnote>
  <w:footnote w:type="continuationSeparator" w:id="0">
    <w:p w:rsidR="00BC28FF" w:rsidRDefault="00BC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7" w:rsidRDefault="00BC28FF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4001D7" w:rsidRDefault="004001D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7" w:rsidRDefault="00BC28F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4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7" w:rsidRDefault="004001D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44E0"/>
    <w:multiLevelType w:val="multilevel"/>
    <w:tmpl w:val="0EDEBF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975406"/>
    <w:multiLevelType w:val="multilevel"/>
    <w:tmpl w:val="830CC3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A357CC"/>
    <w:multiLevelType w:val="multilevel"/>
    <w:tmpl w:val="DDBE6D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8144C4"/>
    <w:multiLevelType w:val="multilevel"/>
    <w:tmpl w:val="948E8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025853"/>
    <w:multiLevelType w:val="multilevel"/>
    <w:tmpl w:val="5226D0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D05D80"/>
    <w:multiLevelType w:val="multilevel"/>
    <w:tmpl w:val="8B8CFA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B0919AE"/>
    <w:multiLevelType w:val="multilevel"/>
    <w:tmpl w:val="97586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D7"/>
    <w:rsid w:val="00172A32"/>
    <w:rsid w:val="004001D7"/>
    <w:rsid w:val="00B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95A9D-378D-47A6-9D60-41B054FD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77BDD"/>
  </w:style>
  <w:style w:type="paragraph" w:styleId="Nadpis1">
    <w:name w:val="heading 1"/>
    <w:basedOn w:val="Normln"/>
    <w:next w:val="Normln"/>
    <w:rsid w:val="00177B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177B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177B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177B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177B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177BDD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177B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7B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77BDD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0B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B0B"/>
    <w:rPr>
      <w:rFonts w:ascii="Tahoma" w:hAnsi="Tahoma" w:cs="Tahoma"/>
      <w:sz w:val="16"/>
      <w:szCs w:val="16"/>
    </w:r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/3ip0byQSNmW1OczFwO98zh8iA==">AMUW2mX3xfKcvK13eyd2I+C7s+YrEbRcgXbGMEKaZinvE2XjC9uGH1OSZgKOlTfujqBDE53ibemAKKGbd/Ja4ZCyycNgdPA6ME7Ii+4mDQ4inKXd918DlgPaICg5hStEJQF2qSA7Cm8drWrHr1veKnK3a/Dtk/hyRHiYGAIaxAj9mtkzPNUCSx+mSCishofLLH7hOSakgWhNJszwRc85vVqNk1+O+GoQaXKsy4HQfAmLhfamTc4DAQOm/8RZInLp3rM9ElqoY7zy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dcterms:created xsi:type="dcterms:W3CDTF">2022-01-28T14:58:00Z</dcterms:created>
  <dcterms:modified xsi:type="dcterms:W3CDTF">2022-01-28T14:58:00Z</dcterms:modified>
</cp:coreProperties>
</file>