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D70C" w14:textId="77777777" w:rsidR="00715E7E" w:rsidRDefault="00E730EE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započtení pohledávek</w:t>
      </w:r>
    </w:p>
    <w:p w14:paraId="0A0DC446" w14:textId="77777777" w:rsidR="00715E7E" w:rsidRDefault="00E730EE">
      <w:pPr>
        <w:pBdr>
          <w:bottom w:val="single" w:sz="6" w:space="1" w:color="000000"/>
        </w:pBd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smyslu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1982 a násl. zákona č. 89/2012 Sb., Občanský zákoník</w:t>
      </w:r>
    </w:p>
    <w:p w14:paraId="4D2F6DE5" w14:textId="77777777" w:rsidR="00715E7E" w:rsidRDefault="00715E7E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</w:p>
    <w:p w14:paraId="2F97DA6F" w14:textId="77777777" w:rsidR="00715E7E" w:rsidRDefault="00E730E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Město Hořice</w:t>
      </w:r>
    </w:p>
    <w:p w14:paraId="6FA3B1E8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508 01 Hořice, nám. Jiřího z Poděbrad 342</w:t>
      </w:r>
    </w:p>
    <w:p w14:paraId="75ED0C76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zastoupené starostou města Alešem Svobodou      </w:t>
      </w:r>
    </w:p>
    <w:p w14:paraId="2203FC63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 00271560    DIČ: CZ00271560</w:t>
      </w:r>
    </w:p>
    <w:p w14:paraId="0DF61CA3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spojení: č.ú.19-1161157329/0800 </w:t>
      </w:r>
    </w:p>
    <w:p w14:paraId="35B5554F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b/>
          <w:bCs/>
          <w:sz w:val="18"/>
          <w:szCs w:val="18"/>
        </w:rPr>
        <w:t>Město</w:t>
      </w:r>
      <w:r>
        <w:rPr>
          <w:rFonts w:ascii="Arial" w:hAnsi="Arial" w:cs="Arial"/>
          <w:sz w:val="18"/>
          <w:szCs w:val="18"/>
        </w:rPr>
        <w:t>“)</w:t>
      </w:r>
    </w:p>
    <w:p w14:paraId="0896851B" w14:textId="77777777" w:rsidR="00715E7E" w:rsidRDefault="00715E7E">
      <w:pPr>
        <w:spacing w:line="276" w:lineRule="auto"/>
        <w:rPr>
          <w:rFonts w:ascii="Arial" w:hAnsi="Arial" w:cs="Arial"/>
          <w:sz w:val="18"/>
          <w:szCs w:val="18"/>
        </w:rPr>
      </w:pPr>
    </w:p>
    <w:p w14:paraId="117D0247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03CD0A61" w14:textId="77777777" w:rsidR="00715E7E" w:rsidRDefault="00715E7E">
      <w:pPr>
        <w:spacing w:line="276" w:lineRule="auto"/>
        <w:rPr>
          <w:rFonts w:ascii="Arial" w:hAnsi="Arial" w:cs="Arial"/>
          <w:sz w:val="18"/>
          <w:szCs w:val="18"/>
        </w:rPr>
      </w:pPr>
    </w:p>
    <w:p w14:paraId="6C13E1A2" w14:textId="77777777" w:rsidR="00715E7E" w:rsidRDefault="00E730E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Švamberk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Invest,s</w:t>
      </w:r>
      <w:proofErr w:type="spellEnd"/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r.o.</w:t>
      </w:r>
    </w:p>
    <w:p w14:paraId="51C3FF1C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Pálavské nám. 4286/3c, 628 00 Brno</w:t>
      </w:r>
    </w:p>
    <w:p w14:paraId="671EA75E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26297256 </w:t>
      </w:r>
    </w:p>
    <w:p w14:paraId="1E07A4F5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zastoupena jednatelkou paní Petrou </w:t>
      </w:r>
      <w:proofErr w:type="spellStart"/>
      <w:r>
        <w:rPr>
          <w:rFonts w:ascii="Arial" w:hAnsi="Arial" w:cs="Arial"/>
          <w:sz w:val="18"/>
          <w:szCs w:val="18"/>
        </w:rPr>
        <w:t>Švamberkovou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264FFC62" w14:textId="77777777" w:rsidR="00715E7E" w:rsidRDefault="00E730E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Švamberk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Invest</w:t>
      </w:r>
      <w:r>
        <w:rPr>
          <w:rFonts w:ascii="Arial" w:hAnsi="Arial" w:cs="Arial"/>
          <w:sz w:val="18"/>
          <w:szCs w:val="18"/>
        </w:rPr>
        <w:t>“)</w:t>
      </w:r>
    </w:p>
    <w:p w14:paraId="659209F9" w14:textId="77777777" w:rsidR="00715E7E" w:rsidRDefault="00715E7E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2E959583" w14:textId="77777777" w:rsidR="00715E7E" w:rsidRDefault="00E730E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Město a </w:t>
      </w:r>
      <w:proofErr w:type="spellStart"/>
      <w:r>
        <w:rPr>
          <w:rFonts w:ascii="Arial" w:hAnsi="Arial" w:cs="Arial"/>
          <w:sz w:val="18"/>
          <w:szCs w:val="18"/>
        </w:rPr>
        <w:t>Švamberk</w:t>
      </w:r>
      <w:proofErr w:type="spellEnd"/>
      <w:r>
        <w:rPr>
          <w:rFonts w:ascii="Arial" w:hAnsi="Arial" w:cs="Arial"/>
          <w:sz w:val="18"/>
          <w:szCs w:val="18"/>
        </w:rPr>
        <w:t xml:space="preserve"> Invest budou dále společně označováni jako „Strany“, samostatně pak každý jen jako „Strana“.</w:t>
      </w:r>
    </w:p>
    <w:p w14:paraId="3B958653" w14:textId="77777777" w:rsidR="00715E7E" w:rsidRDefault="00715E7E">
      <w:pPr>
        <w:pStyle w:val="Nadpis1"/>
        <w:tabs>
          <w:tab w:val="left" w:pos="0"/>
        </w:tabs>
        <w:spacing w:before="120" w:after="120" w:line="276" w:lineRule="auto"/>
        <w:ind w:left="0"/>
        <w:rPr>
          <w:rFonts w:ascii="Arial" w:eastAsia="MS Mincho" w:hAnsi="Arial" w:cs="Arial"/>
          <w:sz w:val="18"/>
          <w:szCs w:val="18"/>
        </w:rPr>
      </w:pPr>
    </w:p>
    <w:p w14:paraId="724EFFC8" w14:textId="77777777" w:rsidR="00715E7E" w:rsidRDefault="00E730EE">
      <w:pPr>
        <w:pStyle w:val="Nadpis1"/>
        <w:tabs>
          <w:tab w:val="left" w:pos="0"/>
        </w:tabs>
        <w:spacing w:before="120" w:after="120" w:line="276" w:lineRule="auto"/>
        <w:ind w:left="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Článek 1</w:t>
      </w:r>
    </w:p>
    <w:p w14:paraId="5BB78F7E" w14:textId="77777777" w:rsidR="00715E7E" w:rsidRDefault="00E730EE">
      <w:pPr>
        <w:pStyle w:val="Nadpis1"/>
        <w:tabs>
          <w:tab w:val="left" w:pos="0"/>
        </w:tabs>
        <w:spacing w:before="120" w:after="120" w:line="276" w:lineRule="auto"/>
        <w:ind w:left="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Prohlášení Smluvních stran</w:t>
      </w:r>
    </w:p>
    <w:p w14:paraId="2C08CE15" w14:textId="77777777" w:rsidR="00715E7E" w:rsidRDefault="00E730EE">
      <w:pPr>
        <w:numPr>
          <w:ilvl w:val="1"/>
          <w:numId w:val="3"/>
        </w:numPr>
        <w:spacing w:after="120" w:line="276" w:lineRule="auto"/>
        <w:ind w:left="567" w:hanging="567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Strany shodně prohlašují, že na základě nájemní smlouvy uzavřené s Městem ze dne 17.10. 2006 byl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Švamberk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Invest nájemcem prostor v domě č. p. 154, ul. Nám Jiřího z Poděbrad, Hořice (dále jen „</w:t>
      </w:r>
      <w:r>
        <w:rPr>
          <w:rFonts w:ascii="Arial" w:hAnsi="Arial" w:cs="Arial"/>
          <w:b/>
          <w:color w:val="000000"/>
          <w:sz w:val="18"/>
          <w:szCs w:val="18"/>
        </w:rPr>
        <w:t>Nebytové prostory“)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o výměře nejprve 628,50m</w:t>
      </w:r>
      <w:r>
        <w:rPr>
          <w:rFonts w:ascii="Arial" w:hAnsi="Arial" w:cs="Arial"/>
          <w:bCs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(dále jen „</w:t>
      </w:r>
      <w:r>
        <w:rPr>
          <w:rFonts w:ascii="Arial" w:hAnsi="Arial" w:cs="Arial"/>
          <w:b/>
          <w:color w:val="000000"/>
          <w:sz w:val="18"/>
          <w:szCs w:val="18"/>
        </w:rPr>
        <w:t>Nájemní smlouva“</w:t>
      </w:r>
      <w:r>
        <w:rPr>
          <w:rFonts w:ascii="Arial" w:hAnsi="Arial" w:cs="Arial"/>
          <w:bCs/>
          <w:color w:val="000000"/>
          <w:sz w:val="18"/>
          <w:szCs w:val="18"/>
        </w:rPr>
        <w:t>), posléze ve znění dodatku č. 2 k Nájemní smlouvě o celkové výměře 564 m</w:t>
      </w:r>
      <w:r>
        <w:rPr>
          <w:rFonts w:ascii="Arial" w:hAnsi="Arial" w:cs="Arial"/>
          <w:bCs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8D6D863" w14:textId="77777777" w:rsidR="00715E7E" w:rsidRDefault="00E730EE">
      <w:pPr>
        <w:widowControl w:val="0"/>
        <w:numPr>
          <w:ilvl w:val="1"/>
          <w:numId w:val="3"/>
        </w:numPr>
        <w:spacing w:after="120" w:line="276" w:lineRule="auto"/>
        <w:ind w:left="567" w:hanging="567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Strany dále shodně prohlašují, že nájemní vztah založený Nájemní smlouvou skončil ke dni 31. 12. 2021. Pro případ, že na základě skončeného nájmu a předání Nebytových prostor na základě předávacího protokolu, budou zjištěny škody na pronajatých prostorách (kromě běžného opotřebení), či jiné nedostatky co do vyklizení a úklidu, zavazuje se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Švamberk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Invest tuto škodu či náklady na odstranění jiných nedostatků uhradit Městu nejpozději do 30 dnů ode dne podpisu předávacího protokolu. 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Švamberk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Inverst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se dále zavazuje, že ke dni předání Nebytových </w:t>
      </w:r>
      <w:proofErr w:type="gramStart"/>
      <w:r>
        <w:rPr>
          <w:rFonts w:ascii="Arial" w:hAnsi="Arial" w:cs="Arial"/>
          <w:bCs/>
          <w:color w:val="000000"/>
          <w:sz w:val="18"/>
          <w:szCs w:val="18"/>
        </w:rPr>
        <w:t>prostor  Městu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 xml:space="preserve"> na základě předávacího protokolu (nejpozději ke dni 28.2.2022), bude mít zaplaceny (vyrovnány) všechny případné nedoplatky na zálohách na služby souvisejících s pronájmem Nebytových prostor.  </w:t>
      </w:r>
    </w:p>
    <w:p w14:paraId="1538493A" w14:textId="77777777" w:rsidR="00715E7E" w:rsidRDefault="00715E7E">
      <w:pPr>
        <w:pStyle w:val="Nadpis1"/>
        <w:keepNext w:val="0"/>
        <w:widowControl w:val="0"/>
        <w:tabs>
          <w:tab w:val="left" w:pos="0"/>
        </w:tabs>
        <w:spacing w:before="120" w:after="120" w:line="276" w:lineRule="auto"/>
        <w:ind w:left="0"/>
        <w:rPr>
          <w:rFonts w:ascii="Arial" w:eastAsia="MS Mincho" w:hAnsi="Arial" w:cs="Arial"/>
          <w:color w:val="000000"/>
          <w:sz w:val="18"/>
          <w:szCs w:val="18"/>
        </w:rPr>
      </w:pPr>
    </w:p>
    <w:p w14:paraId="2B5DE1D4" w14:textId="77777777" w:rsidR="00715E7E" w:rsidRDefault="00E730EE">
      <w:pPr>
        <w:pStyle w:val="Nadpis1"/>
        <w:keepNext w:val="0"/>
        <w:widowControl w:val="0"/>
        <w:tabs>
          <w:tab w:val="left" w:pos="0"/>
        </w:tabs>
        <w:spacing w:before="120" w:after="120" w:line="276" w:lineRule="auto"/>
        <w:ind w:left="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Článek 2</w:t>
      </w:r>
    </w:p>
    <w:p w14:paraId="4BAD5EDA" w14:textId="77777777" w:rsidR="00715E7E" w:rsidRDefault="00E730EE">
      <w:pPr>
        <w:pStyle w:val="Nadpis1"/>
        <w:keepNext w:val="0"/>
        <w:widowControl w:val="0"/>
        <w:tabs>
          <w:tab w:val="left" w:pos="0"/>
        </w:tabs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Vymezení pohledávek k započtení</w:t>
      </w:r>
    </w:p>
    <w:p w14:paraId="551CAD0E" w14:textId="77777777" w:rsidR="00715E7E" w:rsidRDefault="00E730EE">
      <w:pPr>
        <w:widowControl w:val="0"/>
        <w:numPr>
          <w:ilvl w:val="0"/>
          <w:numId w:val="1"/>
        </w:numPr>
        <w:tabs>
          <w:tab w:val="left" w:pos="540"/>
        </w:tabs>
        <w:spacing w:after="120" w:line="276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Strany prohlašují, že ke dni 31. 12. 2021 se staly splatnými mimo jiné v tomto článku vymezené pohledávky mezi stranami. </w:t>
      </w:r>
    </w:p>
    <w:p w14:paraId="4827E673" w14:textId="77777777" w:rsidR="00715E7E" w:rsidRDefault="00E730EE">
      <w:pPr>
        <w:widowControl w:val="0"/>
        <w:numPr>
          <w:ilvl w:val="0"/>
          <w:numId w:val="1"/>
        </w:numPr>
        <w:tabs>
          <w:tab w:val="left" w:pos="540"/>
        </w:tabs>
        <w:spacing w:after="120" w:line="276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Pohledávky </w:t>
      </w:r>
      <w:proofErr w:type="spellStart"/>
      <w:r>
        <w:rPr>
          <w:rFonts w:ascii="Arial" w:hAnsi="Arial" w:cs="Arial"/>
          <w:sz w:val="18"/>
          <w:szCs w:val="18"/>
        </w:rPr>
        <w:t>Švamberk</w:t>
      </w:r>
      <w:proofErr w:type="spellEnd"/>
      <w:r>
        <w:rPr>
          <w:rFonts w:ascii="Arial" w:hAnsi="Arial" w:cs="Arial"/>
          <w:sz w:val="18"/>
          <w:szCs w:val="18"/>
        </w:rPr>
        <w:t xml:space="preserve"> Invest vůči Městu (dále jen „</w:t>
      </w:r>
      <w:r>
        <w:rPr>
          <w:rFonts w:ascii="Arial" w:hAnsi="Arial" w:cs="Arial"/>
          <w:b/>
          <w:bCs/>
          <w:sz w:val="18"/>
          <w:szCs w:val="18"/>
        </w:rPr>
        <w:t xml:space="preserve">Pohledávky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Švamberk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Invest</w:t>
      </w:r>
      <w:r>
        <w:rPr>
          <w:rFonts w:ascii="Arial" w:hAnsi="Arial" w:cs="Arial"/>
          <w:sz w:val="18"/>
          <w:szCs w:val="18"/>
        </w:rPr>
        <w:t>“):</w:t>
      </w:r>
    </w:p>
    <w:p w14:paraId="3DC0A6FD" w14:textId="77777777" w:rsidR="00715E7E" w:rsidRDefault="00E730EE">
      <w:pPr>
        <w:widowControl w:val="0"/>
        <w:numPr>
          <w:ilvl w:val="1"/>
          <w:numId w:val="1"/>
        </w:numPr>
        <w:spacing w:after="120" w:line="276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pohledávka z titulu technického zhodnocení stanoveného Městem zvoleným soudním znalcem Ing. </w:t>
      </w:r>
      <w:proofErr w:type="spellStart"/>
      <w:r>
        <w:rPr>
          <w:rFonts w:ascii="Arial" w:hAnsi="Arial" w:cs="Arial"/>
          <w:sz w:val="18"/>
          <w:szCs w:val="18"/>
        </w:rPr>
        <w:t>Jakwerthem</w:t>
      </w:r>
      <w:proofErr w:type="spellEnd"/>
      <w:r>
        <w:rPr>
          <w:rFonts w:ascii="Arial" w:hAnsi="Arial" w:cs="Arial"/>
          <w:sz w:val="18"/>
          <w:szCs w:val="18"/>
        </w:rPr>
        <w:t xml:space="preserve"> v rámci znaleckého posudku za prostory, vymezené v Nájemní smlouvě jako „Prodejna“ ve výši </w:t>
      </w:r>
      <w:r>
        <w:rPr>
          <w:rFonts w:ascii="Arial" w:hAnsi="Arial" w:cs="Arial"/>
          <w:b/>
          <w:bCs/>
          <w:sz w:val="18"/>
          <w:szCs w:val="18"/>
        </w:rPr>
        <w:t>2.189.562,28 vč. DPH</w:t>
      </w:r>
      <w:r>
        <w:rPr>
          <w:rFonts w:ascii="Arial" w:hAnsi="Arial" w:cs="Arial"/>
          <w:sz w:val="18"/>
          <w:szCs w:val="18"/>
        </w:rPr>
        <w:t xml:space="preserve"> (1.809.555,60 Kč bez DPH);</w:t>
      </w:r>
    </w:p>
    <w:p w14:paraId="22D31041" w14:textId="77777777" w:rsidR="00715E7E" w:rsidRDefault="00E730EE">
      <w:pPr>
        <w:widowControl w:val="0"/>
        <w:numPr>
          <w:ilvl w:val="1"/>
          <w:numId w:val="1"/>
        </w:numPr>
        <w:spacing w:after="120" w:line="276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pohledávka z titulu opravy silnoproudých rozvodů, jejíž výše činí dle posudku Ing. </w:t>
      </w:r>
      <w:proofErr w:type="spellStart"/>
      <w:r>
        <w:rPr>
          <w:rFonts w:ascii="Arial" w:hAnsi="Arial" w:cs="Arial"/>
          <w:sz w:val="18"/>
          <w:szCs w:val="18"/>
        </w:rPr>
        <w:t>Jakwertha</w:t>
      </w:r>
      <w:proofErr w:type="spellEnd"/>
      <w:r>
        <w:rPr>
          <w:rFonts w:ascii="Arial" w:hAnsi="Arial" w:cs="Arial"/>
          <w:sz w:val="18"/>
          <w:szCs w:val="18"/>
        </w:rPr>
        <w:t xml:space="preserve"> částku </w:t>
      </w:r>
      <w:r>
        <w:rPr>
          <w:rFonts w:ascii="Arial" w:hAnsi="Arial" w:cs="Arial"/>
          <w:b/>
          <w:bCs/>
          <w:sz w:val="18"/>
          <w:szCs w:val="18"/>
        </w:rPr>
        <w:t xml:space="preserve">344.850,-Kč vč. DPH </w:t>
      </w: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285.000,-</w:t>
      </w:r>
      <w:proofErr w:type="gramEnd"/>
      <w:r>
        <w:rPr>
          <w:rFonts w:ascii="Arial" w:hAnsi="Arial" w:cs="Arial"/>
          <w:sz w:val="18"/>
          <w:szCs w:val="18"/>
        </w:rPr>
        <w:t>Kč bez DPH),</w:t>
      </w:r>
    </w:p>
    <w:p w14:paraId="16234703" w14:textId="77777777" w:rsidR="00715E7E" w:rsidRDefault="00E730EE">
      <w:pPr>
        <w:widowControl w:val="0"/>
        <w:spacing w:after="120" w:line="276" w:lineRule="auto"/>
        <w:ind w:left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celkem tedy 2.534.412,28 Kč. </w:t>
      </w:r>
    </w:p>
    <w:p w14:paraId="6267F6CF" w14:textId="77777777" w:rsidR="00715E7E" w:rsidRDefault="00E730EE">
      <w:pPr>
        <w:widowControl w:val="0"/>
        <w:numPr>
          <w:ilvl w:val="0"/>
          <w:numId w:val="1"/>
        </w:numPr>
        <w:tabs>
          <w:tab w:val="left" w:pos="540"/>
        </w:tabs>
        <w:spacing w:after="120" w:line="276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Pohledávky Města vůči </w:t>
      </w:r>
      <w:proofErr w:type="spellStart"/>
      <w:r>
        <w:rPr>
          <w:rFonts w:ascii="Arial" w:hAnsi="Arial" w:cs="Arial"/>
          <w:sz w:val="18"/>
          <w:szCs w:val="18"/>
        </w:rPr>
        <w:t>Švamberk</w:t>
      </w:r>
      <w:proofErr w:type="spellEnd"/>
      <w:r>
        <w:rPr>
          <w:rFonts w:ascii="Arial" w:hAnsi="Arial" w:cs="Arial"/>
          <w:sz w:val="18"/>
          <w:szCs w:val="18"/>
        </w:rPr>
        <w:t xml:space="preserve"> Invest (dále jen „</w:t>
      </w:r>
      <w:r>
        <w:rPr>
          <w:rFonts w:ascii="Arial" w:hAnsi="Arial" w:cs="Arial"/>
          <w:b/>
          <w:bCs/>
          <w:sz w:val="18"/>
          <w:szCs w:val="18"/>
        </w:rPr>
        <w:t>Pohledávky Města</w:t>
      </w:r>
      <w:r>
        <w:rPr>
          <w:rFonts w:ascii="Arial" w:hAnsi="Arial" w:cs="Arial"/>
          <w:sz w:val="18"/>
          <w:szCs w:val="18"/>
        </w:rPr>
        <w:t>“):</w:t>
      </w:r>
    </w:p>
    <w:p w14:paraId="4974504B" w14:textId="77777777" w:rsidR="00715E7E" w:rsidRDefault="00E730EE">
      <w:pPr>
        <w:widowControl w:val="0"/>
        <w:numPr>
          <w:ilvl w:val="1"/>
          <w:numId w:val="1"/>
        </w:numPr>
        <w:spacing w:after="120" w:line="276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pohledávka z titulu dlužného nájemného za období od 2019 do 31. 12. 2021 ve výši </w:t>
      </w:r>
      <w:r>
        <w:rPr>
          <w:rFonts w:ascii="Arial" w:hAnsi="Arial" w:cs="Arial"/>
          <w:b/>
          <w:bCs/>
          <w:sz w:val="18"/>
          <w:szCs w:val="18"/>
        </w:rPr>
        <w:t>1.408.355,70 Kč</w:t>
      </w:r>
      <w:r>
        <w:rPr>
          <w:rFonts w:ascii="Arial" w:hAnsi="Arial" w:cs="Arial"/>
          <w:sz w:val="18"/>
          <w:szCs w:val="18"/>
        </w:rPr>
        <w:t>;</w:t>
      </w:r>
    </w:p>
    <w:p w14:paraId="0E393912" w14:textId="77777777" w:rsidR="00715E7E" w:rsidRDefault="00E730EE">
      <w:pPr>
        <w:widowControl w:val="0"/>
        <w:numPr>
          <w:ilvl w:val="1"/>
          <w:numId w:val="1"/>
        </w:numPr>
        <w:spacing w:after="120" w:line="276" w:lineRule="auto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pohledávka z titulu smluvního úroku z prodlení ve výši 0,1% dlužné částky za každý započatý den prodlení za období od 2019 do 31. 12. 2021 v celkové výši </w:t>
      </w:r>
      <w:r>
        <w:rPr>
          <w:rFonts w:ascii="Arial" w:hAnsi="Arial" w:cs="Arial"/>
          <w:b/>
          <w:bCs/>
          <w:sz w:val="18"/>
          <w:szCs w:val="18"/>
        </w:rPr>
        <w:t>868</w:t>
      </w:r>
      <w:r>
        <w:rPr>
          <w:rFonts w:ascii="Arial" w:hAnsi="Arial" w:cs="Arial"/>
          <w:b/>
          <w:bCs/>
          <w:color w:val="000000"/>
          <w:sz w:val="18"/>
          <w:szCs w:val="18"/>
        </w:rPr>
        <w:t>.383,34 Kč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14:paraId="444F29A0" w14:textId="77777777" w:rsidR="00715E7E" w:rsidRDefault="00E730EE">
      <w:pPr>
        <w:widowControl w:val="0"/>
        <w:spacing w:after="120" w:line="276" w:lineRule="auto"/>
        <w:ind w:left="54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celkem tedy 2.276.739,04 Kč</w:t>
      </w:r>
    </w:p>
    <w:p w14:paraId="2BFCC0E8" w14:textId="77777777" w:rsidR="00715E7E" w:rsidRDefault="00E730EE">
      <w:pPr>
        <w:widowControl w:val="0"/>
        <w:numPr>
          <w:ilvl w:val="0"/>
          <w:numId w:val="1"/>
        </w:numPr>
        <w:tabs>
          <w:tab w:val="left" w:pos="540"/>
        </w:tabs>
        <w:spacing w:after="120" w:line="276" w:lineRule="auto"/>
        <w:ind w:left="540" w:hanging="54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Pohledávky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Švamberk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Invest byly učiněny opakovaně nespornými, naposledy sdělením právní zástupkyně Města JUDr. Hany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Desenské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ze dne 22. 12. 2021 a Město je uznává co do důvodu a výše, kromě zhodnocení pekárny (dle ZP Ing.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Jakwertha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č. posudku 1412-44/2021).  </w:t>
      </w:r>
    </w:p>
    <w:p w14:paraId="1A815FB2" w14:textId="77777777" w:rsidR="00715E7E" w:rsidRDefault="00E730EE">
      <w:pPr>
        <w:widowControl w:val="0"/>
        <w:numPr>
          <w:ilvl w:val="0"/>
          <w:numId w:val="1"/>
        </w:numPr>
        <w:tabs>
          <w:tab w:val="left" w:pos="540"/>
        </w:tabs>
        <w:spacing w:after="120" w:line="276" w:lineRule="auto"/>
        <w:ind w:left="540" w:hanging="54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Strany prohlašují, že všechny výše uvedené pohledávky jsou splatné a způsobilé započtení. </w:t>
      </w:r>
    </w:p>
    <w:p w14:paraId="7040FA37" w14:textId="77777777" w:rsidR="00715E7E" w:rsidRDefault="00715E7E">
      <w:pPr>
        <w:pStyle w:val="Nadpis1"/>
        <w:keepNext w:val="0"/>
        <w:widowControl w:val="0"/>
        <w:tabs>
          <w:tab w:val="left" w:pos="0"/>
        </w:tabs>
        <w:spacing w:after="120" w:line="276" w:lineRule="auto"/>
        <w:ind w:left="0"/>
        <w:rPr>
          <w:rFonts w:ascii="Arial" w:hAnsi="Arial" w:cs="Arial"/>
          <w:sz w:val="18"/>
          <w:szCs w:val="18"/>
        </w:rPr>
      </w:pPr>
    </w:p>
    <w:p w14:paraId="07CC05EC" w14:textId="77777777" w:rsidR="00715E7E" w:rsidRDefault="00E730EE">
      <w:pPr>
        <w:pStyle w:val="Nadpis1"/>
        <w:keepNext w:val="0"/>
        <w:widowControl w:val="0"/>
        <w:tabs>
          <w:tab w:val="left" w:pos="0"/>
        </w:tabs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Článek 3</w:t>
      </w:r>
    </w:p>
    <w:p w14:paraId="390BDE9D" w14:textId="77777777" w:rsidR="00715E7E" w:rsidRDefault="00E730EE">
      <w:pPr>
        <w:pStyle w:val="Nadpis1"/>
        <w:keepNext w:val="0"/>
        <w:widowControl w:val="0"/>
        <w:tabs>
          <w:tab w:val="left" w:pos="0"/>
        </w:tabs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započtení</w:t>
      </w:r>
    </w:p>
    <w:p w14:paraId="17680980" w14:textId="77777777" w:rsidR="00715E7E" w:rsidRDefault="00E730EE">
      <w:pPr>
        <w:widowControl w:val="0"/>
        <w:numPr>
          <w:ilvl w:val="0"/>
          <w:numId w:val="2"/>
        </w:numPr>
        <w:tabs>
          <w:tab w:val="left" w:pos="540"/>
        </w:tabs>
        <w:spacing w:after="12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Strany prohlašují, že byly započteny pohledávky specifikované v čl. 2 této Dohody, kdy po zápočtu zbývá pohledávka ve výši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257.673,24 Kč. </w:t>
      </w:r>
      <w:r>
        <w:rPr>
          <w:rFonts w:ascii="Arial" w:hAnsi="Arial" w:cs="Arial"/>
          <w:color w:val="000000"/>
          <w:sz w:val="18"/>
          <w:szCs w:val="18"/>
        </w:rPr>
        <w:t xml:space="preserve">Pohledávky v rozsahu, v němž se při zápočtu překrývají, započtením v souladu s § 1982 odst. 2 z. č. 89/2012 Sb. zanikají. </w:t>
      </w:r>
    </w:p>
    <w:p w14:paraId="0D412C86" w14:textId="77777777" w:rsidR="00715E7E" w:rsidRDefault="00E730EE">
      <w:pPr>
        <w:widowControl w:val="0"/>
        <w:numPr>
          <w:ilvl w:val="0"/>
          <w:numId w:val="2"/>
        </w:numPr>
        <w:tabs>
          <w:tab w:val="left" w:pos="540"/>
        </w:tabs>
        <w:spacing w:after="12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Strany konstatují, že pohledávky se staly způsobilými k započtení dnem skončení nájmu dle Nájemní smlouvy a k úhradě pohledávky ve výši </w:t>
      </w:r>
      <w:r>
        <w:rPr>
          <w:rFonts w:ascii="Arial" w:hAnsi="Arial" w:cs="Arial"/>
          <w:b/>
          <w:bCs/>
          <w:color w:val="000000"/>
          <w:sz w:val="18"/>
          <w:szCs w:val="18"/>
        </w:rPr>
        <w:t>257.673,24 Kč</w:t>
      </w:r>
      <w:r>
        <w:rPr>
          <w:rFonts w:ascii="Arial" w:hAnsi="Arial" w:cs="Arial"/>
          <w:color w:val="000000"/>
          <w:sz w:val="18"/>
          <w:szCs w:val="18"/>
        </w:rPr>
        <w:t xml:space="preserve"> byl ze strany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Švamberk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Invest vystaven fakturační doklad 2021123101. Město se zavazuje částku ve výši </w:t>
      </w:r>
      <w:r>
        <w:rPr>
          <w:rFonts w:ascii="Arial" w:hAnsi="Arial" w:cs="Arial"/>
          <w:b/>
          <w:bCs/>
          <w:color w:val="000000"/>
          <w:sz w:val="18"/>
          <w:szCs w:val="18"/>
        </w:rPr>
        <w:t>257.673,24 Kč</w:t>
      </w:r>
      <w:r>
        <w:rPr>
          <w:rFonts w:ascii="Arial" w:hAnsi="Arial" w:cs="Arial"/>
          <w:color w:val="000000"/>
          <w:sz w:val="18"/>
          <w:szCs w:val="18"/>
        </w:rPr>
        <w:t xml:space="preserve"> uhradit nejpozději do 31.1.2022.  </w:t>
      </w:r>
    </w:p>
    <w:p w14:paraId="1855CCED" w14:textId="77777777" w:rsidR="00715E7E" w:rsidRDefault="00E730EE">
      <w:pPr>
        <w:widowControl w:val="0"/>
        <w:numPr>
          <w:ilvl w:val="0"/>
          <w:numId w:val="2"/>
        </w:numPr>
        <w:tabs>
          <w:tab w:val="left" w:pos="540"/>
        </w:tabs>
        <w:spacing w:after="12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Strany prohlašují, že splněním svých shora uvedených povinností budou zcela vyrovnáni a nebudou již vůči sobě uplatňovat žádných dalších nároků z titulu pronájmu Nebytových prostor (kromě případných škod či nedostatků uvedených v čl. 1 odst. 1.2. a kromě vyúčtování záloh na služby, které bude provedeno do 4. měsíců po skončení zúčtovacího období (do 30.4.2022). </w:t>
      </w:r>
    </w:p>
    <w:p w14:paraId="2EA35513" w14:textId="77777777" w:rsidR="00715E7E" w:rsidRDefault="00715E7E">
      <w:pPr>
        <w:tabs>
          <w:tab w:val="left" w:pos="709"/>
        </w:tabs>
        <w:spacing w:after="12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B037D7D" w14:textId="77777777" w:rsidR="00715E7E" w:rsidRDefault="00E730EE">
      <w:pPr>
        <w:pStyle w:val="Nadpis1"/>
        <w:tabs>
          <w:tab w:val="left" w:pos="0"/>
        </w:tabs>
        <w:spacing w:before="120" w:after="120" w:line="276" w:lineRule="auto"/>
        <w:ind w:left="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Článek 4</w:t>
      </w:r>
    </w:p>
    <w:p w14:paraId="5FF1F81A" w14:textId="77777777" w:rsidR="00715E7E" w:rsidRDefault="00E730EE">
      <w:pPr>
        <w:pStyle w:val="Nadpis1"/>
        <w:keepNext w:val="0"/>
        <w:spacing w:after="120" w:line="276" w:lineRule="auto"/>
        <w:ind w:left="0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Závěrečná ustanovení</w:t>
      </w:r>
    </w:p>
    <w:p w14:paraId="60C7F986" w14:textId="77777777" w:rsidR="00715E7E" w:rsidRDefault="00E730EE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Veškeré změny a doplňky této Dohody mohou být činěny pouze formou číslovaných písemných dodatků.</w:t>
      </w:r>
    </w:p>
    <w:p w14:paraId="72BC8216" w14:textId="77777777" w:rsidR="00715E7E" w:rsidRDefault="00E730EE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Vztahy touto </w:t>
      </w:r>
      <w:r>
        <w:rPr>
          <w:rFonts w:ascii="Arial" w:hAnsi="Arial" w:cs="Arial"/>
          <w:spacing w:val="2"/>
          <w:sz w:val="18"/>
          <w:szCs w:val="18"/>
        </w:rPr>
        <w:t>Dohodou</w:t>
      </w:r>
      <w:r>
        <w:rPr>
          <w:rFonts w:ascii="Arial" w:eastAsia="MS Mincho" w:hAnsi="Arial" w:cs="Arial"/>
          <w:sz w:val="18"/>
          <w:szCs w:val="18"/>
        </w:rPr>
        <w:t xml:space="preserve"> výslovně neupravené se řídí ustanoveními zákona č. 89/2012 Sb., občanského zákoníku, v platném znění, a jiných obecně závazných předpisů platných na území České republiky.</w:t>
      </w:r>
    </w:p>
    <w:p w14:paraId="44D78239" w14:textId="77777777" w:rsidR="00715E7E" w:rsidRDefault="00E730EE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Dohoda je vyhotovena ve dvou (2) stejnopisech, z nichž každá ze smluvních stran obdrží po jednom z nich. </w:t>
      </w:r>
    </w:p>
    <w:p w14:paraId="1AABA4D8" w14:textId="77777777" w:rsidR="00715E7E" w:rsidRDefault="00E730EE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 sporu bude tento řešen věcně a místně příslušnými soudy České republiky podle </w:t>
      </w:r>
      <w:r>
        <w:rPr>
          <w:rFonts w:ascii="Arial" w:hAnsi="Arial" w:cs="Arial"/>
          <w:spacing w:val="2"/>
          <w:sz w:val="18"/>
          <w:szCs w:val="18"/>
        </w:rPr>
        <w:t>českého právního řádu.</w:t>
      </w:r>
    </w:p>
    <w:p w14:paraId="45DFA7AB" w14:textId="77777777" w:rsidR="00715E7E" w:rsidRDefault="00E730EE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Dohoda nabývá platnosti dnem jejího podpisu oběma Smluvními stranami. </w:t>
      </w:r>
    </w:p>
    <w:p w14:paraId="3030239D" w14:textId="77777777" w:rsidR="00715E7E" w:rsidRDefault="00E730EE">
      <w:pPr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Strany po přečtení Dohody prohlašují, že byla sepsána podle jejich pravé vážné vůle, že se na jejím obsahu plně shodly, je pro ně určitá a srozumitelná, neuzavřely ji ve stavu tísně, nezkušenosti, rozumové slabosti, rozrušení nebo lehkomyslnosti, a že jsou plně svéprávné. Na důkaz výše uvedeného připojují své vlastnoruční podpisy.</w:t>
      </w:r>
    </w:p>
    <w:p w14:paraId="41D3055E" w14:textId="77777777" w:rsidR="00715E7E" w:rsidRDefault="00715E7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7493" w:type="dxa"/>
        <w:jc w:val="center"/>
        <w:tblLayout w:type="fixed"/>
        <w:tblLook w:val="04A0" w:firstRow="1" w:lastRow="0" w:firstColumn="1" w:lastColumn="0" w:noHBand="0" w:noVBand="1"/>
      </w:tblPr>
      <w:tblGrid>
        <w:gridCol w:w="3700"/>
        <w:gridCol w:w="3793"/>
      </w:tblGrid>
      <w:tr w:rsidR="00715E7E" w14:paraId="08F250E5" w14:textId="77777777">
        <w:trPr>
          <w:trHeight w:val="472"/>
          <w:jc w:val="center"/>
        </w:trPr>
        <w:tc>
          <w:tcPr>
            <w:tcW w:w="3700" w:type="dxa"/>
          </w:tcPr>
          <w:p w14:paraId="5781BDFD" w14:textId="7D82D927" w:rsidR="00715E7E" w:rsidRDefault="00E730EE">
            <w:pPr>
              <w:widowControl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Hořicích dne </w:t>
            </w:r>
            <w:r w:rsidR="00EB4E76">
              <w:rPr>
                <w:rFonts w:ascii="Arial" w:hAnsi="Arial" w:cs="Arial"/>
                <w:sz w:val="18"/>
                <w:szCs w:val="18"/>
              </w:rPr>
              <w:t xml:space="preserve">28. 1. </w:t>
            </w: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792" w:type="dxa"/>
          </w:tcPr>
          <w:p w14:paraId="276280C2" w14:textId="6F20B56A" w:rsidR="00715E7E" w:rsidRDefault="00E730EE">
            <w:pPr>
              <w:widowControl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Hořicích dne </w:t>
            </w:r>
            <w:r w:rsidR="00EB4E76">
              <w:rPr>
                <w:rFonts w:ascii="Arial" w:hAnsi="Arial" w:cs="Arial"/>
                <w:sz w:val="18"/>
                <w:szCs w:val="18"/>
              </w:rPr>
              <w:t xml:space="preserve">28. 1. </w:t>
            </w: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715E7E" w14:paraId="487F6AC6" w14:textId="77777777">
        <w:trPr>
          <w:trHeight w:val="479"/>
          <w:jc w:val="center"/>
        </w:trPr>
        <w:tc>
          <w:tcPr>
            <w:tcW w:w="3700" w:type="dxa"/>
          </w:tcPr>
          <w:p w14:paraId="5316206E" w14:textId="77777777" w:rsidR="00715E7E" w:rsidRDefault="00715E7E">
            <w:pPr>
              <w:widowControl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2E7017E" w14:textId="77777777" w:rsidR="00715E7E" w:rsidRDefault="00715E7E">
            <w:pPr>
              <w:widowControl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2" w:type="dxa"/>
          </w:tcPr>
          <w:p w14:paraId="4330F6F8" w14:textId="77777777" w:rsidR="00715E7E" w:rsidRDefault="00715E7E">
            <w:pPr>
              <w:widowControl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E7E" w14:paraId="25C9FA3A" w14:textId="77777777">
        <w:trPr>
          <w:trHeight w:val="674"/>
          <w:jc w:val="center"/>
        </w:trPr>
        <w:tc>
          <w:tcPr>
            <w:tcW w:w="3700" w:type="dxa"/>
          </w:tcPr>
          <w:p w14:paraId="5B30103C" w14:textId="77777777" w:rsidR="00715E7E" w:rsidRDefault="00E730EE">
            <w:pPr>
              <w:widowControl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5DEBB39F" w14:textId="77777777" w:rsidR="00715E7E" w:rsidRDefault="00E730EE">
            <w:pPr>
              <w:widowControl w:val="0"/>
              <w:spacing w:after="120" w:line="276" w:lineRule="auto"/>
              <w:ind w:left="-89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</w:t>
            </w:r>
          </w:p>
        </w:tc>
        <w:tc>
          <w:tcPr>
            <w:tcW w:w="3792" w:type="dxa"/>
          </w:tcPr>
          <w:p w14:paraId="3656D532" w14:textId="77777777" w:rsidR="00715E7E" w:rsidRDefault="00E730E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C3DB15C" w14:textId="77777777" w:rsidR="00715E7E" w:rsidRDefault="00E730EE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Švamberk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Invest</w:t>
            </w:r>
          </w:p>
        </w:tc>
      </w:tr>
    </w:tbl>
    <w:p w14:paraId="50915AD0" w14:textId="77777777" w:rsidR="00715E7E" w:rsidRDefault="00715E7E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</w:rPr>
      </w:pPr>
    </w:p>
    <w:sectPr w:rsidR="00715E7E">
      <w:footerReference w:type="default" r:id="rId7"/>
      <w:pgSz w:w="11906" w:h="16838"/>
      <w:pgMar w:top="1417" w:right="1417" w:bottom="1417" w:left="1417" w:header="0" w:footer="61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2D3A" w14:textId="77777777" w:rsidR="00962E7A" w:rsidRDefault="00E730EE">
      <w:r>
        <w:separator/>
      </w:r>
    </w:p>
  </w:endnote>
  <w:endnote w:type="continuationSeparator" w:id="0">
    <w:p w14:paraId="67F2A10A" w14:textId="77777777" w:rsidR="00962E7A" w:rsidRDefault="00E7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 Narrow">
    <w:panose1 w:val="020B060602020203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61941"/>
      <w:docPartObj>
        <w:docPartGallery w:val="Page Numbers (Bottom of Page)"/>
        <w:docPartUnique/>
      </w:docPartObj>
    </w:sdtPr>
    <w:sdtEndPr/>
    <w:sdtContent>
      <w:p w14:paraId="71106D49" w14:textId="77777777" w:rsidR="00715E7E" w:rsidRDefault="00E730EE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E3D8228" w14:textId="77777777" w:rsidR="00715E7E" w:rsidRDefault="00715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ABEF" w14:textId="77777777" w:rsidR="00962E7A" w:rsidRDefault="00E730EE">
      <w:r>
        <w:separator/>
      </w:r>
    </w:p>
  </w:footnote>
  <w:footnote w:type="continuationSeparator" w:id="0">
    <w:p w14:paraId="1D4C4E8D" w14:textId="77777777" w:rsidR="00962E7A" w:rsidRDefault="00E7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EE4"/>
    <w:multiLevelType w:val="multilevel"/>
    <w:tmpl w:val="D5B2992A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Roman"/>
      <w:lvlText w:val="(%4.)"/>
      <w:lvlJc w:val="left"/>
      <w:pPr>
        <w:tabs>
          <w:tab w:val="num" w:pos="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C18CD"/>
    <w:multiLevelType w:val="multilevel"/>
    <w:tmpl w:val="63E0F71A"/>
    <w:lvl w:ilvl="0">
      <w:start w:val="1"/>
      <w:numFmt w:val="decimal"/>
      <w:lvlText w:val="2.%1"/>
      <w:lvlJc w:val="left"/>
      <w:pPr>
        <w:tabs>
          <w:tab w:val="num" w:pos="643"/>
        </w:tabs>
        <w:ind w:left="643" w:hanging="360"/>
      </w:pPr>
      <w:rPr>
        <w:rFonts w:cs="Lucida Sans Unicode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" w15:restartNumberingAfterBreak="0">
    <w:nsid w:val="2F9B001F"/>
    <w:multiLevelType w:val="multilevel"/>
    <w:tmpl w:val="B186D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35506D56"/>
    <w:multiLevelType w:val="multilevel"/>
    <w:tmpl w:val="A774AFE0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912181"/>
    <w:multiLevelType w:val="multilevel"/>
    <w:tmpl w:val="31CCE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7E"/>
    <w:rsid w:val="00465AAB"/>
    <w:rsid w:val="00715E7E"/>
    <w:rsid w:val="00962E7A"/>
    <w:rsid w:val="00E0653D"/>
    <w:rsid w:val="00E730EE"/>
    <w:rsid w:val="00E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D5DE"/>
  <w15:docId w15:val="{01DC37EA-CBCA-48E3-9097-71D972B2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156E"/>
    <w:rPr>
      <w:kern w:val="2"/>
      <w:sz w:val="24"/>
      <w:szCs w:val="24"/>
    </w:rPr>
  </w:style>
  <w:style w:type="paragraph" w:styleId="Nadpis1">
    <w:name w:val="heading 1"/>
    <w:basedOn w:val="Normln"/>
    <w:next w:val="Normln"/>
    <w:qFormat/>
    <w:rsid w:val="00772880"/>
    <w:pPr>
      <w:keepNext/>
      <w:ind w:left="720"/>
      <w:jc w:val="center"/>
      <w:outlineLvl w:val="0"/>
    </w:pPr>
    <w:rPr>
      <w:b/>
      <w:kern w:val="0"/>
      <w:sz w:val="22"/>
      <w:szCs w:val="20"/>
    </w:rPr>
  </w:style>
  <w:style w:type="paragraph" w:styleId="Nadpis2">
    <w:name w:val="heading 2"/>
    <w:basedOn w:val="Normln"/>
    <w:next w:val="Normln"/>
    <w:qFormat/>
    <w:rsid w:val="00772880"/>
    <w:pPr>
      <w:keepNext/>
      <w:outlineLvl w:val="1"/>
    </w:pPr>
    <w:rPr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qFormat/>
    <w:rsid w:val="00195670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42DF9"/>
    <w:rPr>
      <w:b/>
      <w:bCs/>
    </w:rPr>
  </w:style>
  <w:style w:type="character" w:customStyle="1" w:styleId="platne1">
    <w:name w:val="platne1"/>
    <w:basedOn w:val="Standardnpsmoodstavce"/>
    <w:qFormat/>
    <w:rsid w:val="00B001BC"/>
  </w:style>
  <w:style w:type="character" w:customStyle="1" w:styleId="TextkomenteChar">
    <w:name w:val="Text komentáře Char"/>
    <w:basedOn w:val="Standardnpsmoodstavce"/>
    <w:link w:val="Textkomente"/>
    <w:qFormat/>
    <w:rsid w:val="00CF5248"/>
    <w:rPr>
      <w:kern w:val="2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A371A"/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qFormat/>
    <w:rsid w:val="00DA371A"/>
  </w:style>
  <w:style w:type="character" w:customStyle="1" w:styleId="ZkladntextodsazenChar">
    <w:name w:val="Základní text odsazený Char"/>
    <w:basedOn w:val="Standardnpsmoodstavce"/>
    <w:link w:val="Zkladntextodsazen"/>
    <w:qFormat/>
    <w:rsid w:val="00803980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85127"/>
    <w:rPr>
      <w:kern w:val="2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772880"/>
    <w:pPr>
      <w:jc w:val="center"/>
    </w:pPr>
    <w:rPr>
      <w:kern w:val="0"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6578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78C6"/>
    <w:pPr>
      <w:tabs>
        <w:tab w:val="center" w:pos="4536"/>
        <w:tab w:val="right" w:pos="9072"/>
      </w:tabs>
    </w:pPr>
  </w:style>
  <w:style w:type="paragraph" w:customStyle="1" w:styleId="H3">
    <w:name w:val="H3"/>
    <w:basedOn w:val="Normln"/>
    <w:next w:val="Normln"/>
    <w:qFormat/>
    <w:rsid w:val="00772880"/>
    <w:pPr>
      <w:keepNext/>
      <w:spacing w:before="100" w:after="100"/>
      <w:outlineLvl w:val="3"/>
    </w:pPr>
    <w:rPr>
      <w:b/>
      <w:kern w:val="0"/>
      <w:sz w:val="28"/>
      <w:szCs w:val="20"/>
    </w:rPr>
  </w:style>
  <w:style w:type="paragraph" w:styleId="Zkladntext2">
    <w:name w:val="Body Text 2"/>
    <w:basedOn w:val="Normln"/>
    <w:qFormat/>
    <w:rsid w:val="00772880"/>
    <w:pPr>
      <w:outlineLvl w:val="0"/>
    </w:pPr>
    <w:rPr>
      <w:kern w:val="0"/>
      <w:sz w:val="22"/>
      <w:szCs w:val="20"/>
    </w:rPr>
  </w:style>
  <w:style w:type="paragraph" w:styleId="Zkladntextodsazen2">
    <w:name w:val="Body Text Indent 2"/>
    <w:basedOn w:val="Normln"/>
    <w:link w:val="Zkladntextodsazen2Char"/>
    <w:qFormat/>
    <w:rsid w:val="00772880"/>
    <w:pPr>
      <w:ind w:firstLine="709"/>
      <w:jc w:val="both"/>
    </w:pPr>
    <w:rPr>
      <w:rFonts w:ascii="Arial Narrow" w:hAnsi="Arial Narrow"/>
      <w:kern w:val="0"/>
      <w:szCs w:val="20"/>
    </w:rPr>
  </w:style>
  <w:style w:type="paragraph" w:styleId="Textkomente">
    <w:name w:val="annotation text"/>
    <w:basedOn w:val="Normln"/>
    <w:link w:val="TextkomenteChar"/>
    <w:qFormat/>
    <w:rsid w:val="001956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195670"/>
    <w:rPr>
      <w:b/>
      <w:bCs/>
    </w:rPr>
  </w:style>
  <w:style w:type="paragraph" w:styleId="Textbubliny">
    <w:name w:val="Balloon Text"/>
    <w:basedOn w:val="Normln"/>
    <w:semiHidden/>
    <w:qFormat/>
    <w:rsid w:val="00195670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qFormat/>
    <w:rsid w:val="00B001BC"/>
    <w:pPr>
      <w:widowControl w:val="0"/>
    </w:pPr>
    <w:rPr>
      <w:rFonts w:eastAsia="Lucida Sans Unicode"/>
      <w:color w:val="000000"/>
      <w:kern w:val="0"/>
    </w:rPr>
  </w:style>
  <w:style w:type="paragraph" w:styleId="Odstavecseseznamem">
    <w:name w:val="List Paragraph"/>
    <w:basedOn w:val="Normln"/>
    <w:uiPriority w:val="34"/>
    <w:qFormat/>
    <w:rsid w:val="00DC58D2"/>
    <w:pPr>
      <w:ind w:left="720"/>
      <w:contextualSpacing/>
    </w:pPr>
  </w:style>
  <w:style w:type="paragraph" w:customStyle="1" w:styleId="Osnova2">
    <w:name w:val="Osnova 2"/>
    <w:autoRedefine/>
    <w:qFormat/>
    <w:rsid w:val="001F436C"/>
    <w:pPr>
      <w:widowControl w:val="0"/>
      <w:jc w:val="both"/>
      <w:outlineLvl w:val="1"/>
    </w:pPr>
    <w:rPr>
      <w:b/>
      <w:sz w:val="24"/>
      <w:szCs w:val="24"/>
    </w:rPr>
  </w:style>
  <w:style w:type="paragraph" w:customStyle="1" w:styleId="DefaultText">
    <w:name w:val="Default Text"/>
    <w:basedOn w:val="Normln"/>
    <w:qFormat/>
    <w:rsid w:val="00D34DB8"/>
    <w:rPr>
      <w:kern w:val="0"/>
      <w:szCs w:val="20"/>
      <w:lang w:val="en-US"/>
    </w:rPr>
  </w:style>
  <w:style w:type="paragraph" w:customStyle="1" w:styleId="NormlnIMP">
    <w:name w:val="Normální_IMP"/>
    <w:basedOn w:val="Normln"/>
    <w:uiPriority w:val="99"/>
    <w:qFormat/>
    <w:rsid w:val="008D3ADA"/>
    <w:pPr>
      <w:widowControl w:val="0"/>
      <w:spacing w:line="276" w:lineRule="auto"/>
    </w:pPr>
    <w:rPr>
      <w:kern w:val="0"/>
      <w:szCs w:val="20"/>
    </w:rPr>
  </w:style>
  <w:style w:type="paragraph" w:styleId="Bezmezer">
    <w:name w:val="No Spacing"/>
    <w:qFormat/>
    <w:rsid w:val="008D3ADA"/>
    <w:rPr>
      <w:sz w:val="24"/>
      <w:szCs w:val="24"/>
      <w:lang w:eastAsia="ar-SA"/>
    </w:rPr>
  </w:style>
  <w:style w:type="paragraph" w:customStyle="1" w:styleId="Standard">
    <w:name w:val="Standard"/>
    <w:basedOn w:val="Normln"/>
    <w:qFormat/>
    <w:rsid w:val="007A1F4F"/>
    <w:rPr>
      <w:rFonts w:eastAsiaTheme="minorHAnsi"/>
      <w:kern w:val="0"/>
      <w:lang w:eastAsia="ar-SA"/>
    </w:rPr>
  </w:style>
  <w:style w:type="paragraph" w:styleId="Zkladntextodsazen">
    <w:name w:val="Body Text Indent"/>
    <w:basedOn w:val="Normln"/>
    <w:link w:val="ZkladntextodsazenChar"/>
    <w:rsid w:val="00803980"/>
    <w:pPr>
      <w:spacing w:after="120"/>
      <w:ind w:left="283"/>
    </w:pPr>
    <w:rPr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RIX, s.r.o.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dc:description/>
  <cp:lastModifiedBy>Adéla Solichová</cp:lastModifiedBy>
  <cp:revision>3</cp:revision>
  <cp:lastPrinted>2022-01-17T16:16:00Z</cp:lastPrinted>
  <dcterms:created xsi:type="dcterms:W3CDTF">2022-01-28T13:22:00Z</dcterms:created>
  <dcterms:modified xsi:type="dcterms:W3CDTF">2022-01-28T13:40:00Z</dcterms:modified>
  <dc:language>cs-CZ</dc:language>
</cp:coreProperties>
</file>