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403331FF" w14:textId="774005D1" w:rsidR="00F21C55" w:rsidRPr="00E96AB7" w:rsidRDefault="00F21C55" w:rsidP="00F21C55">
      <w:pPr>
        <w:spacing w:before="120" w:after="120"/>
        <w:rPr>
          <w:b/>
          <w:sz w:val="22"/>
          <w:szCs w:val="22"/>
        </w:rPr>
      </w:pPr>
      <w:permStart w:id="262752951" w:edGrp="everyone"/>
      <w:r w:rsidRPr="00E96AB7">
        <w:rPr>
          <w:b/>
          <w:sz w:val="22"/>
          <w:szCs w:val="22"/>
        </w:rPr>
        <w:t>Firma:</w:t>
      </w:r>
      <w:r w:rsidRPr="00E96AB7">
        <w:rPr>
          <w:sz w:val="22"/>
          <w:szCs w:val="22"/>
        </w:rPr>
        <w:tab/>
      </w:r>
      <w:r w:rsidRPr="00E96AB7">
        <w:rPr>
          <w:sz w:val="22"/>
          <w:szCs w:val="22"/>
        </w:rPr>
        <w:tab/>
      </w:r>
      <w:r w:rsidRPr="00E96AB7">
        <w:rPr>
          <w:sz w:val="22"/>
          <w:szCs w:val="22"/>
        </w:rPr>
        <w:tab/>
      </w:r>
      <w:r w:rsidR="0049411D">
        <w:rPr>
          <w:sz w:val="22"/>
          <w:szCs w:val="22"/>
        </w:rPr>
        <w:t>TERRABAU, s.r.o.</w:t>
      </w:r>
      <w:r w:rsidRPr="00E96AB7">
        <w:rPr>
          <w:b/>
          <w:sz w:val="22"/>
          <w:szCs w:val="22"/>
        </w:rPr>
        <w:tab/>
        <w:t xml:space="preserve"> </w:t>
      </w:r>
    </w:p>
    <w:p w14:paraId="0711CF65" w14:textId="49D24BDC" w:rsidR="00F21C55" w:rsidRPr="00E96AB7" w:rsidRDefault="00F21C55" w:rsidP="00F21C55">
      <w:pPr>
        <w:spacing w:before="120" w:after="120"/>
        <w:rPr>
          <w:sz w:val="22"/>
          <w:szCs w:val="22"/>
        </w:rPr>
      </w:pPr>
      <w:r w:rsidRPr="00E96AB7">
        <w:rPr>
          <w:sz w:val="22"/>
          <w:szCs w:val="22"/>
        </w:rPr>
        <w:t>Sídlo:</w:t>
      </w:r>
      <w:r w:rsidRPr="00E96AB7">
        <w:rPr>
          <w:sz w:val="22"/>
          <w:szCs w:val="22"/>
        </w:rPr>
        <w:tab/>
      </w:r>
      <w:r w:rsidRPr="00E96AB7">
        <w:rPr>
          <w:sz w:val="22"/>
          <w:szCs w:val="22"/>
        </w:rPr>
        <w:tab/>
      </w:r>
      <w:r w:rsidRPr="00E96AB7">
        <w:rPr>
          <w:sz w:val="22"/>
          <w:szCs w:val="22"/>
        </w:rPr>
        <w:tab/>
      </w:r>
      <w:r w:rsidR="0049411D">
        <w:rPr>
          <w:sz w:val="22"/>
          <w:szCs w:val="22"/>
        </w:rPr>
        <w:t>Vodařská 514/7, 619 00</w:t>
      </w:r>
    </w:p>
    <w:p w14:paraId="5F176F56" w14:textId="3590DC5F" w:rsidR="00E92213" w:rsidRPr="00E96AB7" w:rsidRDefault="00E92213" w:rsidP="00F21C55">
      <w:pPr>
        <w:spacing w:before="120" w:after="120"/>
        <w:rPr>
          <w:sz w:val="22"/>
          <w:szCs w:val="22"/>
        </w:rPr>
      </w:pPr>
      <w:r w:rsidRPr="00E96AB7">
        <w:rPr>
          <w:sz w:val="22"/>
          <w:szCs w:val="22"/>
        </w:rPr>
        <w:t>Fakturační adresa:</w:t>
      </w:r>
      <w:r w:rsidRPr="00E96AB7">
        <w:rPr>
          <w:sz w:val="22"/>
          <w:szCs w:val="22"/>
        </w:rPr>
        <w:tab/>
      </w:r>
      <w:r w:rsidR="0049411D">
        <w:rPr>
          <w:sz w:val="22"/>
          <w:szCs w:val="22"/>
        </w:rPr>
        <w:t>Vodařská 514/7, 619 00</w:t>
      </w:r>
    </w:p>
    <w:p w14:paraId="416C7C1F" w14:textId="4E0D103A" w:rsidR="00E92213" w:rsidRPr="00E96AB7" w:rsidRDefault="00F21C55" w:rsidP="00F21C55">
      <w:pPr>
        <w:spacing w:before="120" w:after="120"/>
        <w:rPr>
          <w:sz w:val="22"/>
          <w:szCs w:val="22"/>
        </w:rPr>
      </w:pPr>
      <w:r w:rsidRPr="00E96AB7">
        <w:rPr>
          <w:sz w:val="22"/>
          <w:szCs w:val="22"/>
        </w:rPr>
        <w:t>Zástupce:</w:t>
      </w:r>
      <w:r w:rsidRPr="00E96AB7">
        <w:rPr>
          <w:sz w:val="22"/>
          <w:szCs w:val="22"/>
        </w:rPr>
        <w:tab/>
      </w:r>
      <w:r w:rsidRPr="00E96AB7">
        <w:rPr>
          <w:sz w:val="22"/>
          <w:szCs w:val="22"/>
        </w:rPr>
        <w:tab/>
      </w:r>
      <w:r w:rsidR="0049411D">
        <w:rPr>
          <w:sz w:val="22"/>
          <w:szCs w:val="22"/>
        </w:rPr>
        <w:t>Martin Zvoníček na základě plné moci</w:t>
      </w:r>
    </w:p>
    <w:p w14:paraId="4610F8DD" w14:textId="345CA208"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 xml:space="preserve">:                     </w:t>
      </w:r>
      <w:r w:rsidR="00832530" w:rsidRPr="00E96AB7">
        <w:rPr>
          <w:sz w:val="22"/>
          <w:szCs w:val="22"/>
        </w:rPr>
        <w:tab/>
      </w:r>
      <w:r w:rsidR="0049411D">
        <w:rPr>
          <w:sz w:val="22"/>
          <w:szCs w:val="22"/>
        </w:rPr>
        <w:t>262</w:t>
      </w:r>
      <w:r w:rsidR="00775128">
        <w:rPr>
          <w:sz w:val="22"/>
          <w:szCs w:val="22"/>
        </w:rPr>
        <w:t>44411</w:t>
      </w:r>
    </w:p>
    <w:p w14:paraId="14280BEE" w14:textId="0BC36051" w:rsidR="00F21C55" w:rsidRPr="00E96AB7" w:rsidRDefault="00F21C55" w:rsidP="00F21C55">
      <w:pPr>
        <w:spacing w:before="120" w:after="120"/>
        <w:rPr>
          <w:sz w:val="22"/>
          <w:szCs w:val="22"/>
        </w:rPr>
      </w:pPr>
      <w:r w:rsidRPr="00E96AB7">
        <w:rPr>
          <w:sz w:val="22"/>
          <w:szCs w:val="22"/>
        </w:rPr>
        <w:t xml:space="preserve">DIČ:                 </w:t>
      </w:r>
      <w:r w:rsidRPr="00E96AB7">
        <w:rPr>
          <w:sz w:val="22"/>
          <w:szCs w:val="22"/>
        </w:rPr>
        <w:tab/>
      </w:r>
      <w:r w:rsidRPr="00E96AB7">
        <w:rPr>
          <w:sz w:val="22"/>
          <w:szCs w:val="22"/>
        </w:rPr>
        <w:tab/>
      </w:r>
      <w:r w:rsidR="00742DD9">
        <w:rPr>
          <w:sz w:val="22"/>
          <w:szCs w:val="22"/>
        </w:rPr>
        <w:t>CZ</w:t>
      </w:r>
      <w:r w:rsidR="00775128">
        <w:rPr>
          <w:sz w:val="22"/>
          <w:szCs w:val="22"/>
        </w:rPr>
        <w:t>26244411</w:t>
      </w:r>
    </w:p>
    <w:p w14:paraId="5F5E748A" w14:textId="2D36D746" w:rsidR="00F21C55" w:rsidRPr="00E96AB7" w:rsidRDefault="00F21C55" w:rsidP="00F21C55">
      <w:pPr>
        <w:spacing w:before="120" w:after="120"/>
        <w:rPr>
          <w:sz w:val="22"/>
          <w:szCs w:val="22"/>
        </w:rPr>
      </w:pPr>
      <w:r w:rsidRPr="00E96AB7">
        <w:rPr>
          <w:sz w:val="22"/>
          <w:szCs w:val="22"/>
        </w:rPr>
        <w:t>Banka:</w:t>
      </w:r>
      <w:r w:rsidRPr="00E96AB7">
        <w:rPr>
          <w:sz w:val="22"/>
          <w:szCs w:val="22"/>
        </w:rPr>
        <w:tab/>
        <w:t xml:space="preserve">              </w:t>
      </w:r>
      <w:r w:rsidRPr="00E96AB7">
        <w:rPr>
          <w:sz w:val="22"/>
          <w:szCs w:val="22"/>
        </w:rPr>
        <w:tab/>
      </w:r>
      <w:r w:rsidR="00BD4B08" w:rsidRPr="00E96AB7">
        <w:rPr>
          <w:sz w:val="22"/>
          <w:szCs w:val="22"/>
        </w:rPr>
        <w:t>XXXXXXXXXX</w:t>
      </w:r>
    </w:p>
    <w:p w14:paraId="45A9AC1F" w14:textId="1FDE958E" w:rsidR="00F21C55" w:rsidRPr="00E96AB7" w:rsidRDefault="00F21C55" w:rsidP="00F21C55">
      <w:pPr>
        <w:spacing w:before="120" w:after="120"/>
        <w:rPr>
          <w:sz w:val="22"/>
          <w:szCs w:val="22"/>
        </w:rPr>
      </w:pPr>
      <w:r w:rsidRPr="00E96AB7">
        <w:rPr>
          <w:sz w:val="22"/>
          <w:szCs w:val="22"/>
        </w:rPr>
        <w:t xml:space="preserve">Číslo účtu:            </w:t>
      </w:r>
      <w:r w:rsidRPr="00E96AB7">
        <w:rPr>
          <w:sz w:val="22"/>
          <w:szCs w:val="22"/>
        </w:rPr>
        <w:tab/>
      </w:r>
      <w:r w:rsidR="00BD4B08" w:rsidRPr="00E96AB7">
        <w:rPr>
          <w:sz w:val="22"/>
          <w:szCs w:val="22"/>
        </w:rPr>
        <w:t>XXXXXXXXXX</w:t>
      </w:r>
    </w:p>
    <w:p w14:paraId="193D00DF" w14:textId="6D7ACDFD" w:rsidR="00F21C55" w:rsidRPr="00E96AB7" w:rsidRDefault="00F21C55" w:rsidP="00F21C55">
      <w:pPr>
        <w:spacing w:before="120" w:after="120"/>
        <w:rPr>
          <w:sz w:val="22"/>
          <w:szCs w:val="22"/>
        </w:rPr>
      </w:pPr>
      <w:r w:rsidRPr="00E96AB7">
        <w:rPr>
          <w:sz w:val="22"/>
          <w:szCs w:val="22"/>
        </w:rPr>
        <w:t xml:space="preserve">Tel.:                             </w:t>
      </w:r>
      <w:r w:rsidRPr="00E96AB7">
        <w:rPr>
          <w:sz w:val="22"/>
          <w:szCs w:val="22"/>
        </w:rPr>
        <w:tab/>
      </w:r>
      <w:r w:rsidR="00BD4B08" w:rsidRPr="00E96AB7">
        <w:rPr>
          <w:sz w:val="22"/>
          <w:szCs w:val="22"/>
        </w:rPr>
        <w:t>XXXXXXXXXX</w:t>
      </w:r>
    </w:p>
    <w:p w14:paraId="54573C28" w14:textId="5CC47185"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t xml:space="preserve">         </w:t>
      </w:r>
      <w:r w:rsidRPr="00E96AB7">
        <w:rPr>
          <w:sz w:val="22"/>
          <w:szCs w:val="22"/>
        </w:rPr>
        <w:tab/>
      </w:r>
      <w:r w:rsidR="00775128">
        <w:rPr>
          <w:sz w:val="22"/>
          <w:szCs w:val="22"/>
        </w:rPr>
        <w:t>KS v Brně, oddíl C, vložka 39942</w:t>
      </w:r>
    </w:p>
    <w:p w14:paraId="31ABBFDF" w14:textId="5D95A3AC" w:rsidR="00F21C55" w:rsidRPr="00E96AB7" w:rsidRDefault="00AA1233" w:rsidP="00F21C55">
      <w:pPr>
        <w:spacing w:before="120" w:after="120"/>
        <w:rPr>
          <w:sz w:val="22"/>
          <w:szCs w:val="22"/>
        </w:rPr>
      </w:pPr>
      <w:r w:rsidRPr="00E96AB7">
        <w:rPr>
          <w:sz w:val="22"/>
          <w:szCs w:val="22"/>
        </w:rPr>
        <w:t>E-mail:</w:t>
      </w:r>
      <w:r w:rsidR="00F21C55" w:rsidRPr="00E96AB7">
        <w:rPr>
          <w:sz w:val="22"/>
          <w:szCs w:val="22"/>
        </w:rPr>
        <w:t xml:space="preserve"> </w:t>
      </w:r>
      <w:r w:rsidR="00E92213" w:rsidRPr="00E96AB7">
        <w:rPr>
          <w:sz w:val="22"/>
          <w:szCs w:val="22"/>
        </w:rPr>
        <w:tab/>
      </w:r>
      <w:r w:rsidR="00E92213" w:rsidRPr="00E96AB7">
        <w:rPr>
          <w:sz w:val="22"/>
          <w:szCs w:val="22"/>
        </w:rPr>
        <w:tab/>
      </w:r>
      <w:r w:rsidR="00BD4B08" w:rsidRPr="00E96AB7">
        <w:rPr>
          <w:sz w:val="22"/>
          <w:szCs w:val="22"/>
        </w:rPr>
        <w:t>XXXXXXXXXX</w:t>
      </w:r>
      <w:r w:rsidR="00F21C55" w:rsidRPr="00E96AB7">
        <w:rPr>
          <w:sz w:val="22"/>
          <w:szCs w:val="22"/>
        </w:rPr>
        <w:t xml:space="preserve">                        </w:t>
      </w:r>
      <w:r w:rsidR="00F21C55" w:rsidRPr="00E96AB7">
        <w:rPr>
          <w:sz w:val="22"/>
          <w:szCs w:val="22"/>
        </w:rPr>
        <w:tab/>
      </w:r>
      <w:r w:rsidR="00F21C55" w:rsidRPr="00E96AB7">
        <w:rPr>
          <w:sz w:val="22"/>
          <w:szCs w:val="22"/>
        </w:rPr>
        <w:tab/>
      </w:r>
      <w:r w:rsidR="00F21C55" w:rsidRPr="00E96AB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dle zákona o odpadech č. 185/2001 Sb., ve znění pozdějších předpisů a vyhl.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Dodavatel bere na vědomí, že zákon č. 185/2001 Sb., stejně jako vyhl.</w:t>
      </w:r>
      <w:r w:rsidR="00433E6E">
        <w:rPr>
          <w:i w:val="0"/>
          <w:sz w:val="22"/>
        </w:rPr>
        <w:t xml:space="preserve"> 294/2005 Sb., stejně jako Katalog odpadů</w:t>
      </w:r>
      <w:r w:rsidR="004174F8">
        <w:rPr>
          <w:i w:val="0"/>
          <w:sz w:val="22"/>
        </w:rPr>
        <w:t xml:space="preserve">, stejně jako vyhl.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do doby, než nabude účinnosti ten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35EA6BD3"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B23953" w:rsidRPr="00B23953">
        <w:rPr>
          <w:b/>
          <w:bCs/>
          <w:sz w:val="22"/>
        </w:rPr>
        <w:t>270</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r w:rsidR="009833C2" w:rsidRPr="00E96AB7">
        <w:rPr>
          <w:bCs/>
          <w:sz w:val="22"/>
        </w:rPr>
        <w:t xml:space="preserve">té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r w:rsidR="00781EC0" w:rsidRPr="00E96AB7">
        <w:rPr>
          <w:bCs/>
          <w:i/>
          <w:sz w:val="22"/>
        </w:rPr>
        <w:t>X</w:t>
      </w:r>
      <w:r w:rsidR="002D4984" w:rsidRPr="00E96AB7">
        <w:rPr>
          <w:bCs/>
          <w:i/>
          <w:sz w:val="22"/>
        </w:rPr>
        <w:t>,-</w:t>
      </w:r>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r w:rsidR="00781EC0" w:rsidRPr="00E96AB7">
        <w:rPr>
          <w:bCs/>
          <w:i/>
          <w:sz w:val="22"/>
        </w:rPr>
        <w:t>X</w:t>
      </w:r>
      <w:r w:rsidR="005D3198" w:rsidRPr="00E96AB7">
        <w:rPr>
          <w:bCs/>
          <w:i/>
          <w:sz w:val="22"/>
        </w:rPr>
        <w:t>,-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XXXXX XXX XXX XXXXX XX XXXXX X XXX XXX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4.15. </w:t>
      </w:r>
      <w:r w:rsidR="003D0711">
        <w:rPr>
          <w:color w:val="000000"/>
          <w:sz w:val="22"/>
        </w:rPr>
        <w:t xml:space="preserve">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CC35DC">
        <w:rPr>
          <w:bCs/>
          <w:sz w:val="22"/>
        </w:rPr>
        <w:t>X</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XXXXX XXXXXXXXXX XX XXXXX XX XXXXX XXXX XXXXXXXX XXXXXXXXX XXXXX XX XXXXX X XXXXXX XXX XXXXXXX XX XXXXXXX XXXX XXXX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X  XX XXXXX XX XXX XXX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1635"/>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855C1"/>
    <w:rsid w:val="00192253"/>
    <w:rsid w:val="001A09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9411D"/>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E3F69"/>
    <w:rsid w:val="006E3F99"/>
    <w:rsid w:val="006E6717"/>
    <w:rsid w:val="006F5B86"/>
    <w:rsid w:val="00733F2D"/>
    <w:rsid w:val="0073635F"/>
    <w:rsid w:val="00741B53"/>
    <w:rsid w:val="00742DD9"/>
    <w:rsid w:val="00744F47"/>
    <w:rsid w:val="00745330"/>
    <w:rsid w:val="007610E3"/>
    <w:rsid w:val="00767EAC"/>
    <w:rsid w:val="00775128"/>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4504"/>
    <w:rsid w:val="008E794C"/>
    <w:rsid w:val="00915478"/>
    <w:rsid w:val="00920A16"/>
    <w:rsid w:val="00923254"/>
    <w:rsid w:val="00933931"/>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231D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6568"/>
    <w:rsid w:val="00D27519"/>
    <w:rsid w:val="00D32838"/>
    <w:rsid w:val="00D4010E"/>
    <w:rsid w:val="00D41DDD"/>
    <w:rsid w:val="00D54FD2"/>
    <w:rsid w:val="00D636D1"/>
    <w:rsid w:val="00D7150A"/>
    <w:rsid w:val="00D731E0"/>
    <w:rsid w:val="00D754BA"/>
    <w:rsid w:val="00D8759E"/>
    <w:rsid w:val="00D913B5"/>
    <w:rsid w:val="00DA009E"/>
    <w:rsid w:val="00DC2B49"/>
    <w:rsid w:val="00DE5ADA"/>
    <w:rsid w:val="00DF7C9F"/>
    <w:rsid w:val="00E05E81"/>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8803</Words>
  <Characters>51940</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27</cp:revision>
  <cp:lastPrinted>2021-07-28T06:44:00Z</cp:lastPrinted>
  <dcterms:created xsi:type="dcterms:W3CDTF">2021-06-30T11:28:00Z</dcterms:created>
  <dcterms:modified xsi:type="dcterms:W3CDTF">2022-01-26T11:44:00Z</dcterms:modified>
</cp:coreProperties>
</file>