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BE74" w14:textId="77777777"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bookmarkStart w:id="0" w:name="_GoBack"/>
      <w:bookmarkEnd w:id="0"/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13033E">
        <w:rPr>
          <w:b/>
          <w:caps/>
          <w:spacing w:val="36"/>
          <w:szCs w:val="24"/>
        </w:rPr>
        <w:t xml:space="preserve">školení </w:t>
      </w:r>
    </w:p>
    <w:p w14:paraId="6A0BBE75" w14:textId="77777777" w:rsidR="0040380E" w:rsidRPr="006336EB" w:rsidRDefault="0013033E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>
        <w:rPr>
          <w:b/>
          <w:caps/>
          <w:spacing w:val="36"/>
          <w:szCs w:val="24"/>
        </w:rPr>
        <w:t>„</w:t>
      </w:r>
      <w:r w:rsidR="002479EB" w:rsidRPr="00140F84">
        <w:rPr>
          <w:rFonts w:cs="Arial"/>
          <w:b/>
          <w:szCs w:val="24"/>
        </w:rPr>
        <w:t>Úvodní školení pro lokální síťaře KA 1, Setkání síťařů KA1 I.</w:t>
      </w:r>
      <w:r w:rsidR="002479EB">
        <w:rPr>
          <w:rFonts w:cs="Arial"/>
          <w:b/>
          <w:szCs w:val="24"/>
        </w:rPr>
        <w:t xml:space="preserve"> </w:t>
      </w:r>
      <w:r w:rsidR="002479EB" w:rsidRPr="00140F84">
        <w:rPr>
          <w:rFonts w:cs="Arial"/>
          <w:b/>
          <w:szCs w:val="24"/>
        </w:rPr>
        <w:t>a II.</w:t>
      </w:r>
      <w:r w:rsidRPr="0013033E">
        <w:rPr>
          <w:b/>
          <w:caps/>
          <w:spacing w:val="36"/>
          <w:szCs w:val="24"/>
        </w:rPr>
        <w:t>“</w:t>
      </w:r>
    </w:p>
    <w:p w14:paraId="6A0BBE76" w14:textId="77777777"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14:paraId="6A0BBE77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6A0BBE78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6A0BBE79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6A0BBE7A" w14:textId="77777777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6A0BBE7B" w14:textId="77777777"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4261B5" w:rsidRPr="004261B5">
        <w:rPr>
          <w:rFonts w:cs="Arial"/>
          <w:sz w:val="20"/>
        </w:rPr>
        <w:t>Ing. Lada Hlaváčková, zástupce ředitele odboru řízení projektů</w:t>
      </w:r>
    </w:p>
    <w:p w14:paraId="6A0BBE7C" w14:textId="77777777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6A0BBE7D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0BBE7E" w14:textId="7777777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6A0BBE7F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0BBE80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0BBE81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6A0BBE82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0BBE83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A0BBE84" w14:textId="77777777" w:rsidR="005742EC" w:rsidRPr="00503EF6" w:rsidRDefault="005742EC" w:rsidP="005742E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B45BBA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UNNI Trading, s.r.o. </w:t>
      </w:r>
    </w:p>
    <w:p w14:paraId="6A0BBE85" w14:textId="77777777" w:rsidR="005742EC" w:rsidRPr="00B45BBA" w:rsidRDefault="005742EC" w:rsidP="005742EC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45BBA">
        <w:rPr>
          <w:rFonts w:ascii="Arial" w:hAnsi="Arial" w:cs="Arial"/>
          <w:sz w:val="20"/>
          <w:szCs w:val="20"/>
        </w:rPr>
        <w:t xml:space="preserve">Na Letné 57, 779 00 Olomouc </w:t>
      </w:r>
    </w:p>
    <w:p w14:paraId="6A0BBE86" w14:textId="77777777" w:rsidR="005742EC" w:rsidRPr="00B34DE6" w:rsidRDefault="005742EC" w:rsidP="005742EC">
      <w:pPr>
        <w:pStyle w:val="Default"/>
        <w:rPr>
          <w:rFonts w:ascii="Arial" w:hAnsi="Arial" w:cs="Arial"/>
        </w:rPr>
      </w:pPr>
      <w:r w:rsidRPr="00503EF6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4DE6">
        <w:rPr>
          <w:rFonts w:ascii="Arial" w:hAnsi="Arial" w:cs="Arial"/>
          <w:sz w:val="20"/>
          <w:szCs w:val="20"/>
        </w:rPr>
        <w:t xml:space="preserve">27802221 </w:t>
      </w:r>
    </w:p>
    <w:p w14:paraId="6A0BBE87" w14:textId="77777777" w:rsidR="005742EC" w:rsidRPr="00B34DE6" w:rsidRDefault="005742EC" w:rsidP="005742EC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4DE6">
        <w:rPr>
          <w:rFonts w:ascii="Arial" w:hAnsi="Arial" w:cs="Arial"/>
          <w:sz w:val="20"/>
          <w:szCs w:val="20"/>
        </w:rPr>
        <w:t>CZ27802221</w:t>
      </w:r>
    </w:p>
    <w:p w14:paraId="6A0BBE88" w14:textId="77777777" w:rsidR="005742EC" w:rsidRPr="00B34DE6" w:rsidRDefault="005742EC" w:rsidP="005742EC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 w:val="20"/>
          <w:lang w:eastAsia="cs-CZ"/>
        </w:rPr>
      </w:pPr>
      <w:r w:rsidRPr="00B34DE6">
        <w:rPr>
          <w:rFonts w:cs="Arial"/>
          <w:color w:val="000000"/>
          <w:sz w:val="20"/>
          <w:lang w:eastAsia="cs-CZ"/>
        </w:rPr>
        <w:t xml:space="preserve">společnost zapsaná v obchodním rejstříku vedeném Krajským soudem v Ostravě, oddíl C, vložka 30105 </w:t>
      </w:r>
    </w:p>
    <w:p w14:paraId="6A0BBE89" w14:textId="77777777" w:rsidR="005742EC" w:rsidRPr="00B34DE6" w:rsidRDefault="005742EC" w:rsidP="005742EC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 w:val="20"/>
          <w:lang w:eastAsia="cs-CZ"/>
        </w:rPr>
      </w:pPr>
      <w:r w:rsidRPr="00B34DE6">
        <w:rPr>
          <w:rFonts w:cs="Arial"/>
          <w:color w:val="000000"/>
          <w:sz w:val="20"/>
          <w:lang w:eastAsia="cs-CZ"/>
        </w:rPr>
        <w:t xml:space="preserve">bank. spojení: </w:t>
      </w:r>
      <w:r>
        <w:rPr>
          <w:rFonts w:cs="Arial"/>
          <w:color w:val="000000"/>
          <w:sz w:val="20"/>
          <w:lang w:eastAsia="cs-CZ"/>
        </w:rPr>
        <w:tab/>
      </w:r>
      <w:r>
        <w:rPr>
          <w:rFonts w:cs="Arial"/>
          <w:color w:val="000000"/>
          <w:sz w:val="20"/>
          <w:lang w:eastAsia="cs-CZ"/>
        </w:rPr>
        <w:tab/>
      </w:r>
      <w:r w:rsidRPr="00B34DE6">
        <w:rPr>
          <w:rFonts w:cs="Arial"/>
          <w:color w:val="000000"/>
          <w:sz w:val="20"/>
          <w:lang w:eastAsia="cs-CZ"/>
        </w:rPr>
        <w:t xml:space="preserve">Raiffeisenbank, a.s. </w:t>
      </w:r>
    </w:p>
    <w:p w14:paraId="6A0BBE8A" w14:textId="77777777" w:rsidR="005742EC" w:rsidRPr="00B34DE6" w:rsidRDefault="005742EC" w:rsidP="005742EC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 w:val="20"/>
          <w:lang w:eastAsia="cs-CZ"/>
        </w:rPr>
      </w:pPr>
      <w:r w:rsidRPr="00B34DE6">
        <w:rPr>
          <w:rFonts w:cs="Arial"/>
          <w:color w:val="000000"/>
          <w:sz w:val="20"/>
          <w:lang w:eastAsia="cs-CZ"/>
        </w:rPr>
        <w:t xml:space="preserve">č. účtu: </w:t>
      </w:r>
      <w:r>
        <w:rPr>
          <w:rFonts w:cs="Arial"/>
          <w:color w:val="000000"/>
          <w:sz w:val="20"/>
          <w:lang w:eastAsia="cs-CZ"/>
        </w:rPr>
        <w:tab/>
      </w:r>
      <w:r>
        <w:rPr>
          <w:rFonts w:cs="Arial"/>
          <w:color w:val="000000"/>
          <w:sz w:val="20"/>
          <w:lang w:eastAsia="cs-CZ"/>
        </w:rPr>
        <w:tab/>
      </w:r>
      <w:r>
        <w:rPr>
          <w:rFonts w:cs="Arial"/>
          <w:color w:val="000000"/>
          <w:sz w:val="20"/>
          <w:lang w:eastAsia="cs-CZ"/>
        </w:rPr>
        <w:tab/>
      </w:r>
      <w:r w:rsidRPr="00B34DE6">
        <w:rPr>
          <w:rFonts w:cs="Arial"/>
          <w:color w:val="000000"/>
          <w:sz w:val="20"/>
          <w:lang w:eastAsia="cs-CZ"/>
        </w:rPr>
        <w:t xml:space="preserve">500 551 0117/5500 </w:t>
      </w:r>
    </w:p>
    <w:p w14:paraId="6A0BBE8B" w14:textId="77777777" w:rsidR="005742EC" w:rsidRPr="00B34DE6" w:rsidRDefault="005742EC" w:rsidP="005742EC">
      <w:pPr>
        <w:suppressAutoHyphens w:val="0"/>
        <w:overflowPunct/>
        <w:autoSpaceDN w:val="0"/>
        <w:adjustRightInd w:val="0"/>
        <w:textAlignment w:val="auto"/>
        <w:rPr>
          <w:rFonts w:cs="Arial"/>
          <w:color w:val="000000"/>
          <w:sz w:val="20"/>
          <w:lang w:eastAsia="cs-CZ"/>
        </w:rPr>
      </w:pPr>
      <w:r w:rsidRPr="00B34DE6">
        <w:rPr>
          <w:rFonts w:cs="Arial"/>
          <w:color w:val="000000"/>
          <w:sz w:val="20"/>
          <w:lang w:eastAsia="cs-CZ"/>
        </w:rPr>
        <w:t xml:space="preserve">zastoupen/a: </w:t>
      </w:r>
      <w:r>
        <w:rPr>
          <w:rFonts w:cs="Arial"/>
          <w:color w:val="000000"/>
          <w:sz w:val="20"/>
          <w:lang w:eastAsia="cs-CZ"/>
        </w:rPr>
        <w:tab/>
      </w:r>
      <w:r>
        <w:rPr>
          <w:rFonts w:cs="Arial"/>
          <w:color w:val="000000"/>
          <w:sz w:val="20"/>
          <w:lang w:eastAsia="cs-CZ"/>
        </w:rPr>
        <w:tab/>
      </w:r>
      <w:r w:rsidRPr="00B34DE6">
        <w:rPr>
          <w:rFonts w:cs="Arial"/>
          <w:color w:val="000000"/>
          <w:sz w:val="20"/>
          <w:lang w:eastAsia="cs-CZ"/>
        </w:rPr>
        <w:t xml:space="preserve">Mgr. Patrikem Gajem, jednatelem </w:t>
      </w:r>
    </w:p>
    <w:p w14:paraId="6A0BBE8C" w14:textId="77777777" w:rsidR="005742EC" w:rsidRDefault="005742EC" w:rsidP="005742E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B34DE6">
        <w:rPr>
          <w:rFonts w:ascii="Arial" w:hAnsi="Arial" w:cs="Arial"/>
          <w:color w:val="000000"/>
          <w:sz w:val="20"/>
          <w:szCs w:val="20"/>
          <w:lang w:eastAsia="cs-CZ"/>
        </w:rPr>
        <w:t xml:space="preserve">datová schránka: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B34DE6">
        <w:rPr>
          <w:rFonts w:ascii="Arial" w:hAnsi="Arial" w:cs="Arial"/>
          <w:color w:val="000000"/>
          <w:sz w:val="20"/>
          <w:szCs w:val="20"/>
          <w:lang w:eastAsia="cs-CZ"/>
        </w:rPr>
        <w:t xml:space="preserve">26x9cs2 </w:t>
      </w:r>
    </w:p>
    <w:p w14:paraId="6A0BBE8D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A0BBE8E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6A0BBE8F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A0BBE90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6A0BBE91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A0BBE92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A0BBE93" w14:textId="77777777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15F50">
        <w:rPr>
          <w:rFonts w:cs="Arial"/>
          <w:sz w:val="20"/>
        </w:rPr>
        <w:t>školení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6A0BBE94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6A0BBE95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6A0BBE96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6A0BBE97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6A0BBE98" w14:textId="77777777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6A0BBE99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6A0BBE9A" w14:textId="77777777" w:rsidR="00E5568B" w:rsidRPr="00BA1BF3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2479EB">
        <w:rPr>
          <w:rFonts w:cs="Arial"/>
          <w:b/>
          <w:i/>
          <w:sz w:val="20"/>
          <w:lang w:eastAsia="en-US"/>
        </w:rPr>
        <w:t>10</w:t>
      </w:r>
      <w:r w:rsidR="00BA1BF3" w:rsidRPr="00BA1BF3">
        <w:rPr>
          <w:rFonts w:cs="Arial"/>
          <w:b/>
          <w:i/>
          <w:sz w:val="20"/>
          <w:lang w:eastAsia="en-US"/>
        </w:rPr>
        <w:t xml:space="preserve">) - </w:t>
      </w:r>
      <w:r w:rsidR="002479EB" w:rsidRPr="002479EB">
        <w:rPr>
          <w:rFonts w:cs="Arial"/>
          <w:b/>
          <w:sz w:val="20"/>
        </w:rPr>
        <w:t>Úvodní školení pro lokální síťaře KA 1, Setkání síťařů KA1 I. a II.</w:t>
      </w:r>
      <w:r w:rsidR="00850A15" w:rsidRPr="002479EB">
        <w:rPr>
          <w:rFonts w:cs="Arial"/>
          <w:b/>
          <w:i/>
          <w:sz w:val="20"/>
          <w:lang w:eastAsia="en-US"/>
        </w:rPr>
        <w:t>“</w:t>
      </w:r>
      <w:r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>. Veřejná zakázka je realizována v rámci projektu</w:t>
      </w:r>
      <w:r w:rsidR="007B3DC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Systémový rozvoj a podpora nástrojů sociálně-právní ochrany dětí</w:t>
      </w:r>
      <w:r w:rsidR="007B3DCF">
        <w:rPr>
          <w:rFonts w:cs="Arial"/>
          <w:sz w:val="20"/>
          <w:lang w:eastAsia="en-US"/>
        </w:rPr>
        <w:t>, reg. č.</w:t>
      </w:r>
      <w:r w:rsidR="00E95F0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CZ.03.2.63/0.0/0.0/15_017/0001687</w:t>
      </w:r>
      <w:r w:rsidR="00A0288D">
        <w:rPr>
          <w:rFonts w:cs="Arial"/>
          <w:sz w:val="20"/>
          <w:lang w:eastAsia="en-US"/>
        </w:rPr>
        <w:t xml:space="preserve"> a je hrazena z Operačního programu zaměstnanost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5742EC">
        <w:rPr>
          <w:rFonts w:cs="Arial"/>
          <w:sz w:val="20"/>
          <w:lang w:eastAsia="en-US"/>
        </w:rPr>
        <w:t xml:space="preserve">17.3.2017 </w:t>
      </w:r>
      <w:r w:rsidRPr="00BA1BF3">
        <w:rPr>
          <w:rFonts w:cs="Arial"/>
          <w:sz w:val="20"/>
          <w:lang w:eastAsia="en-US"/>
        </w:rPr>
        <w:t>(dále jen „Nabídka“) a tato byla pro plnění veřejné zakázky vybrána jako nejvhodnější. V návaznosti na tuto skutečnost se smluvní strany dohodly na uzavření této Smlouvy.</w:t>
      </w:r>
    </w:p>
    <w:p w14:paraId="6A0BBE9B" w14:textId="77777777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6A0BBE9C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6A0BBE9D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6A0BBE9E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6A0BBE9F" w14:textId="77777777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2479EB">
        <w:rPr>
          <w:rFonts w:cs="Arial"/>
          <w:iCs/>
          <w:sz w:val="20"/>
          <w:szCs w:val="20"/>
        </w:rPr>
        <w:t xml:space="preserve">tři (3) </w:t>
      </w:r>
      <w:r w:rsidR="00E15F50">
        <w:rPr>
          <w:rFonts w:cs="Arial"/>
          <w:iCs/>
          <w:sz w:val="20"/>
          <w:szCs w:val="20"/>
        </w:rPr>
        <w:t xml:space="preserve">školení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15F50">
        <w:rPr>
          <w:rFonts w:cs="Arial"/>
          <w:iCs/>
          <w:sz w:val="20"/>
          <w:szCs w:val="20"/>
        </w:rPr>
        <w:t>Školení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6A0BBEA0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3" w:name="_Ref359941196"/>
    </w:p>
    <w:p w14:paraId="6A0BBEA1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6A0BBEA2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6A0BBEA3" w14:textId="77777777"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>, je</w:t>
      </w:r>
      <w:r w:rsidR="0025240C">
        <w:rPr>
          <w:rFonts w:cs="Arial"/>
          <w:sz w:val="20"/>
          <w:szCs w:val="20"/>
        </w:rPr>
        <w:t>…………..</w:t>
      </w:r>
      <w:r w:rsidR="000E4010" w:rsidRPr="00D00773">
        <w:rPr>
          <w:rFonts w:cs="Arial"/>
          <w:sz w:val="20"/>
          <w:szCs w:val="20"/>
        </w:rPr>
        <w:t>.</w:t>
      </w:r>
      <w:r w:rsidR="0017296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>Kontaktní osoba, která se bude pohybovat na místě ve dnech pořádání školení bude Dodavateli sdělena 14 dní před pořádáním školení elektronickou poštou.</w:t>
      </w:r>
    </w:p>
    <w:p w14:paraId="6A0BBEA4" w14:textId="77777777" w:rsidR="000C3D67" w:rsidRPr="005742EC" w:rsidRDefault="002447B7" w:rsidP="005742EC">
      <w:pPr>
        <w:pStyle w:val="RLTextlnkuslovan"/>
        <w:widowControl w:val="0"/>
        <w:numPr>
          <w:ilvl w:val="1"/>
          <w:numId w:val="8"/>
        </w:numPr>
        <w:tabs>
          <w:tab w:val="left" w:pos="0"/>
        </w:tabs>
        <w:spacing w:before="240" w:line="280" w:lineRule="atLeast"/>
        <w:ind w:left="567" w:hanging="567"/>
        <w:rPr>
          <w:rFonts w:cs="Arial"/>
          <w:b/>
          <w:bCs/>
          <w:sz w:val="20"/>
        </w:rPr>
      </w:pPr>
      <w:r w:rsidRPr="005742EC">
        <w:rPr>
          <w:rFonts w:cs="Arial"/>
          <w:sz w:val="20"/>
          <w:szCs w:val="20"/>
        </w:rPr>
        <w:t xml:space="preserve">Kontaktní osobou </w:t>
      </w:r>
      <w:r w:rsidR="00221EF0" w:rsidRPr="005742EC">
        <w:rPr>
          <w:rFonts w:cs="Arial"/>
          <w:sz w:val="20"/>
          <w:szCs w:val="20"/>
        </w:rPr>
        <w:t>Dodavatel</w:t>
      </w:r>
      <w:r w:rsidR="00991FD9" w:rsidRPr="005742EC">
        <w:rPr>
          <w:rFonts w:cs="Arial"/>
          <w:sz w:val="20"/>
          <w:szCs w:val="20"/>
        </w:rPr>
        <w:t>e</w:t>
      </w:r>
      <w:r w:rsidRPr="005742EC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 w:rsidRPr="005742EC">
        <w:rPr>
          <w:rFonts w:cs="Arial"/>
          <w:sz w:val="20"/>
          <w:szCs w:val="20"/>
        </w:rPr>
        <w:t>Dodavatel</w:t>
      </w:r>
      <w:r w:rsidR="00991FD9" w:rsidRPr="005742EC">
        <w:rPr>
          <w:rFonts w:cs="Arial"/>
          <w:sz w:val="20"/>
          <w:szCs w:val="20"/>
        </w:rPr>
        <w:t xml:space="preserve"> </w:t>
      </w:r>
      <w:r w:rsidRPr="005742EC">
        <w:rPr>
          <w:rFonts w:cs="Arial"/>
          <w:sz w:val="20"/>
          <w:szCs w:val="20"/>
        </w:rPr>
        <w:t xml:space="preserve">Objednateli jinak, je </w:t>
      </w:r>
      <w:r w:rsidR="0025240C">
        <w:rPr>
          <w:rFonts w:cs="Arial"/>
          <w:sz w:val="20"/>
          <w:szCs w:val="20"/>
        </w:rPr>
        <w:t>……………………..</w:t>
      </w:r>
      <w:r w:rsidR="005742EC" w:rsidRPr="005742EC">
        <w:rPr>
          <w:rFonts w:cs="Arial"/>
          <w:sz w:val="20"/>
          <w:szCs w:val="20"/>
        </w:rPr>
        <w:t>.</w:t>
      </w:r>
      <w:r w:rsidR="00724498" w:rsidRPr="005742EC">
        <w:rPr>
          <w:rFonts w:cs="Arial"/>
          <w:sz w:val="20"/>
          <w:szCs w:val="20"/>
        </w:rPr>
        <w:t xml:space="preserve"> </w:t>
      </w:r>
    </w:p>
    <w:p w14:paraId="6A0BBEA5" w14:textId="77777777" w:rsidR="008B0AD6" w:rsidRDefault="008B0AD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A0BBEA6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6A0BBEA7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6A0BBEA8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</w:t>
      </w:r>
      <w:r w:rsidRPr="00503EF6">
        <w:rPr>
          <w:rFonts w:cs="Arial"/>
          <w:sz w:val="20"/>
          <w:szCs w:val="20"/>
        </w:rPr>
        <w:lastRenderedPageBreak/>
        <w:t>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6A0BBEA9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6A0BBEAA" w14:textId="77777777"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A0BBEAB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6A0BBEAC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6A0BBEAD" w14:textId="77777777" w:rsidR="00FA637D" w:rsidRDefault="003A085C" w:rsidP="00FA637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3A085C">
        <w:rPr>
          <w:rFonts w:cs="Arial"/>
          <w:sz w:val="20"/>
          <w:szCs w:val="20"/>
        </w:rPr>
        <w:t>Místem plnění školení</w:t>
      </w:r>
      <w:r w:rsidR="00FA637D">
        <w:rPr>
          <w:rFonts w:cs="Arial"/>
          <w:sz w:val="20"/>
          <w:szCs w:val="20"/>
        </w:rPr>
        <w:t xml:space="preserve"> </w:t>
      </w:r>
      <w:r w:rsidR="00FA637D" w:rsidRPr="002479EB">
        <w:rPr>
          <w:rFonts w:cs="Arial"/>
          <w:b/>
          <w:sz w:val="20"/>
          <w:szCs w:val="20"/>
        </w:rPr>
        <w:t>Úvodní školení pro lokální síťaře KA 1</w:t>
      </w:r>
      <w:r w:rsidRPr="003A085C">
        <w:rPr>
          <w:rFonts w:cs="Arial"/>
          <w:sz w:val="20"/>
          <w:szCs w:val="20"/>
        </w:rPr>
        <w:t xml:space="preserve"> je </w:t>
      </w:r>
      <w:r w:rsidR="00F43CB0">
        <w:rPr>
          <w:rFonts w:cs="Arial"/>
          <w:sz w:val="20"/>
          <w:szCs w:val="20"/>
        </w:rPr>
        <w:t xml:space="preserve">Hotel Fortuna West, Mrkvičkova 2, 163 00 Praha 6. </w:t>
      </w:r>
      <w:r w:rsidR="00FA637D">
        <w:rPr>
          <w:rFonts w:cs="Arial"/>
          <w:sz w:val="20"/>
          <w:szCs w:val="20"/>
        </w:rPr>
        <w:t>Lokalita musí být dosažitelná</w:t>
      </w:r>
      <w:r w:rsidR="00FA637D" w:rsidRPr="009335E4">
        <w:rPr>
          <w:rFonts w:cs="Arial"/>
          <w:sz w:val="20"/>
          <w:szCs w:val="20"/>
        </w:rPr>
        <w:t xml:space="preserve"> městskou hromadnou dopravou dostupnou z Hlavního nádraží ČD </w:t>
      </w:r>
      <w:r w:rsidR="00FA637D">
        <w:rPr>
          <w:rFonts w:cs="Arial"/>
          <w:sz w:val="20"/>
          <w:szCs w:val="20"/>
        </w:rPr>
        <w:t xml:space="preserve">v Praze </w:t>
      </w:r>
      <w:r w:rsidR="0023317A">
        <w:rPr>
          <w:rFonts w:cs="Arial"/>
          <w:sz w:val="20"/>
          <w:szCs w:val="20"/>
        </w:rPr>
        <w:t xml:space="preserve">a </w:t>
      </w:r>
      <w:r w:rsidR="00FA637D" w:rsidRPr="009335E4">
        <w:rPr>
          <w:rFonts w:cs="Arial"/>
          <w:sz w:val="20"/>
          <w:szCs w:val="20"/>
        </w:rPr>
        <w:t> Autobusového nádraží</w:t>
      </w:r>
      <w:r w:rsidR="00FA637D">
        <w:rPr>
          <w:rFonts w:cs="Arial"/>
          <w:sz w:val="20"/>
          <w:szCs w:val="20"/>
        </w:rPr>
        <w:t xml:space="preserve"> Praha</w:t>
      </w:r>
      <w:r w:rsidR="00FA637D" w:rsidRPr="009335E4">
        <w:rPr>
          <w:rFonts w:cs="Arial"/>
          <w:sz w:val="20"/>
          <w:szCs w:val="20"/>
        </w:rPr>
        <w:t xml:space="preserve"> </w:t>
      </w:r>
      <w:r w:rsidR="00FA637D">
        <w:rPr>
          <w:rFonts w:cs="Arial"/>
          <w:sz w:val="20"/>
          <w:szCs w:val="20"/>
        </w:rPr>
        <w:t xml:space="preserve">Florenc </w:t>
      </w:r>
      <w:r w:rsidR="00FA637D" w:rsidRPr="009335E4">
        <w:rPr>
          <w:rFonts w:cs="Arial"/>
          <w:sz w:val="20"/>
          <w:szCs w:val="20"/>
        </w:rPr>
        <w:t xml:space="preserve">do </w:t>
      </w:r>
      <w:r w:rsidR="00FA637D">
        <w:rPr>
          <w:rFonts w:cs="Arial"/>
          <w:sz w:val="20"/>
          <w:szCs w:val="20"/>
        </w:rPr>
        <w:t>3</w:t>
      </w:r>
      <w:r w:rsidR="00FA637D" w:rsidRPr="009335E4">
        <w:rPr>
          <w:rFonts w:cs="Arial"/>
          <w:sz w:val="20"/>
          <w:szCs w:val="20"/>
        </w:rPr>
        <w:t>0 minut, maximálně do 5 minut chůze od</w:t>
      </w:r>
      <w:r w:rsidR="00FA637D">
        <w:rPr>
          <w:rFonts w:cs="Arial"/>
          <w:sz w:val="20"/>
          <w:szCs w:val="20"/>
        </w:rPr>
        <w:t> </w:t>
      </w:r>
      <w:r w:rsidR="00FA637D" w:rsidRPr="009335E4">
        <w:rPr>
          <w:rFonts w:cs="Arial"/>
          <w:sz w:val="20"/>
          <w:szCs w:val="20"/>
        </w:rPr>
        <w:t>stanice MHD</w:t>
      </w:r>
      <w:r w:rsidR="00FA637D">
        <w:rPr>
          <w:rFonts w:cs="Arial"/>
          <w:sz w:val="20"/>
          <w:szCs w:val="20"/>
        </w:rPr>
        <w:t xml:space="preserve">. Místem plnění školení </w:t>
      </w:r>
      <w:r w:rsidR="00FA637D" w:rsidRPr="002479EB">
        <w:rPr>
          <w:rFonts w:cs="Arial"/>
          <w:b/>
          <w:sz w:val="20"/>
          <w:szCs w:val="20"/>
        </w:rPr>
        <w:t>Setkání síťařů KA1 I.</w:t>
      </w:r>
      <w:r w:rsidR="00FA637D">
        <w:rPr>
          <w:rFonts w:cs="Arial"/>
          <w:b/>
          <w:sz w:val="20"/>
          <w:szCs w:val="20"/>
        </w:rPr>
        <w:t xml:space="preserve"> </w:t>
      </w:r>
      <w:r w:rsidR="00FA637D">
        <w:rPr>
          <w:rFonts w:cs="Arial"/>
          <w:sz w:val="20"/>
          <w:szCs w:val="20"/>
        </w:rPr>
        <w:t xml:space="preserve">je </w:t>
      </w:r>
      <w:r w:rsidR="00F43CB0">
        <w:rPr>
          <w:rFonts w:cs="Arial"/>
          <w:sz w:val="20"/>
          <w:szCs w:val="20"/>
        </w:rPr>
        <w:t>Hotel Fortuna West, Mrkvičkova 2, 163 00 Praha</w:t>
      </w:r>
      <w:r w:rsidR="00FA637D" w:rsidRPr="003A085C">
        <w:rPr>
          <w:rFonts w:cs="Arial"/>
          <w:sz w:val="20"/>
          <w:szCs w:val="20"/>
        </w:rPr>
        <w:t>.</w:t>
      </w:r>
      <w:r w:rsidR="00FA637D">
        <w:rPr>
          <w:rFonts w:cs="Arial"/>
          <w:sz w:val="20"/>
          <w:szCs w:val="20"/>
        </w:rPr>
        <w:t xml:space="preserve"> Lokalita musí být dosažitelná</w:t>
      </w:r>
      <w:r w:rsidR="00FA637D" w:rsidRPr="009335E4">
        <w:rPr>
          <w:rFonts w:cs="Arial"/>
          <w:sz w:val="20"/>
          <w:szCs w:val="20"/>
        </w:rPr>
        <w:t xml:space="preserve"> městskou hromadnou dopravou dostupnou z Hlavního nádraží ČD </w:t>
      </w:r>
      <w:r w:rsidR="0023317A">
        <w:rPr>
          <w:rFonts w:cs="Arial"/>
          <w:sz w:val="20"/>
          <w:szCs w:val="20"/>
        </w:rPr>
        <w:t xml:space="preserve">v Praze a </w:t>
      </w:r>
      <w:r w:rsidR="00FA637D" w:rsidRPr="009335E4">
        <w:rPr>
          <w:rFonts w:cs="Arial"/>
          <w:sz w:val="20"/>
          <w:szCs w:val="20"/>
        </w:rPr>
        <w:t> Autobusového nádraží</w:t>
      </w:r>
      <w:r w:rsidR="00FA637D">
        <w:rPr>
          <w:rFonts w:cs="Arial"/>
          <w:sz w:val="20"/>
          <w:szCs w:val="20"/>
        </w:rPr>
        <w:t xml:space="preserve"> Praha</w:t>
      </w:r>
      <w:r w:rsidR="00FA637D" w:rsidRPr="009335E4">
        <w:rPr>
          <w:rFonts w:cs="Arial"/>
          <w:sz w:val="20"/>
          <w:szCs w:val="20"/>
        </w:rPr>
        <w:t xml:space="preserve"> </w:t>
      </w:r>
      <w:r w:rsidR="00FA637D">
        <w:rPr>
          <w:rFonts w:cs="Arial"/>
          <w:sz w:val="20"/>
          <w:szCs w:val="20"/>
        </w:rPr>
        <w:t xml:space="preserve">Florenc </w:t>
      </w:r>
      <w:r w:rsidR="00FA637D" w:rsidRPr="009335E4">
        <w:rPr>
          <w:rFonts w:cs="Arial"/>
          <w:sz w:val="20"/>
          <w:szCs w:val="20"/>
        </w:rPr>
        <w:t xml:space="preserve">do </w:t>
      </w:r>
      <w:r w:rsidR="00FA637D">
        <w:rPr>
          <w:rFonts w:cs="Arial"/>
          <w:sz w:val="20"/>
          <w:szCs w:val="20"/>
        </w:rPr>
        <w:t>3</w:t>
      </w:r>
      <w:r w:rsidR="00FA637D" w:rsidRPr="009335E4">
        <w:rPr>
          <w:rFonts w:cs="Arial"/>
          <w:sz w:val="20"/>
          <w:szCs w:val="20"/>
        </w:rPr>
        <w:t>0 minut, maximálně do 5 minut chůze od</w:t>
      </w:r>
      <w:r w:rsidR="00FA637D">
        <w:rPr>
          <w:rFonts w:cs="Arial"/>
          <w:sz w:val="20"/>
          <w:szCs w:val="20"/>
        </w:rPr>
        <w:t> </w:t>
      </w:r>
      <w:r w:rsidR="00FA637D" w:rsidRPr="009335E4">
        <w:rPr>
          <w:rFonts w:cs="Arial"/>
          <w:sz w:val="20"/>
          <w:szCs w:val="20"/>
        </w:rPr>
        <w:t>stanice MHD</w:t>
      </w:r>
      <w:r w:rsidR="00FA637D">
        <w:rPr>
          <w:rFonts w:cs="Arial"/>
          <w:sz w:val="20"/>
          <w:szCs w:val="20"/>
        </w:rPr>
        <w:t xml:space="preserve">. </w:t>
      </w:r>
      <w:r w:rsidR="00FA637D" w:rsidRPr="00FA637D">
        <w:rPr>
          <w:rFonts w:cs="Arial"/>
          <w:sz w:val="20"/>
          <w:szCs w:val="20"/>
        </w:rPr>
        <w:t xml:space="preserve">Místem plnění školení </w:t>
      </w:r>
      <w:r w:rsidR="00FA637D" w:rsidRPr="00FA637D">
        <w:rPr>
          <w:rFonts w:cs="Arial"/>
          <w:b/>
          <w:sz w:val="20"/>
          <w:szCs w:val="20"/>
        </w:rPr>
        <w:t xml:space="preserve">Setkání síťařů KA1 II. </w:t>
      </w:r>
      <w:r w:rsidR="00FA637D" w:rsidRPr="00FA637D">
        <w:rPr>
          <w:rFonts w:cs="Arial"/>
          <w:sz w:val="20"/>
          <w:szCs w:val="20"/>
        </w:rPr>
        <w:t xml:space="preserve">je </w:t>
      </w:r>
      <w:r w:rsidR="00F43CB0">
        <w:rPr>
          <w:rFonts w:cs="Arial"/>
          <w:sz w:val="20"/>
          <w:szCs w:val="20"/>
        </w:rPr>
        <w:t>LOLA´S DANCE CENTRE, z.s., Sudova 5/16, 779 00 Olomouc</w:t>
      </w:r>
      <w:r w:rsidR="00FA637D">
        <w:rPr>
          <w:rFonts w:cs="Arial"/>
          <w:sz w:val="20"/>
          <w:szCs w:val="20"/>
        </w:rPr>
        <w:t xml:space="preserve">. </w:t>
      </w:r>
      <w:r w:rsidR="00B902FC" w:rsidRPr="00FA637D">
        <w:rPr>
          <w:rFonts w:cs="Arial"/>
          <w:sz w:val="20"/>
          <w:szCs w:val="20"/>
        </w:rPr>
        <w:t>Lokalita</w:t>
      </w:r>
      <w:r w:rsidR="00283AFA" w:rsidRPr="00FA637D">
        <w:rPr>
          <w:rFonts w:cs="Arial"/>
          <w:sz w:val="20"/>
          <w:szCs w:val="20"/>
        </w:rPr>
        <w:t xml:space="preserve"> musí být </w:t>
      </w:r>
      <w:r w:rsidR="00B902FC" w:rsidRPr="00FA637D">
        <w:rPr>
          <w:rFonts w:cs="Arial"/>
          <w:sz w:val="20"/>
          <w:szCs w:val="20"/>
        </w:rPr>
        <w:t xml:space="preserve">dosažitelná </w:t>
      </w:r>
      <w:r w:rsidR="009335E4" w:rsidRPr="00FA637D">
        <w:rPr>
          <w:rFonts w:cs="Arial"/>
          <w:sz w:val="20"/>
          <w:szCs w:val="20"/>
        </w:rPr>
        <w:t xml:space="preserve">městskou hromadnou dopravou dostupnou z Hlavního nádraží ČD </w:t>
      </w:r>
      <w:r w:rsidR="00B25B9B" w:rsidRPr="00FA637D">
        <w:rPr>
          <w:rFonts w:cs="Arial"/>
          <w:sz w:val="20"/>
          <w:szCs w:val="20"/>
        </w:rPr>
        <w:t>v </w:t>
      </w:r>
      <w:r w:rsidR="00FA637D" w:rsidRPr="00FA637D">
        <w:rPr>
          <w:rFonts w:cs="Arial"/>
          <w:sz w:val="20"/>
          <w:szCs w:val="20"/>
        </w:rPr>
        <w:t>Olomouc</w:t>
      </w:r>
      <w:r w:rsidR="00FA637D">
        <w:rPr>
          <w:rFonts w:cs="Arial"/>
          <w:sz w:val="20"/>
          <w:szCs w:val="20"/>
        </w:rPr>
        <w:t>i</w:t>
      </w:r>
      <w:r w:rsidR="00B25B9B" w:rsidRPr="00FA637D">
        <w:rPr>
          <w:rFonts w:cs="Arial"/>
          <w:sz w:val="20"/>
          <w:szCs w:val="20"/>
        </w:rPr>
        <w:t xml:space="preserve"> </w:t>
      </w:r>
      <w:r w:rsidR="007864AD" w:rsidRPr="00FA637D">
        <w:rPr>
          <w:rFonts w:cs="Arial"/>
          <w:sz w:val="20"/>
          <w:szCs w:val="20"/>
        </w:rPr>
        <w:t>nebo</w:t>
      </w:r>
      <w:r w:rsidR="009335E4" w:rsidRPr="00FA637D">
        <w:rPr>
          <w:rFonts w:cs="Arial"/>
          <w:sz w:val="20"/>
          <w:szCs w:val="20"/>
        </w:rPr>
        <w:t> Autobusového nádraží</w:t>
      </w:r>
      <w:r w:rsidR="00B25B9B" w:rsidRPr="00FA637D">
        <w:rPr>
          <w:rFonts w:cs="Arial"/>
          <w:sz w:val="20"/>
          <w:szCs w:val="20"/>
        </w:rPr>
        <w:t xml:space="preserve"> </w:t>
      </w:r>
      <w:r w:rsidR="009335E4" w:rsidRPr="00FA637D">
        <w:rPr>
          <w:rFonts w:cs="Arial"/>
          <w:sz w:val="20"/>
          <w:szCs w:val="20"/>
        </w:rPr>
        <w:t xml:space="preserve">do </w:t>
      </w:r>
      <w:r w:rsidR="007864AD" w:rsidRPr="00FA637D">
        <w:rPr>
          <w:rFonts w:cs="Arial"/>
          <w:sz w:val="20"/>
          <w:szCs w:val="20"/>
        </w:rPr>
        <w:t>3</w:t>
      </w:r>
      <w:r w:rsidR="009335E4" w:rsidRPr="00FA637D">
        <w:rPr>
          <w:rFonts w:cs="Arial"/>
          <w:sz w:val="20"/>
          <w:szCs w:val="20"/>
        </w:rPr>
        <w:t>0 minut, maximálně do 5 minut chůze od</w:t>
      </w:r>
      <w:r w:rsidR="00283AFA" w:rsidRPr="00FA637D">
        <w:rPr>
          <w:rFonts w:cs="Arial"/>
          <w:sz w:val="20"/>
          <w:szCs w:val="20"/>
        </w:rPr>
        <w:t> </w:t>
      </w:r>
      <w:r w:rsidR="009335E4" w:rsidRPr="00FA637D">
        <w:rPr>
          <w:rFonts w:cs="Arial"/>
          <w:sz w:val="20"/>
          <w:szCs w:val="20"/>
        </w:rPr>
        <w:t>stanice MHD</w:t>
      </w:r>
      <w:r w:rsidR="006C02FB" w:rsidRPr="00FA637D">
        <w:rPr>
          <w:rFonts w:cs="Arial"/>
          <w:sz w:val="20"/>
          <w:szCs w:val="20"/>
        </w:rPr>
        <w:t xml:space="preserve">. </w:t>
      </w:r>
      <w:bookmarkStart w:id="5" w:name="_Ref209935830"/>
    </w:p>
    <w:p w14:paraId="6A0BBEAE" w14:textId="77777777" w:rsidR="00FA637D" w:rsidRPr="00FA637D" w:rsidRDefault="000158A8" w:rsidP="00FA637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FA637D">
        <w:rPr>
          <w:rFonts w:cs="Arial"/>
          <w:sz w:val="20"/>
          <w:szCs w:val="20"/>
        </w:rPr>
        <w:t xml:space="preserve">Školení </w:t>
      </w:r>
      <w:r w:rsidR="00FA637D" w:rsidRPr="00FA637D">
        <w:rPr>
          <w:rFonts w:cs="Arial"/>
          <w:b/>
          <w:sz w:val="20"/>
          <w:szCs w:val="20"/>
        </w:rPr>
        <w:t>Úvodní školení pro lokální síťaře KA 1</w:t>
      </w:r>
      <w:r w:rsidR="00FA637D" w:rsidRPr="00FA637D">
        <w:rPr>
          <w:rFonts w:cs="Arial"/>
          <w:sz w:val="20"/>
          <w:szCs w:val="20"/>
        </w:rPr>
        <w:t xml:space="preserve"> </w:t>
      </w:r>
      <w:r w:rsidRPr="00FA637D">
        <w:rPr>
          <w:rFonts w:cs="Arial"/>
          <w:sz w:val="20"/>
          <w:szCs w:val="20"/>
        </w:rPr>
        <w:t xml:space="preserve">bude </w:t>
      </w:r>
      <w:r w:rsidR="00FA637D" w:rsidRPr="00FA637D">
        <w:rPr>
          <w:rFonts w:cs="Arial"/>
          <w:sz w:val="20"/>
          <w:szCs w:val="20"/>
        </w:rPr>
        <w:t xml:space="preserve">dvoudenní </w:t>
      </w:r>
      <w:r w:rsidRPr="00FA637D">
        <w:rPr>
          <w:rFonts w:cs="Arial"/>
          <w:sz w:val="20"/>
          <w:szCs w:val="20"/>
        </w:rPr>
        <w:t xml:space="preserve">a bude se konat v termínu </w:t>
      </w:r>
      <w:r w:rsidR="00FA637D" w:rsidRPr="00FA637D">
        <w:rPr>
          <w:rFonts w:cs="Arial"/>
          <w:sz w:val="20"/>
          <w:szCs w:val="20"/>
        </w:rPr>
        <w:t xml:space="preserve">27. – 28. 3. 2017 (27.3.2017 – 10:00–18:30, 28.3.2017 – 9:00-17:00). Školení </w:t>
      </w:r>
      <w:r w:rsidR="00FA637D" w:rsidRPr="00FA637D">
        <w:rPr>
          <w:rFonts w:cs="Arial"/>
          <w:b/>
          <w:sz w:val="20"/>
          <w:szCs w:val="20"/>
        </w:rPr>
        <w:t xml:space="preserve">Setkání síťařů KA1 I. </w:t>
      </w:r>
      <w:r w:rsidR="00FA637D" w:rsidRPr="00FA637D">
        <w:rPr>
          <w:rFonts w:cs="Arial"/>
          <w:sz w:val="20"/>
          <w:szCs w:val="20"/>
        </w:rPr>
        <w:t xml:space="preserve">bude jednodenní a bude se konat v termínu 23. 5. 2017 od 9:30 do 17:30. Školení </w:t>
      </w:r>
      <w:r w:rsidR="00FA637D" w:rsidRPr="00FA637D">
        <w:rPr>
          <w:rFonts w:cs="Arial"/>
          <w:b/>
          <w:sz w:val="20"/>
          <w:szCs w:val="20"/>
        </w:rPr>
        <w:t xml:space="preserve">Setkání síťařů KA1 II. </w:t>
      </w:r>
      <w:r w:rsidR="00FA637D" w:rsidRPr="00FA637D">
        <w:rPr>
          <w:rFonts w:cs="Arial"/>
          <w:sz w:val="20"/>
          <w:szCs w:val="20"/>
        </w:rPr>
        <w:t>bude jednodenní a bude se konat v termínu</w:t>
      </w:r>
      <w:r w:rsidR="00FA637D" w:rsidRPr="00FA637D">
        <w:rPr>
          <w:rFonts w:cs="Arial"/>
          <w:b/>
          <w:sz w:val="20"/>
          <w:szCs w:val="20"/>
        </w:rPr>
        <w:t xml:space="preserve"> </w:t>
      </w:r>
      <w:r w:rsidR="00FA637D" w:rsidRPr="00FA637D">
        <w:rPr>
          <w:rFonts w:cs="Arial"/>
          <w:sz w:val="20"/>
          <w:szCs w:val="20"/>
        </w:rPr>
        <w:t>30. 5. 2017 od 9:30 do 17:30.</w:t>
      </w:r>
    </w:p>
    <w:p w14:paraId="6A0BBEAF" w14:textId="77777777"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4"/>
      <w:bookmarkEnd w:id="5"/>
    </w:p>
    <w:p w14:paraId="6A0BBEB0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14:paraId="6A0BBEB1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6A0BBEB2" w14:textId="77777777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F43CB0">
        <w:rPr>
          <w:rFonts w:cs="Arial"/>
          <w:sz w:val="20"/>
          <w:szCs w:val="20"/>
        </w:rPr>
        <w:t>46 400,-</w:t>
      </w:r>
      <w:r>
        <w:rPr>
          <w:rFonts w:cs="Arial"/>
          <w:sz w:val="20"/>
          <w:szCs w:val="20"/>
        </w:rPr>
        <w:t xml:space="preserve"> Kč bez DPH</w:t>
      </w:r>
      <w:r w:rsidR="00F43CB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F43CB0">
        <w:rPr>
          <w:rFonts w:cs="Arial"/>
          <w:sz w:val="20"/>
          <w:szCs w:val="20"/>
        </w:rPr>
        <w:t>1 764,-</w:t>
      </w:r>
      <w:r>
        <w:rPr>
          <w:rFonts w:cs="Arial"/>
          <w:sz w:val="20"/>
          <w:szCs w:val="20"/>
        </w:rPr>
        <w:t xml:space="preserve"> K</w:t>
      </w:r>
      <w:r w:rsidR="00F43CB0">
        <w:rPr>
          <w:rFonts w:cs="Arial"/>
          <w:sz w:val="20"/>
          <w:szCs w:val="20"/>
        </w:rPr>
        <w:t>č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 xml:space="preserve">výše 21% DPH činí </w:t>
      </w:r>
      <w:r w:rsidR="00F43CB0">
        <w:rPr>
          <w:rFonts w:cs="Arial"/>
          <w:sz w:val="20"/>
          <w:szCs w:val="20"/>
        </w:rPr>
        <w:t>7 274,40,-</w:t>
      </w:r>
      <w:r w:rsidR="007B7898">
        <w:rPr>
          <w:rFonts w:cs="Arial"/>
          <w:sz w:val="20"/>
          <w:szCs w:val="20"/>
        </w:rPr>
        <w:t xml:space="preserve"> Kč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F43CB0">
        <w:rPr>
          <w:rFonts w:cs="Arial"/>
          <w:sz w:val="20"/>
          <w:szCs w:val="20"/>
        </w:rPr>
        <w:t>55 438,40,-</w:t>
      </w:r>
      <w:r>
        <w:rPr>
          <w:rFonts w:cs="Arial"/>
          <w:sz w:val="20"/>
          <w:szCs w:val="20"/>
        </w:rPr>
        <w:t xml:space="preserve"> Kč vč. DP</w:t>
      </w:r>
      <w:r w:rsidR="00F43CB0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>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14:paraId="6A0BBEB3" w14:textId="77777777" w:rsidR="00B66886" w:rsidRDefault="00B66886" w:rsidP="00B66886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odměna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>realizaci předmětu</w:t>
      </w:r>
      <w:r w:rsidRPr="00503EF6">
        <w:rPr>
          <w:rFonts w:cs="Arial"/>
          <w:sz w:val="20"/>
          <w:szCs w:val="20"/>
        </w:rPr>
        <w:t xml:space="preserve"> plnění dle této Smlouvy</w:t>
      </w:r>
      <w:r>
        <w:rPr>
          <w:rFonts w:cs="Arial"/>
          <w:sz w:val="20"/>
          <w:szCs w:val="20"/>
        </w:rPr>
        <w:t xml:space="preserve"> bude </w:t>
      </w:r>
      <w:r w:rsidRPr="00AD6A2F">
        <w:rPr>
          <w:rFonts w:cs="Arial"/>
          <w:sz w:val="20"/>
          <w:szCs w:val="20"/>
        </w:rPr>
        <w:t>stanov</w:t>
      </w:r>
      <w:r>
        <w:rPr>
          <w:rFonts w:cs="Arial"/>
          <w:sz w:val="20"/>
          <w:szCs w:val="20"/>
        </w:rPr>
        <w:t>ena</w:t>
      </w:r>
      <w:r w:rsidRPr="00AD6A2F">
        <w:rPr>
          <w:rFonts w:cs="Arial"/>
          <w:sz w:val="20"/>
          <w:szCs w:val="20"/>
        </w:rPr>
        <w:t xml:space="preserve"> jako součet dílčích cen za jednotlivá dílčí školení</w:t>
      </w:r>
      <w:r>
        <w:rPr>
          <w:rFonts w:cs="Arial"/>
          <w:sz w:val="20"/>
          <w:szCs w:val="20"/>
        </w:rPr>
        <w:t>:</w:t>
      </w:r>
    </w:p>
    <w:p w14:paraId="6A0BBEB4" w14:textId="77777777" w:rsidR="0006386E" w:rsidRDefault="0006386E" w:rsidP="0006386E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567"/>
        <w:rPr>
          <w:rFonts w:cs="Arial"/>
          <w:sz w:val="20"/>
          <w:szCs w:val="20"/>
        </w:rPr>
      </w:pPr>
    </w:p>
    <w:p w14:paraId="6A0BBEB5" w14:textId="77777777" w:rsidR="0006386E" w:rsidRDefault="0006386E" w:rsidP="0006386E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567"/>
        <w:rPr>
          <w:rFonts w:cs="Arial"/>
          <w:sz w:val="20"/>
          <w:szCs w:val="20"/>
        </w:rPr>
      </w:pPr>
    </w:p>
    <w:tbl>
      <w:tblPr>
        <w:tblStyle w:val="Mkatabulky"/>
        <w:tblpPr w:leftFromText="141" w:rightFromText="141" w:vertAnchor="page" w:horzAnchor="margin" w:tblpXSpec="center" w:tblpY="2743"/>
        <w:tblW w:w="8470" w:type="dxa"/>
        <w:tblLook w:val="04A0" w:firstRow="1" w:lastRow="0" w:firstColumn="1" w:lastColumn="0" w:noHBand="0" w:noVBand="1"/>
      </w:tblPr>
      <w:tblGrid>
        <w:gridCol w:w="2695"/>
        <w:gridCol w:w="1443"/>
        <w:gridCol w:w="1444"/>
        <w:gridCol w:w="1444"/>
        <w:gridCol w:w="1444"/>
      </w:tblGrid>
      <w:tr w:rsidR="0006386E" w14:paraId="6A0BBEBC" w14:textId="77777777" w:rsidTr="0006386E"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A0BBEB6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lastRenderedPageBreak/>
              <w:t>Název školení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A0BBEB7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6A0BBEB8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6A0BBEB9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6A0BBEBA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t xml:space="preserve">Nabídková cena </w:t>
            </w:r>
          </w:p>
          <w:p w14:paraId="6A0BBEBB" w14:textId="77777777" w:rsidR="0006386E" w:rsidRPr="00EC213A" w:rsidRDefault="0006386E" w:rsidP="0006386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C213A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06386E" w14:paraId="6A0BBEC2" w14:textId="77777777" w:rsidTr="0006386E">
        <w:tc>
          <w:tcPr>
            <w:tcW w:w="2695" w:type="dxa"/>
          </w:tcPr>
          <w:p w14:paraId="6A0BBEBD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EC213A">
              <w:rPr>
                <w:rFonts w:cs="Arial"/>
                <w:sz w:val="20"/>
              </w:rPr>
              <w:t>Úvodní školení pro lokální síťaře KA 1</w:t>
            </w:r>
          </w:p>
        </w:tc>
        <w:tc>
          <w:tcPr>
            <w:tcW w:w="1443" w:type="dxa"/>
          </w:tcPr>
          <w:p w14:paraId="6A0BBEBE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27 000</w:t>
            </w:r>
          </w:p>
        </w:tc>
        <w:tc>
          <w:tcPr>
            <w:tcW w:w="1444" w:type="dxa"/>
          </w:tcPr>
          <w:p w14:paraId="6A0BBEBF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828</w:t>
            </w:r>
          </w:p>
        </w:tc>
        <w:tc>
          <w:tcPr>
            <w:tcW w:w="1444" w:type="dxa"/>
          </w:tcPr>
          <w:p w14:paraId="6A0BBEC0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4 510,80</w:t>
            </w:r>
          </w:p>
        </w:tc>
        <w:tc>
          <w:tcPr>
            <w:tcW w:w="1444" w:type="dxa"/>
          </w:tcPr>
          <w:p w14:paraId="6A0BBEC1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32 338,80</w:t>
            </w:r>
          </w:p>
        </w:tc>
      </w:tr>
      <w:tr w:rsidR="0006386E" w14:paraId="6A0BBEC8" w14:textId="77777777" w:rsidTr="0006386E">
        <w:tc>
          <w:tcPr>
            <w:tcW w:w="2695" w:type="dxa"/>
          </w:tcPr>
          <w:p w14:paraId="6A0BBEC3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EC213A">
              <w:rPr>
                <w:rFonts w:cs="Arial"/>
                <w:sz w:val="20"/>
              </w:rPr>
              <w:t>Setkání síťařů KA1 I.</w:t>
            </w:r>
            <w:r w:rsidRPr="00EC213A">
              <w:rPr>
                <w:rFonts w:cs="Arial"/>
                <w:sz w:val="20"/>
              </w:rPr>
              <w:tab/>
            </w:r>
          </w:p>
        </w:tc>
        <w:tc>
          <w:tcPr>
            <w:tcW w:w="1443" w:type="dxa"/>
          </w:tcPr>
          <w:p w14:paraId="6A0BBEC4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9 700</w:t>
            </w:r>
          </w:p>
        </w:tc>
        <w:tc>
          <w:tcPr>
            <w:tcW w:w="1444" w:type="dxa"/>
          </w:tcPr>
          <w:p w14:paraId="6A0BBEC5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468</w:t>
            </w:r>
          </w:p>
        </w:tc>
        <w:tc>
          <w:tcPr>
            <w:tcW w:w="1444" w:type="dxa"/>
          </w:tcPr>
          <w:p w14:paraId="6A0BBEC6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1 381,80</w:t>
            </w:r>
          </w:p>
        </w:tc>
        <w:tc>
          <w:tcPr>
            <w:tcW w:w="1444" w:type="dxa"/>
          </w:tcPr>
          <w:p w14:paraId="6A0BBEC7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11 549,80</w:t>
            </w:r>
          </w:p>
        </w:tc>
      </w:tr>
      <w:tr w:rsidR="0006386E" w14:paraId="6A0BBECE" w14:textId="77777777" w:rsidTr="0006386E">
        <w:tc>
          <w:tcPr>
            <w:tcW w:w="2695" w:type="dxa"/>
          </w:tcPr>
          <w:p w14:paraId="6A0BBEC9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EC213A">
              <w:rPr>
                <w:rFonts w:cs="Arial"/>
                <w:sz w:val="20"/>
              </w:rPr>
              <w:t>Setkání síťařů KA1 II.</w:t>
            </w:r>
          </w:p>
        </w:tc>
        <w:tc>
          <w:tcPr>
            <w:tcW w:w="1443" w:type="dxa"/>
          </w:tcPr>
          <w:p w14:paraId="6A0BBECA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9 700</w:t>
            </w:r>
          </w:p>
        </w:tc>
        <w:tc>
          <w:tcPr>
            <w:tcW w:w="1444" w:type="dxa"/>
          </w:tcPr>
          <w:p w14:paraId="6A0BBECB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468</w:t>
            </w:r>
          </w:p>
        </w:tc>
        <w:tc>
          <w:tcPr>
            <w:tcW w:w="1444" w:type="dxa"/>
          </w:tcPr>
          <w:p w14:paraId="6A0BBECC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1 381,80</w:t>
            </w:r>
          </w:p>
        </w:tc>
        <w:tc>
          <w:tcPr>
            <w:tcW w:w="1444" w:type="dxa"/>
          </w:tcPr>
          <w:p w14:paraId="6A0BBECD" w14:textId="77777777" w:rsidR="0006386E" w:rsidRPr="00EC213A" w:rsidRDefault="0006386E" w:rsidP="0006386E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11 549,80</w:t>
            </w:r>
          </w:p>
        </w:tc>
      </w:tr>
    </w:tbl>
    <w:p w14:paraId="6A0BBECF" w14:textId="77777777"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EF61E8">
        <w:rPr>
          <w:rFonts w:cs="Arial"/>
          <w:sz w:val="20"/>
          <w:szCs w:val="20"/>
        </w:rPr>
        <w:t xml:space="preserve">dílčího </w:t>
      </w:r>
      <w:r w:rsidR="00194336">
        <w:rPr>
          <w:rFonts w:cs="Arial"/>
          <w:sz w:val="20"/>
          <w:szCs w:val="20"/>
        </w:rPr>
        <w:t>š</w:t>
      </w:r>
      <w:r w:rsidR="000C47AA">
        <w:rPr>
          <w:rFonts w:cs="Arial"/>
          <w:sz w:val="20"/>
          <w:szCs w:val="20"/>
        </w:rPr>
        <w:t>kolení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6A0BBED0" w14:textId="77777777" w:rsidR="00AF7921" w:rsidRPr="00AF7921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 w:rsidR="001E0DE6"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 w:rsidR="003D74D5">
        <w:rPr>
          <w:rFonts w:cs="Arial"/>
          <w:sz w:val="20"/>
          <w:szCs w:val="20"/>
        </w:rPr>
        <w:t>realizaci předmětu plnění</w:t>
      </w:r>
      <w:r w:rsidR="00D3343E">
        <w:rPr>
          <w:rFonts w:cs="Arial"/>
          <w:sz w:val="20"/>
          <w:szCs w:val="20"/>
        </w:rPr>
        <w:t xml:space="preserve"> tzn. za jednotlivé dílčí školení,</w:t>
      </w:r>
      <w:r w:rsidRPr="00AF7921">
        <w:rPr>
          <w:rFonts w:cs="Arial"/>
          <w:sz w:val="20"/>
          <w:szCs w:val="20"/>
        </w:rPr>
        <w:t xml:space="preserve"> bude v případě občerstvení, ubytování</w:t>
      </w:r>
      <w:r>
        <w:rPr>
          <w:rFonts w:cs="Arial"/>
          <w:sz w:val="20"/>
          <w:szCs w:val="20"/>
        </w:rPr>
        <w:t xml:space="preserve">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 w:rsidR="001E0DE6">
        <w:rPr>
          <w:rFonts w:cs="Arial"/>
          <w:sz w:val="20"/>
          <w:szCs w:val="20"/>
        </w:rPr>
        <w:t xml:space="preserve"> každé</w:t>
      </w:r>
      <w:r w:rsidRPr="00AF7921">
        <w:rPr>
          <w:rFonts w:cs="Arial"/>
          <w:sz w:val="20"/>
          <w:szCs w:val="20"/>
        </w:rPr>
        <w:t xml:space="preserve"> akce. Objednatel bude hradit jen skutečně odebrané služby. Poskytovatel je povinen respektovat finanční limity stanovené v Příloze č. 1 této Smlouvy.</w:t>
      </w:r>
    </w:p>
    <w:p w14:paraId="6A0BBED1" w14:textId="77777777" w:rsidR="00CE0309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14:paraId="6A0BBED2" w14:textId="7777777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14:paraId="6A0BBED3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14:paraId="6A0BBED4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14:paraId="6A0BBED5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14:paraId="6A0BBED6" w14:textId="7777777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B1CB8" w:rsidRPr="002B1CB8">
        <w:rPr>
          <w:rFonts w:cs="Arial"/>
          <w:sz w:val="20"/>
        </w:rPr>
        <w:t>cofee break /1 osoba</w:t>
      </w:r>
      <w:r w:rsidR="00030AE7">
        <w:rPr>
          <w:rFonts w:cs="Arial"/>
          <w:sz w:val="20"/>
        </w:rPr>
        <w:t xml:space="preserve"> (l</w:t>
      </w:r>
      <w:r w:rsidR="00030AE7" w:rsidRPr="00030AE7">
        <w:rPr>
          <w:rFonts w:cs="Arial"/>
          <w:sz w:val="20"/>
        </w:rPr>
        <w:t>imit OPZ 150,00 Kč Os/den vč. DPH</w:t>
      </w:r>
      <w:r w:rsidR="00030AE7">
        <w:rPr>
          <w:rFonts w:cs="Arial"/>
          <w:sz w:val="20"/>
        </w:rPr>
        <w:t>)</w:t>
      </w:r>
    </w:p>
    <w:p w14:paraId="6A0BBED7" w14:textId="77777777"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12510">
        <w:rPr>
          <w:rFonts w:cs="Arial"/>
          <w:sz w:val="20"/>
        </w:rPr>
        <w:t>coffee break /</w:t>
      </w:r>
      <w:r w:rsidR="006C267D">
        <w:rPr>
          <w:rFonts w:cs="Arial"/>
          <w:sz w:val="20"/>
        </w:rPr>
        <w:t xml:space="preserve"> </w:t>
      </w:r>
      <w:r w:rsidR="00EC213A">
        <w:rPr>
          <w:rFonts w:cs="Arial"/>
          <w:sz w:val="20"/>
        </w:rPr>
        <w:t>celkový počet účastníků</w:t>
      </w:r>
      <w:r w:rsidR="00EA59C6">
        <w:rPr>
          <w:rFonts w:cs="Arial"/>
          <w:sz w:val="20"/>
        </w:rPr>
        <w:t xml:space="preserve"> (celkové náklady na coffee break budou stanoveny na základě počtu účastníků, jenž bude upřesněn </w:t>
      </w:r>
      <w:r w:rsidR="00C52CB6">
        <w:rPr>
          <w:rFonts w:cs="Arial"/>
          <w:sz w:val="20"/>
        </w:rPr>
        <w:t>3 pracovní dny</w:t>
      </w:r>
      <w:r w:rsidR="00EA59C6">
        <w:rPr>
          <w:rFonts w:cs="Arial"/>
          <w:sz w:val="20"/>
        </w:rPr>
        <w:t xml:space="preserve"> před konáním akce)</w:t>
      </w:r>
    </w:p>
    <w:p w14:paraId="6A0BBED8" w14:textId="77777777" w:rsidR="00C52CB6" w:rsidRDefault="00C52CB6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ubytování / 1 osoba (limit OPZ 1000 Kč Os/den vč. DPH)</w:t>
      </w:r>
      <w:r w:rsidR="00D814B2">
        <w:rPr>
          <w:rFonts w:cs="Arial"/>
          <w:sz w:val="20"/>
        </w:rPr>
        <w:t xml:space="preserve"> pouze v  případě dílčího školení </w:t>
      </w:r>
      <w:r w:rsidR="00D814B2" w:rsidRPr="002479EB">
        <w:rPr>
          <w:rFonts w:cs="Arial"/>
          <w:b/>
          <w:sz w:val="20"/>
        </w:rPr>
        <w:t>Úvodní školení pro lokální síťaře KA 1</w:t>
      </w:r>
    </w:p>
    <w:p w14:paraId="6A0BBED9" w14:textId="77777777" w:rsidR="00CF2FC2" w:rsidRDefault="00CF2FC2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>
        <w:rPr>
          <w:rFonts w:cs="Arial"/>
          <w:sz w:val="20"/>
        </w:rPr>
        <w:t xml:space="preserve">ubytování/počet účastníků </w:t>
      </w:r>
      <w:r w:rsidR="00460942">
        <w:rPr>
          <w:rFonts w:cs="Arial"/>
          <w:sz w:val="20"/>
        </w:rPr>
        <w:t>bude upřesněn 3 pracovní dny před konáním akce -</w:t>
      </w:r>
      <w:r w:rsidR="00D814B2">
        <w:rPr>
          <w:rFonts w:cs="Arial"/>
          <w:sz w:val="20"/>
        </w:rPr>
        <w:t xml:space="preserve"> pouze v případě dílčího školení </w:t>
      </w:r>
      <w:r w:rsidR="00D814B2" w:rsidRPr="002479EB">
        <w:rPr>
          <w:rFonts w:cs="Arial"/>
          <w:b/>
          <w:sz w:val="20"/>
        </w:rPr>
        <w:t>Úvodní školení pro lokální síťaře KA 1</w:t>
      </w:r>
    </w:p>
    <w:p w14:paraId="6A0BBEDA" w14:textId="77777777" w:rsidR="00DF50B1" w:rsidRPr="000E4010" w:rsidRDefault="007B3DCF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7B3DCF">
        <w:rPr>
          <w:rFonts w:cs="Arial"/>
          <w:sz w:val="20"/>
          <w:lang w:eastAsia="en-US"/>
        </w:rPr>
        <w:t>Systémový rozvoj a podpora nástrojů sociálně-právní ochrany dětí</w:t>
      </w:r>
      <w:r>
        <w:rPr>
          <w:rFonts w:cs="Arial"/>
          <w:sz w:val="20"/>
          <w:lang w:eastAsia="en-US"/>
        </w:rPr>
        <w:t xml:space="preserve">, reg. č. </w:t>
      </w:r>
      <w:r w:rsidRPr="007B3DCF">
        <w:rPr>
          <w:rFonts w:cs="Arial"/>
          <w:sz w:val="20"/>
          <w:lang w:eastAsia="en-US"/>
        </w:rPr>
        <w:t>CZ.03.2.63/0.0/0.0/15_017/0001687</w:t>
      </w:r>
      <w:r w:rsidR="00A0288D">
        <w:rPr>
          <w:rFonts w:cs="Arial"/>
          <w:sz w:val="20"/>
          <w:lang w:eastAsia="en-US"/>
        </w:rPr>
        <w:t xml:space="preserve"> hrazeno z Operačního programu zaměstnanost</w:t>
      </w:r>
    </w:p>
    <w:p w14:paraId="6A0BBEDB" w14:textId="77777777" w:rsidR="00294083" w:rsidRPr="00503EF6" w:rsidRDefault="00294083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činí  30 kalendářních dnů a počíná běžet ode dne prokazatelného doručení faktur Objednateli. V případě, že bude faktura, resp. opravný daňový doklad Objednateli doručena v období od 12. Prosince příslušného kalendářního roku do 28. Února roku následujícího, činí splatnost takové faktury 90 kalendářních dnů ode dne jejího prokazatelného </w:t>
      </w:r>
      <w:r>
        <w:rPr>
          <w:rFonts w:cs="Arial"/>
          <w:sz w:val="20"/>
          <w:szCs w:val="20"/>
        </w:rPr>
        <w:lastRenderedPageBreak/>
        <w:t>doručení. Faktura je považována za uhrazenou dnem odepsání příslušné částky z účtu Objednatele a jejím přesměrováním na účet Dodavatele.</w:t>
      </w:r>
    </w:p>
    <w:p w14:paraId="6A0BBEDC" w14:textId="77777777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6A0BBEDD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6A0BBEDE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6A0BBEDF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6A0BBEE0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14:paraId="6A0BBEE1" w14:textId="77777777"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14:paraId="6A0BBEE2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6A0BBEE3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6A0BBEE4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6A0BBEE5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6A0BBEE6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6A0BBEE7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6A0BBEE8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6A0BBEE9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6A0BBEEA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6A0BBEEB" w14:textId="77777777"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14:paraId="6A0BBEEC" w14:textId="77777777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14:paraId="6A0BBEED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14:paraId="6A0BBEEE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6A0BBEEF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6A0BBEF0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6A0BBEF1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6A0BBEF2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6A0BBEF3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6A0BBEF4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6A0BBEF5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6A0BBEF6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6A0BBEF7" w14:textId="77777777"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6A0BBEF8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14:paraId="6A0BBEF9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6A0BBEFA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6A0BBEFB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6A0BBEFC" w14:textId="77777777" w:rsidR="000B1878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 xml:space="preserve">ve stanovené lhůtě plnění dle článku 5 odst. 5.2 této Smlouvy </w:t>
      </w:r>
      <w:r w:rsidR="00DF50B1" w:rsidRPr="0038088C">
        <w:rPr>
          <w:rFonts w:cs="Arial"/>
          <w:sz w:val="20"/>
          <w:szCs w:val="20"/>
        </w:rPr>
        <w:t xml:space="preserve">či </w:t>
      </w:r>
      <w:r w:rsidR="008534B8" w:rsidRPr="0038088C">
        <w:rPr>
          <w:rFonts w:cs="Arial"/>
          <w:sz w:val="20"/>
          <w:szCs w:val="20"/>
        </w:rPr>
        <w:t xml:space="preserve">plnění neposkytne </w:t>
      </w:r>
      <w:r w:rsidR="00DF50B1" w:rsidRPr="0038088C">
        <w:rPr>
          <w:rFonts w:cs="Arial"/>
          <w:sz w:val="20"/>
          <w:szCs w:val="20"/>
        </w:rPr>
        <w:t>v požadova</w:t>
      </w:r>
      <w:r w:rsidR="00444843" w:rsidRPr="0038088C">
        <w:rPr>
          <w:rFonts w:cs="Arial"/>
          <w:sz w:val="20"/>
          <w:szCs w:val="20"/>
        </w:rPr>
        <w:t>né kva</w:t>
      </w:r>
      <w:r w:rsidR="009321E3" w:rsidRPr="0038088C">
        <w:rPr>
          <w:rFonts w:cs="Arial"/>
          <w:sz w:val="20"/>
          <w:szCs w:val="20"/>
        </w:rPr>
        <w:t xml:space="preserve">litě,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14:paraId="6A0BBEFD" w14:textId="77777777"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6A0BBEFE" w14:textId="77777777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6A0BBEFF" w14:textId="77777777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6A0BBF0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6A0BBF01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6A0BBF02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</w:t>
      </w:r>
      <w:r w:rsidR="00DF50B1" w:rsidRPr="00503EF6">
        <w:rPr>
          <w:rFonts w:cs="Arial"/>
          <w:sz w:val="20"/>
          <w:szCs w:val="20"/>
        </w:rPr>
        <w:lastRenderedPageBreak/>
        <w:t>uplatněny.</w:t>
      </w:r>
    </w:p>
    <w:p w14:paraId="6A0BBF0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6A0BBF04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A0BBF05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6A0BBF06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6A0BBF07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6A0BBF08" w14:textId="77777777"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14:paraId="6A0BBF09" w14:textId="77777777"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6A0BBF0A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6A0BBF0B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6A0BBF0C" w14:textId="77777777" w:rsidR="0075227B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6A0BBF0D" w14:textId="77777777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14:paraId="6A0BBF0E" w14:textId="77777777"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6A0BBF0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6A0BBF10" w14:textId="77777777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14:paraId="6A0BBF11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6A0BBF12" w14:textId="77777777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</w:t>
      </w:r>
      <w:r w:rsidR="00DF50B1" w:rsidRPr="00503EF6">
        <w:rPr>
          <w:rFonts w:cs="Arial"/>
          <w:sz w:val="20"/>
          <w:szCs w:val="20"/>
        </w:rPr>
        <w:lastRenderedPageBreak/>
        <w:t xml:space="preserve">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6A0BBF1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6A0BBF1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6A0BBF15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6A0BBF16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6A0BBF17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6A0BBF18" w14:textId="77777777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by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6A0BBF19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6A0BBF1A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A0BBF1B" w14:textId="77777777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6A0BBF1C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6A0BBF1D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6A0BBF1E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6A0BBF1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6A0BBF20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6A0BBF21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lastRenderedPageBreak/>
        <w:t>Vztahy mezi smluvními stranami touto Smlouvou výslovně neupravené se řídí platnými a účinnými právními předpisy České republiky, zejména Občanským zákoníkem.</w:t>
      </w:r>
    </w:p>
    <w:p w14:paraId="6A0BBF2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6A0BBF23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6A0BBF24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6A0BBF25" w14:textId="77777777"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14:paraId="6A0BBF26" w14:textId="77777777"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6A0BBF31" w14:textId="77777777" w:rsidTr="00C3279A">
        <w:tc>
          <w:tcPr>
            <w:tcW w:w="4605" w:type="dxa"/>
            <w:hideMark/>
          </w:tcPr>
          <w:p w14:paraId="6A0BBF27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28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6A0BBF29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2A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2B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6A0BBF2C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2D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6A0BBF2E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2F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0" w14:textId="77777777" w:rsidR="00C3279A" w:rsidRPr="00C3279A" w:rsidRDefault="00C3279A" w:rsidP="00F43CB0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F43CB0">
              <w:rPr>
                <w:rFonts w:eastAsia="Calibri" w:cs="Arial"/>
                <w:sz w:val="20"/>
                <w:lang w:eastAsia="cs-CZ"/>
              </w:rPr>
              <w:t>Olomouci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6A0BBF3F" w14:textId="77777777" w:rsidTr="00C3279A">
        <w:tc>
          <w:tcPr>
            <w:tcW w:w="4605" w:type="dxa"/>
          </w:tcPr>
          <w:p w14:paraId="6A0BBF32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3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4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5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6A0BBF36" w14:textId="77777777"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>Ing. Lada Hlaváčková, zástupce ředitele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14:paraId="6A0BBF37" w14:textId="77777777"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6A0BBF38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9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A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A0BBF3B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6A0BBF3C" w14:textId="77777777" w:rsidR="005742EC" w:rsidRPr="004B2FA5" w:rsidRDefault="005742EC" w:rsidP="005742E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2FA5">
              <w:rPr>
                <w:rFonts w:eastAsia="Calibri" w:cs="Arial"/>
                <w:sz w:val="20"/>
                <w:lang w:eastAsia="cs-CZ"/>
              </w:rPr>
              <w:t>Mgr. Patrik Gaj</w:t>
            </w:r>
          </w:p>
          <w:p w14:paraId="6A0BBF3D" w14:textId="77777777" w:rsidR="005742EC" w:rsidRPr="004B2FA5" w:rsidRDefault="005742EC" w:rsidP="005742E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2FA5">
              <w:rPr>
                <w:rFonts w:eastAsia="Calibri" w:cs="Arial"/>
                <w:sz w:val="20"/>
                <w:lang w:eastAsia="cs-CZ"/>
              </w:rPr>
              <w:t>jednatel</w:t>
            </w:r>
          </w:p>
          <w:p w14:paraId="6A0BBF3E" w14:textId="77777777" w:rsidR="0036293E" w:rsidRPr="00C3279A" w:rsidRDefault="005742EC" w:rsidP="005742E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UNNI Trading, s.r.o.</w:t>
            </w:r>
          </w:p>
        </w:tc>
      </w:tr>
    </w:tbl>
    <w:p w14:paraId="6A0BBF40" w14:textId="77777777" w:rsidR="0038088C" w:rsidRDefault="0038088C" w:rsidP="00971B85">
      <w:pPr>
        <w:jc w:val="both"/>
        <w:rPr>
          <w:rFonts w:cs="Arial"/>
          <w:b/>
          <w:sz w:val="20"/>
        </w:rPr>
      </w:pPr>
    </w:p>
    <w:p w14:paraId="6A0BBF41" w14:textId="77777777" w:rsidR="00465841" w:rsidRDefault="00465841" w:rsidP="00971B85">
      <w:pPr>
        <w:jc w:val="both"/>
        <w:rPr>
          <w:rFonts w:cs="Arial"/>
          <w:b/>
          <w:sz w:val="20"/>
        </w:rPr>
      </w:pPr>
    </w:p>
    <w:p w14:paraId="6A0BBF42" w14:textId="77777777" w:rsidR="00364D86" w:rsidRDefault="00364D86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3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4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5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6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7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8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9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A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B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C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D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E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4F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0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1" w14:textId="77777777" w:rsidR="00C42B20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2" w14:textId="77777777" w:rsidR="0006386E" w:rsidRDefault="0006386E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3" w14:textId="77777777" w:rsidR="0006386E" w:rsidRDefault="0006386E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4" w14:textId="77777777" w:rsidR="0006386E" w:rsidRDefault="0006386E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5" w14:textId="77777777"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6A0BBF56" w14:textId="77777777" w:rsidR="00C42B20" w:rsidRPr="005B517B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>Příloha č. 1 – Specifikace předmětu plnění</w:t>
      </w:r>
    </w:p>
    <w:p w14:paraId="6A0BBF57" w14:textId="77777777" w:rsidR="005B517B" w:rsidRP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6A0BBF58" w14:textId="77777777" w:rsidR="005B517B" w:rsidRPr="005B517B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bookmarkStart w:id="15" w:name="_Toc269749170"/>
      <w:bookmarkStart w:id="16" w:name="_Toc269749171"/>
      <w:bookmarkStart w:id="17" w:name="_Toc269749172"/>
      <w:bookmarkStart w:id="18" w:name="_Toc269749173"/>
      <w:bookmarkStart w:id="19" w:name="_Toc269749209"/>
      <w:bookmarkStart w:id="20" w:name="_Toc269749210"/>
      <w:bookmarkStart w:id="21" w:name="_Toc269749211"/>
      <w:bookmarkStart w:id="22" w:name="_Toc269749212"/>
      <w:bookmarkStart w:id="23" w:name="_Toc269749213"/>
      <w:bookmarkStart w:id="24" w:name="_Ref31389495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5B517B">
        <w:rPr>
          <w:rFonts w:cs="Arial"/>
          <w:sz w:val="20"/>
        </w:rPr>
        <w:t>Předmětem plnění této Smlouvy jsou služby spočívající v komplexním technickém zajištění tří (3) školení s řádným plněním všech dalších služeb specifikovaných níže.</w:t>
      </w:r>
    </w:p>
    <w:p w14:paraId="6A0BBF59" w14:textId="77777777" w:rsidR="005B517B" w:rsidRPr="005B517B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14:paraId="6A0BBF5A" w14:textId="77777777" w:rsidR="005B517B" w:rsidRPr="005B517B" w:rsidRDefault="005B517B" w:rsidP="005B517B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5B517B">
        <w:rPr>
          <w:rFonts w:cs="Arial"/>
          <w:b/>
          <w:color w:val="FFFFFF" w:themeColor="background1"/>
          <w:sz w:val="20"/>
        </w:rPr>
        <w:t>KA1 - Úvodní školení pro lokální síťaře</w:t>
      </w:r>
    </w:p>
    <w:p w14:paraId="6A0BBF5B" w14:textId="77777777" w:rsidR="005B517B" w:rsidRPr="005B517B" w:rsidRDefault="005B517B" w:rsidP="005B517B">
      <w:pPr>
        <w:rPr>
          <w:rFonts w:cs="Arial"/>
          <w:b/>
          <w:sz w:val="20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070"/>
        <w:gridCol w:w="6002"/>
      </w:tblGrid>
      <w:tr w:rsidR="005B517B" w:rsidRPr="005B517B" w14:paraId="6A0BBF5E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BBF5C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BBF5D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Specifikace</w:t>
            </w:r>
          </w:p>
        </w:tc>
      </w:tr>
      <w:tr w:rsidR="005B517B" w:rsidRPr="005B517B" w14:paraId="6A0BBF61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5F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Název akce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0" w14:textId="77777777" w:rsidR="005B517B" w:rsidRPr="005B517B" w:rsidRDefault="005B517B" w:rsidP="000943F1">
            <w:pPr>
              <w:rPr>
                <w:rFonts w:cs="Arial"/>
                <w:b/>
                <w:i/>
                <w:color w:val="FF0000"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Úvodní školení pro lokální síťaře KA 1</w:t>
            </w:r>
          </w:p>
        </w:tc>
      </w:tr>
      <w:tr w:rsidR="005B517B" w:rsidRPr="005B517B" w14:paraId="6A0BBF64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27. – 28. 3. 2017 (27.3.2017 – 10:00–18:30, 28.3.2017 – 9:00-17:00)</w:t>
            </w:r>
          </w:p>
        </w:tc>
      </w:tr>
      <w:tr w:rsidR="005B517B" w:rsidRPr="005B517B" w14:paraId="6A0BBF67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5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Umístění akce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6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Praha – lokalita musí být dosažitelná městskou hromadnou dopravou dostupnou z Hlavního nádraží ČD a Autobusového nádraží Florenc do 30 minut, maximálně do 5 minut chůze od stanice MHD.</w:t>
            </w:r>
          </w:p>
        </w:tc>
      </w:tr>
      <w:tr w:rsidR="005B517B" w:rsidRPr="005B517B" w14:paraId="6A0BBF6A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8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Parkování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9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6D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B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C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Max. 20 (přesný počet bude upřesněn min. 3 pracovní dny před konáním akce)</w:t>
            </w:r>
          </w:p>
        </w:tc>
      </w:tr>
      <w:tr w:rsidR="005B517B" w:rsidRPr="005B517B" w14:paraId="6A0BBF72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E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6F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1. den 1x místnost pro 20 osob,</w:t>
            </w:r>
          </w:p>
          <w:p w14:paraId="6A0BBF70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2. den 1x místnost pro 20 osob,  </w:t>
            </w:r>
          </w:p>
          <w:p w14:paraId="6A0BBF71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5B517B" w:rsidRPr="005B517B" w14:paraId="6A0BBF75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3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4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Uspořádání do kruhu (variabilní)</w:t>
            </w:r>
          </w:p>
        </w:tc>
      </w:tr>
      <w:tr w:rsidR="005B517B" w:rsidRPr="005B517B" w14:paraId="6A0BBF78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6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7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Dataprojektor, plátno/bílá zeď, flipchart + fixy + papír</w:t>
            </w:r>
          </w:p>
        </w:tc>
      </w:tr>
      <w:tr w:rsidR="005B517B" w:rsidRPr="005B517B" w14:paraId="6A0BBF7B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9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Ozvučení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A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7E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BF7C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D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81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7F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Klimatizace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0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84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max. 20 osob (přesný počet bude upřesněn min. 3 pracovní dny před konáním akce)</w:t>
            </w:r>
          </w:p>
        </w:tc>
      </w:tr>
      <w:tr w:rsidR="005B517B" w:rsidRPr="005B517B" w14:paraId="6A0BBF8A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5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Coffeebreak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6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Limit OPZ 150,00 Kč Os/den vč. DPH.</w:t>
            </w:r>
          </w:p>
          <w:p w14:paraId="6A0BBF87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Cenový limit je součtem dopoledního a odpoledního coffeebreaku</w:t>
            </w:r>
          </w:p>
          <w:p w14:paraId="6A0BBF88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Ranní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slané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  <w:p w14:paraId="6A0BBF89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Odpolední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sladké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</w:tc>
      </w:tr>
      <w:tr w:rsidR="005B517B" w:rsidRPr="005B517B" w14:paraId="6A0BBF8D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B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Oběd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C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0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E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8F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3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1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Pomocný personál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2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6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4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Fotodokumentace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5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9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7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Videozáznam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8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C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A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B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9F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D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9E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A2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A0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A1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AA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A3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FA4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Ano </w:t>
            </w:r>
          </w:p>
          <w:p w14:paraId="6A0BBFA5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27. – 28. 3. 2017 – 8x jednolůžkový pokoj (1 noc), přesný počet bude upřesněn min. 3 pracovní dny před konáním </w:t>
            </w:r>
            <w:r w:rsidRPr="005B517B">
              <w:rPr>
                <w:rFonts w:cs="Arial"/>
                <w:b/>
                <w:i/>
                <w:sz w:val="20"/>
              </w:rPr>
              <w:lastRenderedPageBreak/>
              <w:t>akce</w:t>
            </w:r>
          </w:p>
          <w:p w14:paraId="6A0BBFA6" w14:textId="77777777" w:rsidR="005B517B" w:rsidRPr="005B517B" w:rsidRDefault="005B517B" w:rsidP="000943F1">
            <w:pPr>
              <w:rPr>
                <w:rFonts w:cs="Arial"/>
                <w:b/>
                <w:sz w:val="20"/>
              </w:rPr>
            </w:pPr>
          </w:p>
          <w:p w14:paraId="6A0BBFA7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Zadavatel požaduje zajistit ubytování ve stejném místě, ve kterém budou zajištěny konferenční prostory (a to v ubytovacím zařízení s minimálně 3 hvězdami). Nicméně zadavatel bude také akceptovat zajištění ubytování mimo místo konání školení za podmínky splnění, že ubytování bude dosažitelné městskou hromadnou dopravou do 15 minut od místa konání školení.</w:t>
            </w:r>
          </w:p>
          <w:p w14:paraId="6A0BBFA8" w14:textId="77777777" w:rsidR="005B517B" w:rsidRPr="005B517B" w:rsidRDefault="005B517B" w:rsidP="000943F1">
            <w:pPr>
              <w:rPr>
                <w:rFonts w:cs="Arial"/>
                <w:b/>
                <w:sz w:val="20"/>
              </w:rPr>
            </w:pPr>
          </w:p>
          <w:p w14:paraId="6A0BBFA9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Limit OPZ 1 000,00 Kč os/noc vč. DPH</w:t>
            </w:r>
          </w:p>
        </w:tc>
      </w:tr>
      <w:tr w:rsidR="005B517B" w:rsidRPr="005B517B" w14:paraId="6A0BBFAF" w14:textId="77777777" w:rsidTr="000943F1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FAB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lastRenderedPageBreak/>
              <w:t>Další specifické požadavky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BFAC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14:paraId="6A0BBFAD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Limity OPZ (ubytování – 1 000,00 Kč os/noc vč. DPH, dopolední a odpolední coffebreak celkem 150,00 Kč os/den vč. DPH)</w:t>
            </w:r>
          </w:p>
          <w:p w14:paraId="6A0BBFAE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Možnost oběda v místě konání akce či v docházkové vzdálenosti do 10 minut od místa konání akce.</w:t>
            </w:r>
          </w:p>
        </w:tc>
      </w:tr>
    </w:tbl>
    <w:p w14:paraId="6A0BBFB0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1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2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3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4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5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6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7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8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9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A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B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C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D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E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BF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0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1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2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3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4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5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6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7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8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9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A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B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C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D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E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CF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0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1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2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3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4" w14:textId="77777777" w:rsidR="005B517B" w:rsidRPr="005B517B" w:rsidRDefault="005B517B" w:rsidP="005B517B">
      <w:pPr>
        <w:rPr>
          <w:rFonts w:cs="Arial"/>
          <w:b/>
          <w:sz w:val="20"/>
        </w:rPr>
      </w:pPr>
    </w:p>
    <w:p w14:paraId="6A0BBFD5" w14:textId="77777777" w:rsidR="005B517B" w:rsidRPr="005B517B" w:rsidRDefault="005B517B" w:rsidP="005B517B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5B517B">
        <w:rPr>
          <w:rFonts w:cs="Arial"/>
          <w:b/>
          <w:color w:val="FFFFFF" w:themeColor="background1"/>
          <w:sz w:val="20"/>
        </w:rPr>
        <w:lastRenderedPageBreak/>
        <w:t>KA1 - Setkání síťařů Praha I.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5"/>
        <w:gridCol w:w="6112"/>
      </w:tblGrid>
      <w:tr w:rsidR="005B517B" w:rsidRPr="005B517B" w14:paraId="6A0BBFD8" w14:textId="77777777" w:rsidTr="000943F1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A0BBFD6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14:paraId="6A0BBFD7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Specifikace</w:t>
            </w:r>
          </w:p>
        </w:tc>
      </w:tr>
      <w:tr w:rsidR="005B517B" w:rsidRPr="005B517B" w14:paraId="6A0BBFDB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D9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14:paraId="6A0BBFDA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Setkání síťařů KA1 I. </w:t>
            </w:r>
          </w:p>
        </w:tc>
      </w:tr>
      <w:tr w:rsidR="005B517B" w:rsidRPr="005B517B" w14:paraId="6A0BBFDE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DC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14:paraId="6A0BBFDD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23. 5. 2017 od 9:30 do 17:30</w:t>
            </w:r>
          </w:p>
        </w:tc>
      </w:tr>
      <w:tr w:rsidR="005B517B" w:rsidRPr="005B517B" w14:paraId="6A0BBFE1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DF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14:paraId="6A0BBFE0" w14:textId="77777777" w:rsidR="005B517B" w:rsidRPr="005B517B" w:rsidRDefault="005B517B" w:rsidP="000943F1">
            <w:pPr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Praha - lokalita musí být dosažitelná městskou hromadnou dopravou dostupnou z Hlavního nádraží ČD a Autobusového nádraží Florenc do 30 minut, maximálně do 5 minut chůze od stanice MHD.</w:t>
            </w:r>
          </w:p>
        </w:tc>
      </w:tr>
      <w:tr w:rsidR="005B517B" w:rsidRPr="005B517B" w14:paraId="6A0BBFE4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E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14:paraId="6A0BBFE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E7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E5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14:paraId="6A0BBFE6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Max. 60 (přesný počet bude upřesněn min. 3 pracovní dny před konáním akce)</w:t>
            </w:r>
          </w:p>
        </w:tc>
      </w:tr>
      <w:tr w:rsidR="005B517B" w:rsidRPr="005B517B" w14:paraId="6A0BBFED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E8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14:paraId="6A0BBFE9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1x velká konferenční místnost s kapacitou 60 osob,</w:t>
            </w:r>
          </w:p>
          <w:p w14:paraId="6A0BBFEA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2x menší místnost pro 15-20 osob</w:t>
            </w:r>
          </w:p>
          <w:p w14:paraId="6A0BBFEB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Místnosti ve stejném patře  </w:t>
            </w:r>
          </w:p>
          <w:p w14:paraId="6A0BBFEC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5B517B" w:rsidRPr="005B517B" w14:paraId="6A0BBFF1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EE" w14:textId="77777777" w:rsidR="005B517B" w:rsidRPr="005B517B" w:rsidRDefault="005B517B" w:rsidP="000943F1">
            <w:pPr>
              <w:contextualSpacing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14:paraId="6A0BBFEF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Velká konferenční místnost – židle uspořádání divadelně (s možností jejich přesunu např. do kruhu), řečnický stůl</w:t>
            </w:r>
          </w:p>
          <w:p w14:paraId="6A0BBFF0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Menší místnost pro 15-20 osob - židle uspořádání do kruhu - variabilní</w:t>
            </w:r>
          </w:p>
        </w:tc>
      </w:tr>
      <w:tr w:rsidR="005B517B" w:rsidRPr="005B517B" w14:paraId="6A0BBFF4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F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14:paraId="6A0BBFF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Dataprojektor, plátno/bílá zeď, flipchart + fixy + papír</w:t>
            </w:r>
          </w:p>
        </w:tc>
      </w:tr>
      <w:tr w:rsidR="005B517B" w:rsidRPr="005B517B" w14:paraId="6A0BBFF7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F5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14:paraId="6A0BBFF6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5B517B" w:rsidRPr="005B517B" w14:paraId="6A0BBFFA" w14:textId="77777777" w:rsidTr="000943F1">
        <w:trPr>
          <w:trHeight w:val="340"/>
        </w:trPr>
        <w:tc>
          <w:tcPr>
            <w:tcW w:w="3070" w:type="dxa"/>
          </w:tcPr>
          <w:p w14:paraId="6A0BBFF8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14:paraId="6A0BBFF9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BFFD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FB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14:paraId="6A0BBFFC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00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BFFE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14:paraId="6A0BBFFF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max. 60 osob (přesný počet bude upřesněn min. 3 pracovní dny před konáním akce)</w:t>
            </w:r>
          </w:p>
        </w:tc>
      </w:tr>
      <w:tr w:rsidR="005B517B" w:rsidRPr="005B517B" w14:paraId="6A0BC006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01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Coffeebreak</w:t>
            </w:r>
          </w:p>
        </w:tc>
        <w:tc>
          <w:tcPr>
            <w:tcW w:w="6144" w:type="dxa"/>
            <w:vAlign w:val="center"/>
          </w:tcPr>
          <w:p w14:paraId="6A0BC002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Limit OPZ 150,00 Kč Os/den vč. DPH</w:t>
            </w:r>
          </w:p>
          <w:p w14:paraId="6A0BC00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Cenový limit je součtem dopoledního a odpoledního coffeebreaku</w:t>
            </w:r>
          </w:p>
          <w:p w14:paraId="6A0BC004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Ranní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slané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  <w:p w14:paraId="6A0BC005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Odpolední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sladké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</w:tc>
      </w:tr>
      <w:tr w:rsidR="005B517B" w:rsidRPr="005B517B" w14:paraId="6A0BC009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07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14:paraId="6A0BC008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0C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0A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14:paraId="6A0BC00B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0F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0D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14:paraId="6A0BC00E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12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0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14:paraId="6A0BC011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15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3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14:paraId="6A0BC014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18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6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14:paraId="6A0BC017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1B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9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14:paraId="6A0BC01A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1E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C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14:paraId="6A0BC01D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21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1F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14:paraId="6A0BC020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26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2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14:paraId="6A0BC023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14:paraId="6A0BC024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limity OPZ (dopolední a odpolední coffebreak celkem 150,00 Kč os/den vč. DPH))</w:t>
            </w:r>
          </w:p>
          <w:p w14:paraId="6A0BC025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Možnost oběda v místě konání akce či v docházkové </w:t>
            </w:r>
            <w:r w:rsidRPr="005B517B">
              <w:rPr>
                <w:rFonts w:cs="Arial"/>
                <w:b/>
                <w:i/>
                <w:sz w:val="20"/>
              </w:rPr>
              <w:lastRenderedPageBreak/>
              <w:t>vzdálenosti do 10 minut od místa konání akce</w:t>
            </w:r>
          </w:p>
        </w:tc>
      </w:tr>
    </w:tbl>
    <w:p w14:paraId="6A0BC027" w14:textId="77777777" w:rsidR="005B517B" w:rsidRPr="005B517B" w:rsidRDefault="005B517B" w:rsidP="005B517B">
      <w:pPr>
        <w:pStyle w:val="Odstavecseseznamem"/>
        <w:numPr>
          <w:ilvl w:val="0"/>
          <w:numId w:val="30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5B517B">
        <w:rPr>
          <w:rFonts w:cs="Arial"/>
          <w:b/>
          <w:color w:val="FFFFFF" w:themeColor="background1"/>
          <w:sz w:val="20"/>
        </w:rPr>
        <w:lastRenderedPageBreak/>
        <w:t>KA1 - Setkání síťařů Olomouc II.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5"/>
        <w:gridCol w:w="6112"/>
      </w:tblGrid>
      <w:tr w:rsidR="005B517B" w:rsidRPr="005B517B" w14:paraId="6A0BC02A" w14:textId="77777777" w:rsidTr="000943F1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A0BC028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14:paraId="6A0BC029" w14:textId="77777777" w:rsidR="005B517B" w:rsidRPr="005B517B" w:rsidRDefault="005B517B" w:rsidP="000943F1">
            <w:pPr>
              <w:jc w:val="center"/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Specifikace</w:t>
            </w:r>
          </w:p>
        </w:tc>
      </w:tr>
      <w:tr w:rsidR="005B517B" w:rsidRPr="005B517B" w14:paraId="6A0BC02D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2B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14:paraId="6A0BC02C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Setkání síťařů KA1 II.</w:t>
            </w:r>
          </w:p>
        </w:tc>
      </w:tr>
      <w:tr w:rsidR="005B517B" w:rsidRPr="005B517B" w14:paraId="6A0BC030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2E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14:paraId="6A0BC02F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30. 5. 2017 od 9:30 do 17:30</w:t>
            </w:r>
          </w:p>
        </w:tc>
      </w:tr>
      <w:tr w:rsidR="005B517B" w:rsidRPr="005B517B" w14:paraId="6A0BC033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31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14:paraId="6A0BC032" w14:textId="77777777" w:rsidR="005B517B" w:rsidRPr="005B517B" w:rsidRDefault="005B517B" w:rsidP="000943F1">
            <w:pPr>
              <w:rPr>
                <w:rFonts w:cs="Arial"/>
                <w:b/>
                <w:sz w:val="20"/>
              </w:rPr>
            </w:pPr>
            <w:r w:rsidRPr="005B517B">
              <w:rPr>
                <w:rFonts w:cs="Arial"/>
                <w:b/>
                <w:sz w:val="20"/>
              </w:rPr>
              <w:t>Olomouc - lokalita musí být dosažitelná městskou hromadnou dopravou dostupnou z Hlavního nádraží ČD nebo Autobusového nádraží do 30 minut, maximálně do 5 minut chůze od stanice MHD.</w:t>
            </w:r>
          </w:p>
        </w:tc>
      </w:tr>
      <w:tr w:rsidR="005B517B" w:rsidRPr="005B517B" w14:paraId="6A0BC036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34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14:paraId="6A0BC035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39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37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14:paraId="6A0BC038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5B517B">
              <w:rPr>
                <w:rFonts w:cs="Arial"/>
                <w:b/>
                <w:i/>
                <w:sz w:val="20"/>
              </w:rPr>
              <w:t>Max. 60 (přesný počet bude upřesněn min. 3 pracovní dny před konáním akce)</w:t>
            </w:r>
          </w:p>
        </w:tc>
      </w:tr>
      <w:tr w:rsidR="005B517B" w:rsidRPr="005B517B" w14:paraId="6A0BC03F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3A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14:paraId="6A0BC03B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1x velká konferenční místnost s kapacitou 60 osob,</w:t>
            </w:r>
          </w:p>
          <w:p w14:paraId="6A0BC03C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2x menší místnost pro 15-20 osob</w:t>
            </w:r>
          </w:p>
          <w:p w14:paraId="6A0BC03D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Místnosti ve stejném patře  </w:t>
            </w:r>
          </w:p>
          <w:p w14:paraId="6A0BC03E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5B517B" w:rsidRPr="005B517B" w14:paraId="6A0BC043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40" w14:textId="77777777" w:rsidR="005B517B" w:rsidRPr="005B517B" w:rsidRDefault="005B517B" w:rsidP="000943F1">
            <w:pPr>
              <w:contextualSpacing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14:paraId="6A0BC041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Velká konferenční místnost – židle uspořádání divadelně (s možností jejich přesunu např. do kruhu), řečnický stůl</w:t>
            </w:r>
          </w:p>
          <w:p w14:paraId="6A0BC042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Menší místnost pro 15-20 osob - židle uspořádání do kruhu - variabilní</w:t>
            </w:r>
          </w:p>
        </w:tc>
      </w:tr>
      <w:tr w:rsidR="005B517B" w:rsidRPr="005B517B" w14:paraId="6A0BC046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44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14:paraId="6A0BC045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Dataprojektor, plátno/bílá zeď, flipchart + fixy + papír</w:t>
            </w:r>
          </w:p>
        </w:tc>
      </w:tr>
      <w:tr w:rsidR="005B517B" w:rsidRPr="005B517B" w14:paraId="6A0BC049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47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14:paraId="6A0BC048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5B517B" w:rsidRPr="005B517B" w14:paraId="6A0BC04C" w14:textId="77777777" w:rsidTr="000943F1">
        <w:trPr>
          <w:trHeight w:val="340"/>
        </w:trPr>
        <w:tc>
          <w:tcPr>
            <w:tcW w:w="3070" w:type="dxa"/>
          </w:tcPr>
          <w:p w14:paraId="6A0BC04A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14:paraId="6A0BC04B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4F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4D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14:paraId="6A0BC04E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52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50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14:paraId="6A0BC051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max. 60 osob (přesný počet bude upřesněn min. 3 pracovní dny před konáním akce)</w:t>
            </w:r>
          </w:p>
        </w:tc>
      </w:tr>
      <w:tr w:rsidR="005B517B" w:rsidRPr="005B517B" w14:paraId="6A0BC058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53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Coffeebreak</w:t>
            </w:r>
          </w:p>
        </w:tc>
        <w:tc>
          <w:tcPr>
            <w:tcW w:w="6144" w:type="dxa"/>
            <w:vAlign w:val="center"/>
          </w:tcPr>
          <w:p w14:paraId="6A0BC054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Ano – Limit OPZ 150,00 Kč Os/den vč. DPH</w:t>
            </w:r>
          </w:p>
          <w:p w14:paraId="6A0BC055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Cenový limit je součtem dopoledního a odpoledního coffeebreaku</w:t>
            </w:r>
          </w:p>
          <w:p w14:paraId="6A0BC056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Ranní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slané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  <w:p w14:paraId="6A0BC057" w14:textId="77777777" w:rsidR="005B517B" w:rsidRPr="005B517B" w:rsidRDefault="005B517B" w:rsidP="005B517B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 xml:space="preserve">Odpolední coffeebreak - káva, čaj, voda, </w:t>
            </w:r>
            <w:r w:rsidRPr="005B517B">
              <w:rPr>
                <w:rFonts w:cs="Arial"/>
                <w:b/>
                <w:i/>
                <w:sz w:val="20"/>
                <w:u w:val="single"/>
              </w:rPr>
              <w:t>sladké</w:t>
            </w:r>
            <w:r w:rsidRPr="005B517B">
              <w:rPr>
                <w:rFonts w:cs="Arial"/>
                <w:b/>
                <w:i/>
                <w:sz w:val="20"/>
              </w:rPr>
              <w:t xml:space="preserve"> pečivo</w:t>
            </w:r>
          </w:p>
        </w:tc>
      </w:tr>
      <w:tr w:rsidR="005B517B" w:rsidRPr="005B517B" w14:paraId="6A0BC05B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59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14:paraId="6A0BC05A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5E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5C" w14:textId="77777777" w:rsidR="005B517B" w:rsidRPr="005B517B" w:rsidRDefault="005B517B" w:rsidP="005B517B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14:paraId="6A0BC05D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61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5F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14:paraId="6A0BC060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64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62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14:paraId="6A0BC063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67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65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14:paraId="6A0BC066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6A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68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14:paraId="6A0BC069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6D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6B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14:paraId="6A0BC06C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70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6E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14:paraId="6A0BC06F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73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71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14:paraId="6A0BC072" w14:textId="77777777" w:rsidR="005B517B" w:rsidRPr="005B517B" w:rsidRDefault="005B517B" w:rsidP="000943F1">
            <w:pPr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5B517B" w:rsidRPr="005B517B" w14:paraId="6A0BC078" w14:textId="77777777" w:rsidTr="000943F1">
        <w:trPr>
          <w:trHeight w:val="340"/>
        </w:trPr>
        <w:tc>
          <w:tcPr>
            <w:tcW w:w="3070" w:type="dxa"/>
            <w:vAlign w:val="center"/>
          </w:tcPr>
          <w:p w14:paraId="6A0BC074" w14:textId="77777777" w:rsidR="005B517B" w:rsidRPr="005B517B" w:rsidRDefault="005B517B" w:rsidP="000943F1">
            <w:pPr>
              <w:rPr>
                <w:rFonts w:cs="Arial"/>
                <w:sz w:val="20"/>
              </w:rPr>
            </w:pPr>
            <w:r w:rsidRPr="005B517B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14:paraId="6A0BC075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14:paraId="6A0BC076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t>limity OPZ (dopolední a odpolední coffebreak celkem 150,00 Kč os/den vč. DPH))</w:t>
            </w:r>
          </w:p>
          <w:p w14:paraId="6A0BC077" w14:textId="77777777" w:rsidR="005B517B" w:rsidRPr="005B517B" w:rsidRDefault="005B517B" w:rsidP="005B517B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5B517B">
              <w:rPr>
                <w:rFonts w:cs="Arial"/>
                <w:b/>
                <w:i/>
                <w:sz w:val="20"/>
              </w:rPr>
              <w:lastRenderedPageBreak/>
              <w:t>Možnost oběda v místě konání akce či v docházkové vzdálenosti do 10 minut od místa konání akce</w:t>
            </w:r>
          </w:p>
        </w:tc>
      </w:tr>
    </w:tbl>
    <w:p w14:paraId="6A0BC079" w14:textId="77777777" w:rsidR="005B517B" w:rsidRPr="005B517B" w:rsidRDefault="005B517B" w:rsidP="005B517B">
      <w:pPr>
        <w:rPr>
          <w:rFonts w:cs="Arial"/>
          <w:b/>
          <w:sz w:val="20"/>
        </w:rPr>
      </w:pPr>
    </w:p>
    <w:bookmarkEnd w:id="24"/>
    <w:p w14:paraId="6A0BC07A" w14:textId="77777777" w:rsidR="005B517B" w:rsidRP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sectPr w:rsidR="005B517B" w:rsidRPr="005B517B" w:rsidSect="002752D8">
      <w:headerReference w:type="default" r:id="rId12"/>
      <w:footerReference w:type="default" r:id="rId13"/>
      <w:footerReference w:type="first" r:id="rId14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BC07D" w14:textId="77777777" w:rsidR="00213A33" w:rsidRDefault="00213A33">
      <w:r>
        <w:separator/>
      </w:r>
    </w:p>
  </w:endnote>
  <w:endnote w:type="continuationSeparator" w:id="0">
    <w:p w14:paraId="6A0BC07E" w14:textId="77777777" w:rsidR="00213A33" w:rsidRDefault="0021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A0BC083" w14:textId="77777777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039B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039B7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BC084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6A0BC085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BC07B" w14:textId="77777777" w:rsidR="00213A33" w:rsidRDefault="00213A33">
      <w:r>
        <w:separator/>
      </w:r>
    </w:p>
  </w:footnote>
  <w:footnote w:type="continuationSeparator" w:id="0">
    <w:p w14:paraId="6A0BC07C" w14:textId="77777777" w:rsidR="00213A33" w:rsidRDefault="00213A33">
      <w:r>
        <w:continuationSeparator/>
      </w:r>
    </w:p>
  </w:footnote>
  <w:footnote w:id="1">
    <w:p w14:paraId="6A0BC088" w14:textId="77777777" w:rsidR="006C02FB" w:rsidRPr="000F16AF" w:rsidRDefault="006C02FB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</w:t>
      </w:r>
      <w:r w:rsidR="006A2366" w:rsidRPr="000F16AF">
        <w:rPr>
          <w:rFonts w:ascii="Arial" w:hAnsi="Arial" w:cs="Arial"/>
          <w:sz w:val="18"/>
          <w:lang w:eastAsia="ar-SA"/>
        </w:rPr>
        <w:t>proškrtne kolonky výše DPH a ce</w:t>
      </w:r>
      <w:r w:rsidR="000615D8" w:rsidRPr="000F16AF">
        <w:rPr>
          <w:rFonts w:ascii="Arial" w:hAnsi="Arial" w:cs="Arial"/>
          <w:sz w:val="18"/>
          <w:lang w:eastAsia="ar-SA"/>
        </w:rPr>
        <w:t>l</w:t>
      </w:r>
      <w:r w:rsidR="006A2366" w:rsidRPr="000F16AF">
        <w:rPr>
          <w:rFonts w:ascii="Arial" w:hAnsi="Arial" w:cs="Arial"/>
          <w:sz w:val="18"/>
          <w:lang w:eastAsia="ar-SA"/>
        </w:rPr>
        <w:t>ková odměna</w:t>
      </w:r>
      <w:r w:rsidR="003D2B1F" w:rsidRPr="000F16AF">
        <w:rPr>
          <w:rFonts w:ascii="Arial" w:hAnsi="Arial" w:cs="Arial"/>
          <w:sz w:val="18"/>
          <w:lang w:eastAsia="ar-SA"/>
        </w:rPr>
        <w:t>,</w:t>
      </w:r>
      <w:r w:rsidR="006A2366" w:rsidRPr="000F16AF">
        <w:rPr>
          <w:rFonts w:ascii="Arial" w:hAnsi="Arial" w:cs="Arial"/>
          <w:sz w:val="18"/>
          <w:lang w:eastAsia="ar-SA"/>
        </w:rPr>
        <w:t xml:space="preserve"> včetně DPH a doplní formulaci: </w:t>
      </w:r>
      <w:r w:rsidRPr="000F16AF">
        <w:rPr>
          <w:rFonts w:ascii="Arial" w:hAnsi="Arial" w:cs="Arial"/>
          <w:sz w:val="18"/>
          <w:lang w:eastAsia="ar-SA"/>
        </w:rPr>
        <w:t>„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BC07F" w14:textId="77777777" w:rsidR="008B0AD6" w:rsidRDefault="008B0AD6" w:rsidP="004261B5">
    <w:pPr>
      <w:pStyle w:val="Zhlav"/>
      <w:jc w:val="right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6A0BC086" wp14:editId="6A0BC0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BC080" w14:textId="77777777" w:rsidR="008B0AD6" w:rsidRDefault="008B0AD6" w:rsidP="004261B5">
    <w:pPr>
      <w:pStyle w:val="Zhlav"/>
      <w:jc w:val="right"/>
      <w:rPr>
        <w:rFonts w:ascii="Arial" w:hAnsi="Arial" w:cs="Arial"/>
        <w:sz w:val="18"/>
      </w:rPr>
    </w:pPr>
  </w:p>
  <w:p w14:paraId="6A0BC081" w14:textId="77777777" w:rsidR="004261B5" w:rsidRPr="00371F80" w:rsidRDefault="004261B5" w:rsidP="004261B5">
    <w:pPr>
      <w:pStyle w:val="Zhlav"/>
      <w:jc w:val="right"/>
      <w:rPr>
        <w:rFonts w:ascii="Arial" w:hAnsi="Arial" w:cs="Arial"/>
        <w:sz w:val="18"/>
      </w:rPr>
    </w:pPr>
    <w:r w:rsidRPr="00371F80">
      <w:rPr>
        <w:rFonts w:ascii="Arial" w:hAnsi="Arial" w:cs="Arial"/>
        <w:sz w:val="18"/>
      </w:rPr>
      <w:t xml:space="preserve">Příloha č. </w:t>
    </w:r>
    <w:r>
      <w:rPr>
        <w:rFonts w:ascii="Arial" w:hAnsi="Arial" w:cs="Arial"/>
        <w:sz w:val="18"/>
      </w:rPr>
      <w:t>2</w:t>
    </w:r>
    <w:r w:rsidRPr="00371F80">
      <w:rPr>
        <w:rFonts w:ascii="Arial" w:hAnsi="Arial" w:cs="Arial"/>
        <w:sz w:val="18"/>
      </w:rPr>
      <w:t xml:space="preserve"> Výzvy</w:t>
    </w:r>
  </w:p>
  <w:p w14:paraId="6A0BC082" w14:textId="77777777" w:rsidR="004261B5" w:rsidRDefault="004261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25"/>
  </w:num>
  <w:num w:numId="10">
    <w:abstractNumId w:val="2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29"/>
  </w:num>
  <w:num w:numId="20">
    <w:abstractNumId w:val="22"/>
  </w:num>
  <w:num w:numId="21">
    <w:abstractNumId w:val="27"/>
  </w:num>
  <w:num w:numId="22">
    <w:abstractNumId w:val="13"/>
  </w:num>
  <w:num w:numId="23">
    <w:abstractNumId w:val="24"/>
  </w:num>
  <w:num w:numId="24">
    <w:abstractNumId w:val="3"/>
  </w:num>
  <w:num w:numId="25">
    <w:abstractNumId w:val="4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386E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EF4"/>
    <w:rsid w:val="001E0B54"/>
    <w:rsid w:val="001E0DE6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3A33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40C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9B7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42EC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7A9B"/>
    <w:rsid w:val="005B1C17"/>
    <w:rsid w:val="005B517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40D54"/>
    <w:rsid w:val="00641082"/>
    <w:rsid w:val="00641E76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905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248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4D74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7360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921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7703"/>
    <w:rsid w:val="00C47854"/>
    <w:rsid w:val="00C52CB6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1F3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43E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4B2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213A"/>
    <w:rsid w:val="00EC33C5"/>
    <w:rsid w:val="00EC3FE5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CB0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2803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BB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43D3-D542-4D98-9634-6BBA9F30FF9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2E8229-4477-4DCC-90B3-1B50810ED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516C5-C332-4FB7-B855-A5066D505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815D9-39D4-4E82-92A9-71A53F00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3955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27241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2017-04-10T08:47:00Z</dcterms:created>
  <dcterms:modified xsi:type="dcterms:W3CDTF">2017-04-10T08:47:00Z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