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7586E" w14:textId="77777777" w:rsidR="00A642F3" w:rsidRPr="007938EE" w:rsidRDefault="00A642F3" w:rsidP="00A642F3">
      <w:pPr>
        <w:pStyle w:val="Nzev"/>
        <w:rPr>
          <w:sz w:val="32"/>
          <w:szCs w:val="32"/>
          <w:lang w:val="cs-CZ"/>
        </w:rPr>
      </w:pPr>
      <w:bookmarkStart w:id="0" w:name="_GoBack"/>
      <w:bookmarkEnd w:id="0"/>
      <w:r w:rsidRPr="007938EE">
        <w:rPr>
          <w:sz w:val="32"/>
          <w:szCs w:val="32"/>
        </w:rPr>
        <w:t>S</w:t>
      </w:r>
      <w:r w:rsidR="007938EE" w:rsidRPr="007938EE">
        <w:rPr>
          <w:sz w:val="32"/>
          <w:szCs w:val="32"/>
          <w:lang w:val="cs-CZ"/>
        </w:rPr>
        <w:t>mlouva o nájmu prostor</w:t>
      </w:r>
    </w:p>
    <w:p w14:paraId="4328549E" w14:textId="77777777" w:rsidR="00A642F3" w:rsidRPr="005F663E" w:rsidRDefault="00A642F3" w:rsidP="00A642F3">
      <w:pPr>
        <w:jc w:val="center"/>
        <w:rPr>
          <w:b/>
        </w:rPr>
      </w:pPr>
      <w:r w:rsidRPr="005F663E">
        <w:t>(</w:t>
      </w:r>
      <w:r w:rsidRPr="005F663E">
        <w:rPr>
          <w:b/>
        </w:rPr>
        <w:t xml:space="preserve">dle § </w:t>
      </w:r>
      <w:r w:rsidR="00B27795" w:rsidRPr="005F663E">
        <w:rPr>
          <w:b/>
        </w:rPr>
        <w:t>2</w:t>
      </w:r>
      <w:r w:rsidR="00143658" w:rsidRPr="005F663E">
        <w:rPr>
          <w:b/>
        </w:rPr>
        <w:t>201</w:t>
      </w:r>
      <w:r w:rsidRPr="005F663E">
        <w:rPr>
          <w:b/>
        </w:rPr>
        <w:t xml:space="preserve"> a násl. zákona č.</w:t>
      </w:r>
      <w:r w:rsidR="00923609" w:rsidRPr="005F663E">
        <w:rPr>
          <w:b/>
        </w:rPr>
        <w:t xml:space="preserve"> </w:t>
      </w:r>
      <w:r w:rsidR="00D42FBF" w:rsidRPr="005F663E">
        <w:rPr>
          <w:b/>
        </w:rPr>
        <w:t>89/2012 Sb., občanský zákoník, v platném znění</w:t>
      </w:r>
      <w:r w:rsidRPr="005F663E">
        <w:rPr>
          <w:b/>
        </w:rPr>
        <w:t>)</w:t>
      </w:r>
    </w:p>
    <w:p w14:paraId="7D43175F" w14:textId="77777777" w:rsidR="00A642F3" w:rsidRPr="005F663E" w:rsidRDefault="00A642F3" w:rsidP="00A642F3">
      <w:pPr>
        <w:jc w:val="center"/>
      </w:pPr>
    </w:p>
    <w:p w14:paraId="11E49FE2" w14:textId="77777777" w:rsidR="00A642F3" w:rsidRPr="005F663E" w:rsidRDefault="00A642F3" w:rsidP="00A642F3">
      <w:pPr>
        <w:jc w:val="center"/>
      </w:pPr>
      <w:r w:rsidRPr="005F663E">
        <w:t>Smluvní strany:</w:t>
      </w:r>
    </w:p>
    <w:p w14:paraId="0AD66B0F" w14:textId="77777777" w:rsidR="00A642F3" w:rsidRPr="007938EE" w:rsidRDefault="00A642F3" w:rsidP="00A642F3">
      <w:pPr>
        <w:pStyle w:val="Zkladntext"/>
        <w:rPr>
          <w:rFonts w:ascii="Times New Roman" w:hAnsi="Times New Roman"/>
          <w:lang w:val="cs-CZ"/>
        </w:rPr>
      </w:pPr>
    </w:p>
    <w:p w14:paraId="5ED5DCA3" w14:textId="77777777" w:rsidR="00A642F3" w:rsidRPr="005F663E" w:rsidRDefault="00A642F3" w:rsidP="00390A14">
      <w:pPr>
        <w:pStyle w:val="Zkladntext"/>
        <w:numPr>
          <w:ilvl w:val="0"/>
          <w:numId w:val="22"/>
        </w:numPr>
        <w:rPr>
          <w:rFonts w:ascii="Times New Roman" w:hAnsi="Times New Roman"/>
          <w:b/>
          <w:bCs/>
        </w:rPr>
      </w:pPr>
      <w:r w:rsidRPr="005F663E">
        <w:rPr>
          <w:rFonts w:ascii="Times New Roman" w:hAnsi="Times New Roman"/>
          <w:b/>
          <w:bCs/>
        </w:rPr>
        <w:t>Technická univerzita v Liberci</w:t>
      </w:r>
    </w:p>
    <w:p w14:paraId="4D7E5047" w14:textId="77777777" w:rsidR="00A642F3" w:rsidRPr="005F663E" w:rsidRDefault="00A642F3" w:rsidP="00A642F3">
      <w:pPr>
        <w:pStyle w:val="Zkladntext"/>
        <w:ind w:firstLine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Se sídlem v: Studentská 2, Liberec 1, 46117</w:t>
      </w:r>
    </w:p>
    <w:p w14:paraId="01DA7F53" w14:textId="77777777" w:rsidR="00A642F3" w:rsidRPr="005F663E" w:rsidRDefault="00A642F3" w:rsidP="00A642F3">
      <w:pPr>
        <w:pStyle w:val="Zkladntext"/>
        <w:ind w:firstLine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IČ: 46747885</w:t>
      </w:r>
    </w:p>
    <w:p w14:paraId="36534A3A" w14:textId="77777777" w:rsidR="00A642F3" w:rsidRPr="005F663E" w:rsidRDefault="00A642F3" w:rsidP="00A642F3">
      <w:pPr>
        <w:pStyle w:val="Zkladntext"/>
        <w:ind w:firstLine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DIČ: CZ46747885</w:t>
      </w:r>
    </w:p>
    <w:p w14:paraId="345359F5" w14:textId="07C1CA98" w:rsidR="00A642F3" w:rsidRPr="0075694F" w:rsidRDefault="00A642F3" w:rsidP="00A642F3">
      <w:pPr>
        <w:pStyle w:val="Zkladntext"/>
        <w:ind w:firstLine="720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</w:rPr>
        <w:t xml:space="preserve">Bankovní spojení: </w:t>
      </w:r>
      <w:proofErr w:type="spellStart"/>
      <w:r w:rsidR="0075694F">
        <w:rPr>
          <w:rFonts w:ascii="Times New Roman" w:hAnsi="Times New Roman"/>
          <w:lang w:val="cs-CZ"/>
        </w:rPr>
        <w:t>xxxxxxxx</w:t>
      </w:r>
      <w:proofErr w:type="spellEnd"/>
    </w:p>
    <w:p w14:paraId="7CAED009" w14:textId="45DE7997" w:rsidR="00A642F3" w:rsidRPr="0075694F" w:rsidRDefault="00A642F3" w:rsidP="00A642F3">
      <w:pPr>
        <w:pStyle w:val="Zkladntext"/>
        <w:ind w:firstLine="720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</w:rPr>
        <w:t xml:space="preserve">Účet číslo: </w:t>
      </w:r>
      <w:proofErr w:type="spellStart"/>
      <w:r w:rsidR="0075694F">
        <w:rPr>
          <w:rFonts w:ascii="Times New Roman" w:hAnsi="Times New Roman"/>
          <w:lang w:val="cs-CZ"/>
        </w:rPr>
        <w:t>xxxxxxxxxx</w:t>
      </w:r>
      <w:proofErr w:type="spellEnd"/>
    </w:p>
    <w:p w14:paraId="596FE6C6" w14:textId="77777777" w:rsidR="00A642F3" w:rsidRPr="003B7DD4" w:rsidRDefault="00B27795" w:rsidP="00A642F3">
      <w:pPr>
        <w:pStyle w:val="Zkladntext"/>
        <w:ind w:firstLine="720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</w:rPr>
        <w:t>Zastoupena</w:t>
      </w:r>
      <w:r w:rsidR="00A642F3" w:rsidRPr="005F663E">
        <w:rPr>
          <w:rFonts w:ascii="Times New Roman" w:hAnsi="Times New Roman"/>
        </w:rPr>
        <w:t xml:space="preserve">: </w:t>
      </w:r>
      <w:r w:rsidR="00543811">
        <w:rPr>
          <w:rFonts w:ascii="Times New Roman" w:hAnsi="Times New Roman"/>
          <w:lang w:val="cs-CZ"/>
        </w:rPr>
        <w:t>Ing</w:t>
      </w:r>
      <w:r w:rsidR="00326AE3">
        <w:rPr>
          <w:rFonts w:ascii="Times New Roman" w:hAnsi="Times New Roman"/>
          <w:lang w:val="cs-CZ"/>
        </w:rPr>
        <w:t>. Vladimír Stach, kvestor</w:t>
      </w:r>
    </w:p>
    <w:p w14:paraId="34F51D5C" w14:textId="28853D0C" w:rsidR="00A642F3" w:rsidRPr="005F663E" w:rsidRDefault="00A642F3" w:rsidP="00A642F3">
      <w:pPr>
        <w:pStyle w:val="Zkladntext"/>
        <w:ind w:firstLine="720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</w:rPr>
        <w:t xml:space="preserve">Osoba zodpovědná za smluvní vztah: </w:t>
      </w:r>
      <w:proofErr w:type="spellStart"/>
      <w:r w:rsidR="0075694F">
        <w:rPr>
          <w:rFonts w:ascii="Times New Roman" w:hAnsi="Times New Roman"/>
          <w:lang w:val="cs-CZ"/>
        </w:rPr>
        <w:t>xxxxxxxxx</w:t>
      </w:r>
      <w:proofErr w:type="spellEnd"/>
    </w:p>
    <w:p w14:paraId="3A742DAF" w14:textId="67C93BD9" w:rsidR="00A642F3" w:rsidRPr="0075694F" w:rsidRDefault="00A642F3" w:rsidP="00A642F3">
      <w:pPr>
        <w:pStyle w:val="Zkladntext"/>
        <w:ind w:firstLine="720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</w:rPr>
        <w:t xml:space="preserve">Interní číslo smlouvy: </w:t>
      </w:r>
      <w:r w:rsidR="0075694F">
        <w:rPr>
          <w:rFonts w:ascii="Times New Roman" w:hAnsi="Times New Roman"/>
          <w:lang w:val="cs-CZ"/>
        </w:rPr>
        <w:t>1001143611</w:t>
      </w:r>
    </w:p>
    <w:p w14:paraId="1609758F" w14:textId="77777777" w:rsidR="00A642F3" w:rsidRPr="005F663E" w:rsidRDefault="00A642F3" w:rsidP="00A642F3">
      <w:pPr>
        <w:pStyle w:val="Zkladntext"/>
        <w:ind w:firstLine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(dále jen jako „</w:t>
      </w:r>
      <w:r w:rsidRPr="005F663E">
        <w:rPr>
          <w:rFonts w:ascii="Times New Roman" w:hAnsi="Times New Roman"/>
          <w:b/>
          <w:bCs/>
        </w:rPr>
        <w:t>pronajímatel“)</w:t>
      </w:r>
    </w:p>
    <w:p w14:paraId="03EFA068" w14:textId="77777777" w:rsidR="00A642F3" w:rsidRPr="005F663E" w:rsidRDefault="00A642F3" w:rsidP="00A642F3">
      <w:pPr>
        <w:pStyle w:val="Zkladntext"/>
        <w:rPr>
          <w:rFonts w:ascii="Times New Roman" w:hAnsi="Times New Roman"/>
        </w:rPr>
      </w:pPr>
    </w:p>
    <w:p w14:paraId="1AE964C4" w14:textId="77777777" w:rsidR="00A642F3" w:rsidRPr="005F663E" w:rsidRDefault="00A642F3" w:rsidP="00A642F3">
      <w:pPr>
        <w:ind w:left="708"/>
        <w:jc w:val="center"/>
      </w:pPr>
      <w:r w:rsidRPr="005F663E">
        <w:t>a</w:t>
      </w:r>
    </w:p>
    <w:p w14:paraId="06CB6269" w14:textId="77777777" w:rsidR="00A642F3" w:rsidRPr="005F663E" w:rsidRDefault="00A642F3" w:rsidP="00A642F3">
      <w:pPr>
        <w:pStyle w:val="Zkladntext"/>
        <w:rPr>
          <w:rFonts w:ascii="Times New Roman" w:hAnsi="Times New Roman"/>
        </w:rPr>
      </w:pPr>
    </w:p>
    <w:p w14:paraId="438B1A41" w14:textId="77777777" w:rsidR="00390A14" w:rsidRPr="00390A14" w:rsidRDefault="008B05C9" w:rsidP="00390A14">
      <w:pPr>
        <w:pStyle w:val="Zkladntext"/>
        <w:numPr>
          <w:ilvl w:val="0"/>
          <w:numId w:val="2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cs-CZ"/>
        </w:rPr>
        <w:t>Střední odborná škola, Liberec, Jablonecká 999, příspěvková organizace</w:t>
      </w:r>
    </w:p>
    <w:p w14:paraId="4A7B0DB9" w14:textId="77777777" w:rsidR="00972AF0" w:rsidRPr="00241BD5" w:rsidRDefault="00972AF0" w:rsidP="00972AF0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Se sídlem v: </w:t>
      </w:r>
      <w:r w:rsidR="00241BD5">
        <w:rPr>
          <w:rFonts w:ascii="Times New Roman" w:hAnsi="Times New Roman"/>
          <w:bCs/>
          <w:lang w:val="cs-CZ"/>
        </w:rPr>
        <w:t xml:space="preserve"> </w:t>
      </w:r>
      <w:r w:rsidR="008B05C9">
        <w:rPr>
          <w:rFonts w:ascii="Times New Roman" w:hAnsi="Times New Roman"/>
          <w:bCs/>
          <w:lang w:val="cs-CZ"/>
        </w:rPr>
        <w:t>Jablonecká 999, 460 06 Liberec 6</w:t>
      </w:r>
    </w:p>
    <w:p w14:paraId="6DCA5170" w14:textId="6D79AA4E" w:rsidR="00972AF0" w:rsidRPr="008B05C9" w:rsidRDefault="00972AF0" w:rsidP="008F13B9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Zapsaná: </w:t>
      </w:r>
      <w:r w:rsidR="008B05C9">
        <w:rPr>
          <w:rFonts w:ascii="Times New Roman" w:hAnsi="Times New Roman"/>
          <w:bCs/>
          <w:lang w:val="cs-CZ"/>
        </w:rPr>
        <w:t>v obch. Rejstříku vedeném u Krajského soudu v Ústí n</w:t>
      </w:r>
      <w:r w:rsidR="00F142DC">
        <w:rPr>
          <w:rFonts w:ascii="Times New Roman" w:hAnsi="Times New Roman"/>
          <w:bCs/>
          <w:lang w:val="cs-CZ"/>
        </w:rPr>
        <w:t xml:space="preserve">ad </w:t>
      </w:r>
      <w:r w:rsidR="008B05C9">
        <w:rPr>
          <w:rFonts w:ascii="Times New Roman" w:hAnsi="Times New Roman"/>
          <w:bCs/>
          <w:lang w:val="cs-CZ"/>
        </w:rPr>
        <w:t>L</w:t>
      </w:r>
      <w:r w:rsidR="00F142DC">
        <w:rPr>
          <w:rFonts w:ascii="Times New Roman" w:hAnsi="Times New Roman"/>
          <w:bCs/>
          <w:lang w:val="cs-CZ"/>
        </w:rPr>
        <w:t>abem</w:t>
      </w:r>
      <w:r w:rsidR="008B05C9">
        <w:rPr>
          <w:rFonts w:ascii="Times New Roman" w:hAnsi="Times New Roman"/>
          <w:bCs/>
          <w:lang w:val="cs-CZ"/>
        </w:rPr>
        <w:t xml:space="preserve">, </w:t>
      </w:r>
      <w:proofErr w:type="spellStart"/>
      <w:r w:rsidR="003A0A48">
        <w:rPr>
          <w:rFonts w:ascii="Times New Roman" w:hAnsi="Times New Roman"/>
          <w:bCs/>
          <w:lang w:val="cs-CZ"/>
        </w:rPr>
        <w:t>sp</w:t>
      </w:r>
      <w:proofErr w:type="spellEnd"/>
      <w:r w:rsidR="003A0A48">
        <w:rPr>
          <w:rFonts w:ascii="Times New Roman" w:hAnsi="Times New Roman"/>
          <w:bCs/>
          <w:lang w:val="cs-CZ"/>
        </w:rPr>
        <w:t xml:space="preserve">. zn.  </w:t>
      </w:r>
      <w:proofErr w:type="spellStart"/>
      <w:r w:rsidR="003A0A48">
        <w:rPr>
          <w:rFonts w:ascii="Times New Roman" w:hAnsi="Times New Roman"/>
          <w:bCs/>
          <w:lang w:val="cs-CZ"/>
        </w:rPr>
        <w:t>Pr</w:t>
      </w:r>
      <w:proofErr w:type="spellEnd"/>
      <w:r w:rsidR="008B05C9">
        <w:rPr>
          <w:rFonts w:ascii="Times New Roman" w:hAnsi="Times New Roman"/>
          <w:bCs/>
          <w:lang w:val="cs-CZ"/>
        </w:rPr>
        <w:t xml:space="preserve"> 780</w:t>
      </w:r>
    </w:p>
    <w:p w14:paraId="05A330B9" w14:textId="77777777" w:rsidR="00972AF0" w:rsidRPr="008B05C9" w:rsidRDefault="00972AF0" w:rsidP="00972AF0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IČ: </w:t>
      </w:r>
      <w:r w:rsidR="008B05C9">
        <w:rPr>
          <w:rFonts w:ascii="Times New Roman" w:hAnsi="Times New Roman"/>
          <w:bCs/>
          <w:lang w:val="cs-CZ"/>
        </w:rPr>
        <w:t>46746862</w:t>
      </w:r>
    </w:p>
    <w:p w14:paraId="6090E692" w14:textId="064066CA" w:rsidR="00972AF0" w:rsidRPr="008B05C9" w:rsidRDefault="00972AF0" w:rsidP="00972AF0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Bankovní spojení: </w:t>
      </w:r>
      <w:proofErr w:type="spellStart"/>
      <w:r w:rsidR="0075694F">
        <w:rPr>
          <w:rFonts w:ascii="Times New Roman" w:hAnsi="Times New Roman"/>
          <w:bCs/>
          <w:lang w:val="cs-CZ"/>
        </w:rPr>
        <w:t>xxxxx</w:t>
      </w:r>
      <w:proofErr w:type="spellEnd"/>
    </w:p>
    <w:p w14:paraId="31EA662D" w14:textId="5BB02318" w:rsidR="00972AF0" w:rsidRPr="008B05C9" w:rsidRDefault="00972AF0" w:rsidP="00972AF0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Účet číslo: </w:t>
      </w:r>
      <w:proofErr w:type="spellStart"/>
      <w:r w:rsidR="0075694F">
        <w:rPr>
          <w:rFonts w:ascii="Times New Roman" w:hAnsi="Times New Roman"/>
          <w:bCs/>
          <w:lang w:val="cs-CZ"/>
        </w:rPr>
        <w:t>xxxxxxxx</w:t>
      </w:r>
      <w:proofErr w:type="spellEnd"/>
    </w:p>
    <w:p w14:paraId="085E9ED9" w14:textId="77777777" w:rsidR="00972AF0" w:rsidRPr="008B05C9" w:rsidRDefault="00972AF0" w:rsidP="00972AF0">
      <w:pPr>
        <w:pStyle w:val="Zkladntext"/>
        <w:ind w:left="720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  <w:bCs/>
        </w:rPr>
        <w:t xml:space="preserve">zastoupena: </w:t>
      </w:r>
      <w:r w:rsidR="008B05C9">
        <w:rPr>
          <w:rFonts w:ascii="Times New Roman" w:hAnsi="Times New Roman"/>
          <w:bCs/>
          <w:lang w:val="cs-CZ"/>
        </w:rPr>
        <w:t>PhDr. Milan Adamec, ředitel školy</w:t>
      </w:r>
    </w:p>
    <w:p w14:paraId="31009DC9" w14:textId="77777777" w:rsidR="00A642F3" w:rsidRPr="005F663E" w:rsidRDefault="00A642F3" w:rsidP="00972AF0">
      <w:pPr>
        <w:pStyle w:val="Zkladntext"/>
        <w:ind w:left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(dále jen jako „</w:t>
      </w:r>
      <w:r w:rsidRPr="005F663E">
        <w:rPr>
          <w:rFonts w:ascii="Times New Roman" w:hAnsi="Times New Roman"/>
          <w:b/>
          <w:bCs/>
        </w:rPr>
        <w:t>nájemce“)</w:t>
      </w:r>
    </w:p>
    <w:p w14:paraId="7FB1EF46" w14:textId="77777777" w:rsidR="00A642F3" w:rsidRPr="005F663E" w:rsidRDefault="00A642F3" w:rsidP="00A642F3">
      <w:pPr>
        <w:pStyle w:val="Zkladntext"/>
        <w:rPr>
          <w:rFonts w:ascii="Times New Roman" w:hAnsi="Times New Roman"/>
        </w:rPr>
      </w:pPr>
    </w:p>
    <w:p w14:paraId="683546AA" w14:textId="77777777" w:rsidR="00A642F3" w:rsidRPr="005F663E" w:rsidRDefault="00A642F3" w:rsidP="00A642F3">
      <w:pPr>
        <w:pStyle w:val="Zkladntext"/>
        <w:ind w:firstLine="720"/>
        <w:rPr>
          <w:rFonts w:ascii="Times New Roman" w:hAnsi="Times New Roman"/>
          <w:b/>
        </w:rPr>
      </w:pPr>
      <w:r w:rsidRPr="005F663E">
        <w:rPr>
          <w:rFonts w:ascii="Times New Roman" w:hAnsi="Times New Roman"/>
        </w:rPr>
        <w:t xml:space="preserve">mezi sebou uzavírají následující </w:t>
      </w:r>
      <w:r w:rsidRPr="005F663E">
        <w:rPr>
          <w:rFonts w:ascii="Times New Roman" w:hAnsi="Times New Roman"/>
          <w:b/>
        </w:rPr>
        <w:t>smlouvu o nájmu</w:t>
      </w:r>
      <w:r w:rsidR="00143658" w:rsidRPr="005F663E">
        <w:rPr>
          <w:rFonts w:ascii="Times New Roman" w:hAnsi="Times New Roman"/>
          <w:b/>
        </w:rPr>
        <w:t xml:space="preserve"> prostor</w:t>
      </w:r>
      <w:r w:rsidRPr="005F663E">
        <w:rPr>
          <w:rFonts w:ascii="Times New Roman" w:hAnsi="Times New Roman"/>
          <w:b/>
        </w:rPr>
        <w:t>:</w:t>
      </w:r>
    </w:p>
    <w:p w14:paraId="5EE4D9DF" w14:textId="77777777" w:rsidR="00A642F3" w:rsidRDefault="00A642F3" w:rsidP="00A642F3">
      <w:pPr>
        <w:jc w:val="center"/>
      </w:pPr>
    </w:p>
    <w:p w14:paraId="0C87325B" w14:textId="77777777" w:rsidR="007938EE" w:rsidRDefault="007938EE" w:rsidP="00A642F3">
      <w:pPr>
        <w:jc w:val="center"/>
      </w:pPr>
    </w:p>
    <w:p w14:paraId="39A38794" w14:textId="77777777" w:rsidR="007938EE" w:rsidRPr="005F663E" w:rsidRDefault="007938EE" w:rsidP="00A642F3">
      <w:pPr>
        <w:jc w:val="center"/>
      </w:pPr>
    </w:p>
    <w:p w14:paraId="51950D49" w14:textId="77777777" w:rsidR="00A642F3" w:rsidRPr="005F663E" w:rsidRDefault="00B93793" w:rsidP="00A642F3">
      <w:pPr>
        <w:jc w:val="center"/>
      </w:pPr>
      <w:r w:rsidRPr="005F663E">
        <w:t>I.</w:t>
      </w:r>
    </w:p>
    <w:p w14:paraId="5E2B7F29" w14:textId="77777777" w:rsidR="00A642F3" w:rsidRPr="005F663E" w:rsidRDefault="00A642F3" w:rsidP="00A642F3">
      <w:pPr>
        <w:jc w:val="center"/>
        <w:rPr>
          <w:b/>
        </w:rPr>
      </w:pPr>
      <w:r w:rsidRPr="005F663E">
        <w:rPr>
          <w:b/>
        </w:rPr>
        <w:t>Předmět nájmu</w:t>
      </w:r>
    </w:p>
    <w:p w14:paraId="45BA3956" w14:textId="6F8770BD" w:rsidR="00A642F3" w:rsidRPr="005F663E" w:rsidRDefault="00A642F3" w:rsidP="00775BCD">
      <w:pPr>
        <w:pStyle w:val="Zkladntext"/>
        <w:numPr>
          <w:ilvl w:val="0"/>
          <w:numId w:val="6"/>
        </w:numPr>
        <w:ind w:left="709" w:hanging="709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  <w:lang w:val="cs-CZ"/>
        </w:rPr>
        <w:t xml:space="preserve">Pronajímatel je vlastníkem </w:t>
      </w:r>
      <w:bookmarkStart w:id="1" w:name="Text18"/>
      <w:r w:rsidR="00775BCD" w:rsidRPr="005F663E">
        <w:rPr>
          <w:rFonts w:ascii="Times New Roman" w:hAnsi="Times New Roman"/>
          <w:lang w:val="cs-CZ"/>
        </w:rPr>
        <w:t xml:space="preserve">budovy I v ul. Mařanova 650, v Liberci, tj. budovy včetně pozemku, </w:t>
      </w:r>
      <w:proofErr w:type="spellStart"/>
      <w:r w:rsidR="00775BCD" w:rsidRPr="005F663E">
        <w:rPr>
          <w:rFonts w:ascii="Times New Roman" w:hAnsi="Times New Roman"/>
          <w:lang w:val="cs-CZ"/>
        </w:rPr>
        <w:t>parc</w:t>
      </w:r>
      <w:proofErr w:type="spellEnd"/>
      <w:r w:rsidR="00775BCD" w:rsidRPr="005F663E">
        <w:rPr>
          <w:rFonts w:ascii="Times New Roman" w:hAnsi="Times New Roman"/>
          <w:lang w:val="cs-CZ"/>
        </w:rPr>
        <w:t>. č. 188/5 o výměře 3321 m2, na němž je budova umístěna (dále jen „objekt“). Tato nemovitost je zapsána v katastrálním operátu na listu vlastnictví č. 1137 pro katastrální území Vesec u Liberce, obec Liberec, část obce Liberec XXV – Vesec, u</w:t>
      </w:r>
      <w:r w:rsidR="001F26F7" w:rsidRPr="005F663E">
        <w:rPr>
          <w:rFonts w:ascii="Times New Roman" w:hAnsi="Times New Roman"/>
          <w:lang w:val="cs-CZ"/>
        </w:rPr>
        <w:t> </w:t>
      </w:r>
      <w:r w:rsidR="00775BCD" w:rsidRPr="005F663E">
        <w:rPr>
          <w:rFonts w:ascii="Times New Roman" w:hAnsi="Times New Roman"/>
          <w:lang w:val="cs-CZ"/>
        </w:rPr>
        <w:t>Katastrálního úřadu pro Liberec</w:t>
      </w:r>
      <w:bookmarkEnd w:id="1"/>
      <w:r w:rsidR="00775BCD" w:rsidRPr="005F663E">
        <w:rPr>
          <w:rFonts w:ascii="Times New Roman" w:hAnsi="Times New Roman"/>
          <w:lang w:val="cs-CZ"/>
        </w:rPr>
        <w:t>ký kraj, Katastrální pracoviště Liberec.</w:t>
      </w:r>
    </w:p>
    <w:p w14:paraId="1436723C" w14:textId="5BE46E4A" w:rsidR="00393C06" w:rsidRDefault="00A642F3" w:rsidP="00393C06">
      <w:pPr>
        <w:pStyle w:val="Zkladntext"/>
        <w:numPr>
          <w:ilvl w:val="0"/>
          <w:numId w:val="6"/>
        </w:numPr>
        <w:ind w:left="709" w:hanging="709"/>
        <w:rPr>
          <w:rFonts w:ascii="Times New Roman" w:hAnsi="Times New Roman"/>
          <w:bCs/>
          <w:lang w:val="cs-CZ"/>
        </w:rPr>
      </w:pPr>
      <w:r w:rsidRPr="00C95766">
        <w:rPr>
          <w:rFonts w:ascii="Times New Roman" w:hAnsi="Times New Roman"/>
        </w:rPr>
        <w:t>Pronajímatel přenechává touto smlouvou nájemci</w:t>
      </w:r>
      <w:r w:rsidR="00B27795" w:rsidRPr="00C95766">
        <w:rPr>
          <w:rFonts w:ascii="Times New Roman" w:hAnsi="Times New Roman"/>
        </w:rPr>
        <w:t xml:space="preserve"> do užívání </w:t>
      </w:r>
      <w:r w:rsidRPr="00C95766">
        <w:rPr>
          <w:rFonts w:ascii="Times New Roman" w:hAnsi="Times New Roman"/>
        </w:rPr>
        <w:t xml:space="preserve">prostory v objektu </w:t>
      </w:r>
      <w:r w:rsidRPr="00C95766">
        <w:rPr>
          <w:rFonts w:ascii="Times New Roman" w:hAnsi="Times New Roman"/>
          <w:bCs/>
        </w:rPr>
        <w:t>(dále jen „</w:t>
      </w:r>
      <w:r w:rsidRPr="00C95766">
        <w:rPr>
          <w:rFonts w:ascii="Times New Roman" w:hAnsi="Times New Roman"/>
          <w:b/>
          <w:bCs/>
        </w:rPr>
        <w:t>předmět nájmu</w:t>
      </w:r>
      <w:r w:rsidRPr="00C95766">
        <w:rPr>
          <w:rFonts w:ascii="Times New Roman" w:hAnsi="Times New Roman"/>
          <w:bCs/>
        </w:rPr>
        <w:t>“)</w:t>
      </w:r>
      <w:r w:rsidR="00C95766">
        <w:rPr>
          <w:rFonts w:ascii="Times New Roman" w:hAnsi="Times New Roman"/>
          <w:bCs/>
          <w:lang w:val="cs-CZ"/>
        </w:rPr>
        <w:t xml:space="preserve"> uvedené</w:t>
      </w:r>
      <w:r w:rsidR="00E11A7B" w:rsidRPr="00C95766">
        <w:rPr>
          <w:rFonts w:ascii="Times New Roman" w:hAnsi="Times New Roman"/>
          <w:lang w:val="cs-CZ"/>
        </w:rPr>
        <w:t xml:space="preserve"> </w:t>
      </w:r>
      <w:r w:rsidR="00E11A7B" w:rsidRPr="00C95766">
        <w:rPr>
          <w:rFonts w:ascii="Times New Roman" w:hAnsi="Times New Roman"/>
          <w:b/>
          <w:lang w:val="cs-CZ"/>
        </w:rPr>
        <w:t>Přílo</w:t>
      </w:r>
      <w:r w:rsidR="00C95766">
        <w:rPr>
          <w:rFonts w:ascii="Times New Roman" w:hAnsi="Times New Roman"/>
          <w:b/>
          <w:lang w:val="cs-CZ"/>
        </w:rPr>
        <w:t>ze</w:t>
      </w:r>
      <w:r w:rsidR="00E11A7B" w:rsidRPr="00C95766">
        <w:rPr>
          <w:rFonts w:ascii="Times New Roman" w:hAnsi="Times New Roman"/>
          <w:b/>
          <w:lang w:val="cs-CZ"/>
        </w:rPr>
        <w:t xml:space="preserve"> </w:t>
      </w:r>
      <w:r w:rsidR="00A70562">
        <w:rPr>
          <w:rFonts w:ascii="Times New Roman" w:hAnsi="Times New Roman"/>
          <w:b/>
          <w:lang w:val="cs-CZ"/>
        </w:rPr>
        <w:t xml:space="preserve">č. </w:t>
      </w:r>
      <w:r w:rsidR="007938EE">
        <w:rPr>
          <w:rFonts w:ascii="Times New Roman" w:hAnsi="Times New Roman"/>
          <w:b/>
          <w:lang w:val="cs-CZ"/>
        </w:rPr>
        <w:t>1</w:t>
      </w:r>
      <w:r w:rsidRPr="00C95766">
        <w:rPr>
          <w:rFonts w:ascii="Times New Roman" w:hAnsi="Times New Roman"/>
          <w:bCs/>
        </w:rPr>
        <w:t xml:space="preserve"> a nájemce je přejímá. Nájemce </w:t>
      </w:r>
      <w:r w:rsidR="00AD23D4" w:rsidRPr="00C95766">
        <w:rPr>
          <w:rFonts w:ascii="Times New Roman" w:hAnsi="Times New Roman"/>
          <w:bCs/>
          <w:lang w:val="cs-CZ"/>
        </w:rPr>
        <w:t xml:space="preserve">prohlašuje, že se plně </w:t>
      </w:r>
      <w:r w:rsidR="00AD23D4" w:rsidRPr="00C95766">
        <w:rPr>
          <w:rFonts w:ascii="Times New Roman" w:hAnsi="Times New Roman"/>
          <w:bCs/>
        </w:rPr>
        <w:t>seznámil</w:t>
      </w:r>
      <w:r w:rsidRPr="00C95766">
        <w:rPr>
          <w:rFonts w:ascii="Times New Roman" w:hAnsi="Times New Roman"/>
          <w:bCs/>
        </w:rPr>
        <w:t xml:space="preserve"> se stavem přejímaných prostor</w:t>
      </w:r>
      <w:r w:rsidR="00AD23D4" w:rsidRPr="00C95766">
        <w:rPr>
          <w:rFonts w:ascii="Times New Roman" w:hAnsi="Times New Roman"/>
          <w:bCs/>
          <w:lang w:val="cs-CZ"/>
        </w:rPr>
        <w:t xml:space="preserve"> před podpisem této smlouvy, posoudil jejich vhodnost k sjednávanému účelu nájmu a</w:t>
      </w:r>
      <w:r w:rsidR="00AD23D4" w:rsidRPr="00C95766">
        <w:rPr>
          <w:rFonts w:ascii="Times New Roman" w:hAnsi="Times New Roman"/>
          <w:bCs/>
        </w:rPr>
        <w:t xml:space="preserve"> </w:t>
      </w:r>
      <w:r w:rsidRPr="00C95766">
        <w:rPr>
          <w:rFonts w:ascii="Times New Roman" w:hAnsi="Times New Roman"/>
          <w:bCs/>
        </w:rPr>
        <w:t xml:space="preserve"> souhlasí </w:t>
      </w:r>
      <w:r w:rsidR="00AD23D4" w:rsidRPr="00C95766">
        <w:rPr>
          <w:rFonts w:ascii="Times New Roman" w:hAnsi="Times New Roman"/>
          <w:bCs/>
          <w:lang w:val="cs-CZ"/>
        </w:rPr>
        <w:t xml:space="preserve">se stavem </w:t>
      </w:r>
      <w:r w:rsidR="00AD23D4" w:rsidRPr="00C95766">
        <w:rPr>
          <w:rFonts w:ascii="Times New Roman" w:hAnsi="Times New Roman"/>
          <w:bCs/>
        </w:rPr>
        <w:t>přejímaných prostor</w:t>
      </w:r>
      <w:r w:rsidRPr="00C95766">
        <w:rPr>
          <w:rFonts w:ascii="Times New Roman" w:hAnsi="Times New Roman"/>
          <w:bCs/>
        </w:rPr>
        <w:t>.</w:t>
      </w:r>
    </w:p>
    <w:p w14:paraId="07C9210C" w14:textId="6C96989D" w:rsidR="00A642F3" w:rsidRPr="005F663E" w:rsidRDefault="00A642F3" w:rsidP="00393C06">
      <w:pPr>
        <w:pStyle w:val="Zkladntext"/>
        <w:numPr>
          <w:ilvl w:val="0"/>
          <w:numId w:val="6"/>
        </w:numPr>
        <w:ind w:left="709" w:hanging="709"/>
        <w:rPr>
          <w:rFonts w:ascii="Times New Roman" w:hAnsi="Times New Roman"/>
        </w:rPr>
      </w:pPr>
      <w:r w:rsidRPr="005F663E">
        <w:rPr>
          <w:rFonts w:ascii="Times New Roman" w:hAnsi="Times New Roman"/>
        </w:rPr>
        <w:t xml:space="preserve">Nájemce bude předmět nájmu užívat k následujícímu účelu: </w:t>
      </w:r>
      <w:r w:rsidR="00AA2AF5" w:rsidRPr="000D2B03">
        <w:rPr>
          <w:rFonts w:ascii="Times New Roman" w:hAnsi="Times New Roman"/>
          <w:b/>
        </w:rPr>
        <w:t xml:space="preserve">výuka a zajištění výuky žáků </w:t>
      </w:r>
      <w:r w:rsidR="00D80954" w:rsidRPr="00D80954">
        <w:rPr>
          <w:rFonts w:ascii="Times New Roman" w:hAnsi="Times New Roman"/>
          <w:b/>
          <w:lang w:val="cs-CZ"/>
        </w:rPr>
        <w:t>Střední odborn</w:t>
      </w:r>
      <w:r w:rsidR="00845A8F">
        <w:rPr>
          <w:rFonts w:ascii="Times New Roman" w:hAnsi="Times New Roman"/>
          <w:b/>
          <w:lang w:val="cs-CZ"/>
        </w:rPr>
        <w:t>é</w:t>
      </w:r>
      <w:r w:rsidR="00D80954" w:rsidRPr="00D80954">
        <w:rPr>
          <w:rFonts w:ascii="Times New Roman" w:hAnsi="Times New Roman"/>
          <w:b/>
          <w:lang w:val="cs-CZ"/>
        </w:rPr>
        <w:t xml:space="preserve"> škol</w:t>
      </w:r>
      <w:r w:rsidR="00845A8F">
        <w:rPr>
          <w:rFonts w:ascii="Times New Roman" w:hAnsi="Times New Roman"/>
          <w:b/>
          <w:lang w:val="cs-CZ"/>
        </w:rPr>
        <w:t>y</w:t>
      </w:r>
      <w:r w:rsidR="00D80954" w:rsidRPr="00D80954">
        <w:rPr>
          <w:rFonts w:ascii="Times New Roman" w:hAnsi="Times New Roman"/>
          <w:b/>
          <w:lang w:val="cs-CZ"/>
        </w:rPr>
        <w:t>, Liberec, Jablonecká 999, příspěvková organizace</w:t>
      </w:r>
    </w:p>
    <w:p w14:paraId="4A057425" w14:textId="77777777" w:rsidR="00D60937" w:rsidRDefault="00D60937" w:rsidP="00D60937">
      <w:pPr>
        <w:jc w:val="center"/>
      </w:pPr>
    </w:p>
    <w:p w14:paraId="4E457E6A" w14:textId="77777777" w:rsidR="00A642F3" w:rsidRPr="005F663E" w:rsidRDefault="00A642F3" w:rsidP="00D60937">
      <w:pPr>
        <w:jc w:val="center"/>
      </w:pPr>
      <w:r w:rsidRPr="005F663E">
        <w:t>Článek II.</w:t>
      </w:r>
    </w:p>
    <w:p w14:paraId="5B0F9394" w14:textId="77777777" w:rsidR="00A642F3" w:rsidRPr="005F663E" w:rsidRDefault="00A642F3" w:rsidP="00A642F3">
      <w:pPr>
        <w:jc w:val="center"/>
        <w:rPr>
          <w:b/>
        </w:rPr>
      </w:pPr>
      <w:r w:rsidRPr="005F663E">
        <w:rPr>
          <w:b/>
        </w:rPr>
        <w:t>Doba nájmu</w:t>
      </w:r>
    </w:p>
    <w:p w14:paraId="7F9D8441" w14:textId="6E88C52B" w:rsidR="00483C65" w:rsidRPr="005F663E" w:rsidRDefault="00483C65" w:rsidP="00483C65">
      <w:r w:rsidRPr="005F663E">
        <w:t xml:space="preserve">Nájem se sjednává na dobu určitou s účinností od </w:t>
      </w:r>
      <w:r w:rsidR="0092010E" w:rsidRPr="00C52ACD">
        <w:rPr>
          <w:b/>
        </w:rPr>
        <w:t>1</w:t>
      </w:r>
      <w:r w:rsidR="00CE1721" w:rsidRPr="00C52ACD">
        <w:rPr>
          <w:b/>
        </w:rPr>
        <w:t>.</w:t>
      </w:r>
      <w:r w:rsidR="00BE268E">
        <w:rPr>
          <w:b/>
        </w:rPr>
        <w:t>3</w:t>
      </w:r>
      <w:r w:rsidR="00CE1721" w:rsidRPr="00C52ACD">
        <w:rPr>
          <w:b/>
        </w:rPr>
        <w:t>.20</w:t>
      </w:r>
      <w:r w:rsidR="0092010E" w:rsidRPr="00C52ACD">
        <w:rPr>
          <w:b/>
        </w:rPr>
        <w:t>2</w:t>
      </w:r>
      <w:r w:rsidR="00980AFE" w:rsidRPr="00C52ACD">
        <w:rPr>
          <w:b/>
        </w:rPr>
        <w:t>2</w:t>
      </w:r>
      <w:r w:rsidR="00393C06" w:rsidRPr="00C52ACD">
        <w:rPr>
          <w:b/>
        </w:rPr>
        <w:t xml:space="preserve"> do</w:t>
      </w:r>
      <w:r w:rsidR="00B614AB" w:rsidRPr="00C52ACD">
        <w:rPr>
          <w:b/>
        </w:rPr>
        <w:t xml:space="preserve"> </w:t>
      </w:r>
      <w:r w:rsidR="00BE268E">
        <w:rPr>
          <w:b/>
        </w:rPr>
        <w:t>28</w:t>
      </w:r>
      <w:r w:rsidR="00B33C10" w:rsidRPr="00C52ACD">
        <w:rPr>
          <w:b/>
        </w:rPr>
        <w:t>.</w:t>
      </w:r>
      <w:r w:rsidR="00BE268E">
        <w:rPr>
          <w:b/>
        </w:rPr>
        <w:t>2</w:t>
      </w:r>
      <w:r w:rsidR="00B33C10" w:rsidRPr="00C52ACD">
        <w:rPr>
          <w:b/>
        </w:rPr>
        <w:t>. 204</w:t>
      </w:r>
      <w:r w:rsidR="00980AFE" w:rsidRPr="00C52ACD">
        <w:rPr>
          <w:b/>
        </w:rPr>
        <w:t>2</w:t>
      </w:r>
    </w:p>
    <w:p w14:paraId="58E7BC9B" w14:textId="77777777" w:rsidR="00B614AB" w:rsidRDefault="00B614AB">
      <w:r>
        <w:br w:type="page"/>
      </w:r>
    </w:p>
    <w:p w14:paraId="4D3B5E0D" w14:textId="77777777" w:rsidR="00A642F3" w:rsidRPr="005F663E" w:rsidRDefault="00A642F3" w:rsidP="003D1213">
      <w:pPr>
        <w:jc w:val="center"/>
      </w:pPr>
      <w:r w:rsidRPr="005F663E">
        <w:lastRenderedPageBreak/>
        <w:t>Článek III</w:t>
      </w:r>
      <w:r w:rsidR="00850DF7" w:rsidRPr="005F663E">
        <w:t>.</w:t>
      </w:r>
    </w:p>
    <w:p w14:paraId="7993E718" w14:textId="77777777" w:rsidR="00A642F3" w:rsidRPr="005F663E" w:rsidRDefault="00A642F3" w:rsidP="00A642F3">
      <w:pPr>
        <w:jc w:val="center"/>
        <w:rPr>
          <w:b/>
        </w:rPr>
      </w:pPr>
      <w:r w:rsidRPr="005F663E">
        <w:rPr>
          <w:b/>
        </w:rPr>
        <w:t>Nájemné</w:t>
      </w:r>
    </w:p>
    <w:p w14:paraId="3A1583C6" w14:textId="67D50104" w:rsidR="000D2B03" w:rsidRPr="00F960D4" w:rsidRDefault="0011407E" w:rsidP="00E60FA8">
      <w:pPr>
        <w:numPr>
          <w:ilvl w:val="0"/>
          <w:numId w:val="4"/>
        </w:numPr>
        <w:ind w:left="709" w:hanging="709"/>
        <w:jc w:val="both"/>
      </w:pPr>
      <w:r w:rsidRPr="00112544">
        <w:t xml:space="preserve">Roční nájemné za užívání předmětu nájmu se sjednává </w:t>
      </w:r>
      <w:r w:rsidRPr="00112544">
        <w:rPr>
          <w:lang w:eastAsia="ar-SA"/>
        </w:rPr>
        <w:t xml:space="preserve">na </w:t>
      </w:r>
      <w:proofErr w:type="gramStart"/>
      <w:r w:rsidRPr="00112544">
        <w:rPr>
          <w:lang w:eastAsia="ar-SA"/>
        </w:rPr>
        <w:t>částku</w:t>
      </w:r>
      <w:r w:rsidR="00B614AB">
        <w:rPr>
          <w:lang w:eastAsia="ar-SA"/>
        </w:rPr>
        <w:t xml:space="preserve">  </w:t>
      </w:r>
      <w:r w:rsidR="00F960D4" w:rsidRPr="00F960D4">
        <w:rPr>
          <w:b/>
          <w:lang w:eastAsia="ar-SA"/>
        </w:rPr>
        <w:t>137</w:t>
      </w:r>
      <w:proofErr w:type="gramEnd"/>
      <w:r w:rsidR="00F960D4" w:rsidRPr="00F960D4">
        <w:rPr>
          <w:b/>
          <w:lang w:eastAsia="ar-SA"/>
        </w:rPr>
        <w:t xml:space="preserve"> 940</w:t>
      </w:r>
      <w:r w:rsidR="00234417" w:rsidRPr="00F960D4">
        <w:rPr>
          <w:b/>
          <w:lang w:eastAsia="ar-SA"/>
        </w:rPr>
        <w:t>,-</w:t>
      </w:r>
      <w:r w:rsidR="007938EE" w:rsidRPr="00F960D4">
        <w:rPr>
          <w:b/>
          <w:lang w:eastAsia="ar-SA"/>
        </w:rPr>
        <w:t xml:space="preserve"> Kč</w:t>
      </w:r>
      <w:r w:rsidR="00112544" w:rsidRPr="00F960D4">
        <w:rPr>
          <w:b/>
          <w:lang w:eastAsia="ar-SA"/>
        </w:rPr>
        <w:t xml:space="preserve"> </w:t>
      </w:r>
      <w:r w:rsidR="00E855E0" w:rsidRPr="00F960D4">
        <w:rPr>
          <w:b/>
          <w:lang w:eastAsia="ar-SA"/>
        </w:rPr>
        <w:t>s</w:t>
      </w:r>
      <w:r w:rsidR="00112544" w:rsidRPr="00F960D4">
        <w:rPr>
          <w:b/>
          <w:lang w:eastAsia="ar-SA"/>
        </w:rPr>
        <w:t xml:space="preserve"> DPH</w:t>
      </w:r>
      <w:r w:rsidR="007938EE" w:rsidRPr="00F960D4">
        <w:rPr>
          <w:lang w:eastAsia="ar-SA"/>
        </w:rPr>
        <w:t xml:space="preserve"> (slovy:</w:t>
      </w:r>
      <w:r w:rsidR="00B614AB" w:rsidRPr="00F960D4">
        <w:rPr>
          <w:lang w:eastAsia="ar-SA"/>
        </w:rPr>
        <w:t xml:space="preserve"> </w:t>
      </w:r>
      <w:proofErr w:type="spellStart"/>
      <w:r w:rsidR="00F960D4" w:rsidRPr="00F960D4">
        <w:rPr>
          <w:lang w:eastAsia="ar-SA"/>
        </w:rPr>
        <w:t>Stotřicetsedmtisícdevětsetčtyřicet</w:t>
      </w:r>
      <w:proofErr w:type="spellEnd"/>
      <w:r w:rsidR="007938EE" w:rsidRPr="00F960D4">
        <w:rPr>
          <w:lang w:eastAsia="ar-SA"/>
        </w:rPr>
        <w:t xml:space="preserve"> </w:t>
      </w:r>
      <w:r w:rsidR="007C5340" w:rsidRPr="00F960D4">
        <w:rPr>
          <w:lang w:eastAsia="ar-SA"/>
        </w:rPr>
        <w:t>k</w:t>
      </w:r>
      <w:r w:rsidR="007938EE" w:rsidRPr="00F960D4">
        <w:rPr>
          <w:lang w:eastAsia="ar-SA"/>
        </w:rPr>
        <w:t>orun česk</w:t>
      </w:r>
      <w:r w:rsidR="0092010E" w:rsidRPr="00F960D4">
        <w:rPr>
          <w:lang w:eastAsia="ar-SA"/>
        </w:rPr>
        <w:t>ých</w:t>
      </w:r>
      <w:r w:rsidR="007938EE" w:rsidRPr="00F960D4">
        <w:rPr>
          <w:lang w:eastAsia="ar-SA"/>
        </w:rPr>
        <w:t>)</w:t>
      </w:r>
      <w:r w:rsidR="00B614AB" w:rsidRPr="00F960D4">
        <w:rPr>
          <w:lang w:eastAsia="ar-SA"/>
        </w:rPr>
        <w:t>.</w:t>
      </w:r>
    </w:p>
    <w:p w14:paraId="666D06BD" w14:textId="71FB31F7" w:rsidR="00112544" w:rsidRDefault="007938EE" w:rsidP="00112544">
      <w:pPr>
        <w:ind w:left="709"/>
        <w:jc w:val="both"/>
      </w:pPr>
      <w:r w:rsidRPr="00B15F49">
        <w:rPr>
          <w:lang w:eastAsia="ar-SA"/>
        </w:rPr>
        <w:t>Ná</w:t>
      </w:r>
      <w:r>
        <w:rPr>
          <w:lang w:eastAsia="ar-SA"/>
        </w:rPr>
        <w:t>jemné</w:t>
      </w:r>
      <w:r w:rsidRPr="00B15F49">
        <w:rPr>
          <w:lang w:eastAsia="ar-SA"/>
        </w:rPr>
        <w:t xml:space="preserve"> bud</w:t>
      </w:r>
      <w:r>
        <w:rPr>
          <w:lang w:eastAsia="ar-SA"/>
        </w:rPr>
        <w:t>e</w:t>
      </w:r>
      <w:r w:rsidRPr="00B15F49">
        <w:rPr>
          <w:lang w:eastAsia="ar-SA"/>
        </w:rPr>
        <w:t xml:space="preserve"> </w:t>
      </w:r>
      <w:r>
        <w:rPr>
          <w:lang w:eastAsia="ar-SA"/>
        </w:rPr>
        <w:t>nájemc</w:t>
      </w:r>
      <w:r w:rsidRPr="00B15F49">
        <w:rPr>
          <w:lang w:eastAsia="ar-SA"/>
        </w:rPr>
        <w:t>em uhrazen</w:t>
      </w:r>
      <w:r>
        <w:rPr>
          <w:lang w:eastAsia="ar-SA"/>
        </w:rPr>
        <w:t>o</w:t>
      </w:r>
      <w:r w:rsidRPr="00B15F49">
        <w:rPr>
          <w:lang w:eastAsia="ar-SA"/>
        </w:rPr>
        <w:t xml:space="preserve"> </w:t>
      </w:r>
      <w:r w:rsidR="00C74267">
        <w:rPr>
          <w:lang w:eastAsia="ar-SA"/>
        </w:rPr>
        <w:t xml:space="preserve">měsíčně ve výši </w:t>
      </w:r>
      <w:r w:rsidR="00F960D4" w:rsidRPr="00F960D4">
        <w:rPr>
          <w:b/>
          <w:lang w:eastAsia="ar-SA"/>
        </w:rPr>
        <w:t>11 495</w:t>
      </w:r>
      <w:r w:rsidR="00C74267" w:rsidRPr="00F960D4">
        <w:rPr>
          <w:b/>
          <w:lang w:eastAsia="ar-SA"/>
        </w:rPr>
        <w:t>,- Kč s DPH</w:t>
      </w:r>
      <w:r w:rsidR="00C74267" w:rsidRPr="00F960D4">
        <w:rPr>
          <w:lang w:eastAsia="ar-SA"/>
        </w:rPr>
        <w:t xml:space="preserve"> (slovy: </w:t>
      </w:r>
      <w:proofErr w:type="spellStart"/>
      <w:r w:rsidR="00F960D4" w:rsidRPr="00F960D4">
        <w:rPr>
          <w:lang w:eastAsia="ar-SA"/>
        </w:rPr>
        <w:t>Jedenácttisícčtyřistadevadesátpět</w:t>
      </w:r>
      <w:proofErr w:type="spellEnd"/>
      <w:r w:rsidR="00C74267" w:rsidRPr="00F960D4">
        <w:rPr>
          <w:lang w:eastAsia="ar-SA"/>
        </w:rPr>
        <w:t xml:space="preserve"> korun českých) </w:t>
      </w:r>
      <w:r w:rsidRPr="00B15F49">
        <w:rPr>
          <w:lang w:eastAsia="ar-SA"/>
        </w:rPr>
        <w:t>na základě faktury vystavené p</w:t>
      </w:r>
      <w:r>
        <w:rPr>
          <w:lang w:eastAsia="ar-SA"/>
        </w:rPr>
        <w:t>ronajíma</w:t>
      </w:r>
      <w:r w:rsidRPr="00B15F49">
        <w:rPr>
          <w:lang w:eastAsia="ar-SA"/>
        </w:rPr>
        <w:t xml:space="preserve">telem a doručené </w:t>
      </w:r>
      <w:r>
        <w:rPr>
          <w:lang w:eastAsia="ar-SA"/>
        </w:rPr>
        <w:t>ná</w:t>
      </w:r>
      <w:r w:rsidRPr="00B15F49">
        <w:rPr>
          <w:lang w:eastAsia="ar-SA"/>
        </w:rPr>
        <w:t xml:space="preserve">jemci. Splatnost faktury je smluvními stranami sjednána na 30 dnů ode dne doručení </w:t>
      </w:r>
      <w:r w:rsidR="00A47516">
        <w:rPr>
          <w:lang w:eastAsia="ar-SA"/>
        </w:rPr>
        <w:t>nájemci</w:t>
      </w:r>
      <w:r w:rsidRPr="00B15F49">
        <w:rPr>
          <w:lang w:eastAsia="ar-SA"/>
        </w:rPr>
        <w:t>.</w:t>
      </w:r>
    </w:p>
    <w:p w14:paraId="7FA86942" w14:textId="77777777" w:rsidR="00112544" w:rsidRPr="007B6354" w:rsidRDefault="00112544" w:rsidP="00112544">
      <w:pPr>
        <w:numPr>
          <w:ilvl w:val="0"/>
          <w:numId w:val="4"/>
        </w:numPr>
        <w:ind w:left="709" w:hanging="709"/>
        <w:jc w:val="both"/>
      </w:pPr>
      <w:r w:rsidRPr="007B6354">
        <w:t>Vedle nájemného nájemce platí úhradu za služby spojené s nájmem:</w:t>
      </w:r>
    </w:p>
    <w:p w14:paraId="7ADAF8B1" w14:textId="7468FC3D" w:rsidR="008C02B0" w:rsidRDefault="00112544" w:rsidP="008C02B0">
      <w:pPr>
        <w:ind w:left="709"/>
        <w:jc w:val="both"/>
      </w:pPr>
      <w:r w:rsidRPr="007B6354">
        <w:t xml:space="preserve">el. energii, teplo, vodné, stočné, </w:t>
      </w:r>
      <w:r w:rsidR="00C74267">
        <w:t xml:space="preserve">pevný domovní odpad (dále jen </w:t>
      </w:r>
      <w:r w:rsidR="002370C8">
        <w:t>„</w:t>
      </w:r>
      <w:r w:rsidRPr="007B6354">
        <w:t>PDO</w:t>
      </w:r>
      <w:r w:rsidR="002370C8">
        <w:t>“</w:t>
      </w:r>
      <w:r w:rsidR="00C74267">
        <w:t>)</w:t>
      </w:r>
      <w:r w:rsidRPr="007B6354">
        <w:t>, a to zálohově.</w:t>
      </w:r>
      <w:r w:rsidR="008C02B0">
        <w:t xml:space="preserve"> </w:t>
      </w:r>
      <w:r w:rsidR="008C02B0" w:rsidRPr="007B6354">
        <w:t>Výše</w:t>
      </w:r>
      <w:r w:rsidR="00F960D4">
        <w:t xml:space="preserve"> nájemného a</w:t>
      </w:r>
      <w:r w:rsidR="008C02B0" w:rsidRPr="007B6354">
        <w:t xml:space="preserve"> ceny uvedených služeb j</w:t>
      </w:r>
      <w:r w:rsidR="00F960D4">
        <w:t>sou</w:t>
      </w:r>
      <w:r w:rsidR="008C02B0" w:rsidRPr="007B6354">
        <w:t xml:space="preserve"> stanoven</w:t>
      </w:r>
      <w:r w:rsidR="00F960D4">
        <w:t>y</w:t>
      </w:r>
      <w:r w:rsidR="008C02B0" w:rsidRPr="007B6354">
        <w:t xml:space="preserve"> v </w:t>
      </w:r>
      <w:r w:rsidR="008C02B0" w:rsidRPr="00112544">
        <w:rPr>
          <w:b/>
        </w:rPr>
        <w:t>Příloze č. 2</w:t>
      </w:r>
      <w:r w:rsidR="008C02B0" w:rsidRPr="007B6354">
        <w:t xml:space="preserve"> k této smlouvě.</w:t>
      </w:r>
    </w:p>
    <w:p w14:paraId="3D8397E9" w14:textId="6869A77C" w:rsidR="008C02B0" w:rsidRDefault="004F7810" w:rsidP="008C02B0">
      <w:pPr>
        <w:ind w:left="709"/>
        <w:jc w:val="both"/>
      </w:pPr>
      <w:r w:rsidRPr="00890A2E">
        <w:t>Zálohová platba za el. energii bude zúčtována dle skutečného odběru</w:t>
      </w:r>
      <w:r w:rsidR="008C02B0" w:rsidRPr="00890A2E">
        <w:t>.</w:t>
      </w:r>
      <w:r w:rsidRPr="00890A2E">
        <w:t xml:space="preserve"> </w:t>
      </w:r>
      <w:r w:rsidR="008C02B0" w:rsidRPr="00890A2E">
        <w:t>Z</w:t>
      </w:r>
      <w:r w:rsidRPr="00890A2E">
        <w:t>aplacené zálohy za topení, vodné</w:t>
      </w:r>
      <w:r w:rsidR="008C02B0" w:rsidRPr="00890A2E">
        <w:t xml:space="preserve">, </w:t>
      </w:r>
      <w:r w:rsidRPr="00890A2E">
        <w:t>stočné</w:t>
      </w:r>
      <w:r w:rsidR="008C02B0" w:rsidRPr="00890A2E">
        <w:t xml:space="preserve"> a PDO</w:t>
      </w:r>
      <w:r w:rsidRPr="00890A2E">
        <w:t xml:space="preserve"> budou zúčtovány podle skutečných nákladů vynaložených na tyto služby s rozúčtováním podle poměru užívaného nebytového prostoru v daném objektu.</w:t>
      </w:r>
      <w:r>
        <w:t xml:space="preserve"> </w:t>
      </w:r>
      <w:r w:rsidR="008C02B0">
        <w:t>Zúčtování skutečných nákladů, záloh a rozúčtování dle předchozího ustanovení zabezpečí pronajímatel ročně, vždy nejpozději k</w:t>
      </w:r>
      <w:r w:rsidR="002370C8">
        <w:t> </w:t>
      </w:r>
      <w:r w:rsidR="008C02B0">
        <w:t>5</w:t>
      </w:r>
      <w:r w:rsidR="002370C8">
        <w:t>.</w:t>
      </w:r>
      <w:r w:rsidR="008C02B0">
        <w:t xml:space="preserve"> měsíci následujícího roku.</w:t>
      </w:r>
    </w:p>
    <w:p w14:paraId="7C6797FD" w14:textId="77777777" w:rsidR="007938EE" w:rsidRDefault="00A642F3" w:rsidP="008C02B0">
      <w:pPr>
        <w:numPr>
          <w:ilvl w:val="0"/>
          <w:numId w:val="4"/>
        </w:numPr>
        <w:ind w:left="709" w:hanging="709"/>
        <w:jc w:val="both"/>
      </w:pPr>
      <w:r w:rsidRPr="00B15F49">
        <w:t xml:space="preserve">Nájemné podle bodu 1. </w:t>
      </w:r>
      <w:r w:rsidR="00112544">
        <w:t xml:space="preserve">a 2. </w:t>
      </w:r>
      <w:r w:rsidRPr="00B15F49">
        <w:t>je splatné na účet pronajímatele uvedený v záhlaví smlouvy.</w:t>
      </w:r>
    </w:p>
    <w:p w14:paraId="2D3EB6A7" w14:textId="77777777" w:rsidR="00B15F49" w:rsidRPr="00B15F49" w:rsidRDefault="00B15F49" w:rsidP="00A642F3">
      <w:pPr>
        <w:numPr>
          <w:ilvl w:val="0"/>
          <w:numId w:val="4"/>
        </w:numPr>
        <w:ind w:hanging="720"/>
        <w:jc w:val="both"/>
      </w:pPr>
      <w:r w:rsidRPr="00B15F49">
        <w:rPr>
          <w:lang w:eastAsia="ar-SA"/>
        </w:rPr>
        <w:t xml:space="preserve">Faktura musí mít náležitosti daňového dokladu dle platných právních předpisů. Nebude-li mít požadované náležitosti, je </w:t>
      </w:r>
      <w:r>
        <w:rPr>
          <w:lang w:eastAsia="ar-SA"/>
        </w:rPr>
        <w:t>nájemce</w:t>
      </w:r>
      <w:r w:rsidRPr="00B15F49">
        <w:rPr>
          <w:lang w:eastAsia="ar-SA"/>
        </w:rPr>
        <w:t xml:space="preserve"> oprávněn vadnou fakturu vrátit ve lhůtě splatnosti zpět p</w:t>
      </w:r>
      <w:r>
        <w:rPr>
          <w:lang w:eastAsia="ar-SA"/>
        </w:rPr>
        <w:t>ronajíma</w:t>
      </w:r>
      <w:r w:rsidRPr="00B15F49">
        <w:rPr>
          <w:lang w:eastAsia="ar-SA"/>
        </w:rPr>
        <w:t xml:space="preserve">teli k opravě či doplnění, aniž by se dostal do prodlení s úhradou nákladů na služby. Nová doba splatnosti začíná běžet ode dne doručení opravené či doplněné faktury </w:t>
      </w:r>
      <w:r>
        <w:rPr>
          <w:lang w:eastAsia="ar-SA"/>
        </w:rPr>
        <w:t>nájemc</w:t>
      </w:r>
      <w:r w:rsidRPr="00B15F49">
        <w:rPr>
          <w:lang w:eastAsia="ar-SA"/>
        </w:rPr>
        <w:t>i.</w:t>
      </w:r>
    </w:p>
    <w:p w14:paraId="59F1F451" w14:textId="384B21FB" w:rsidR="00A642F3" w:rsidRPr="005F663E" w:rsidRDefault="00A642F3" w:rsidP="000901FD">
      <w:pPr>
        <w:numPr>
          <w:ilvl w:val="0"/>
          <w:numId w:val="4"/>
        </w:numPr>
        <w:ind w:hanging="720"/>
        <w:jc w:val="both"/>
      </w:pPr>
      <w:r w:rsidRPr="005F663E">
        <w:t xml:space="preserve">Prodlení s platbami nájemného podléhá </w:t>
      </w:r>
      <w:r w:rsidR="003C640F" w:rsidRPr="005F663E">
        <w:t xml:space="preserve">smluvní pokutě ve výši </w:t>
      </w:r>
      <w:proofErr w:type="gramStart"/>
      <w:r w:rsidR="00911E6F" w:rsidRPr="005F663E">
        <w:t>0,</w:t>
      </w:r>
      <w:r w:rsidR="00F723CC">
        <w:t>2</w:t>
      </w:r>
      <w:r w:rsidRPr="005F663E">
        <w:t>%</w:t>
      </w:r>
      <w:proofErr w:type="gramEnd"/>
      <w:r w:rsidRPr="005F663E">
        <w:t xml:space="preserve"> z dlužné částky za každý započatý den prodlení. Nájemce se zavazuje zaplatit </w:t>
      </w:r>
      <w:r w:rsidR="003C640F" w:rsidRPr="005F663E">
        <w:t>smluvní pokutu</w:t>
      </w:r>
      <w:r w:rsidRPr="005F663E">
        <w:t xml:space="preserve"> ve stanovené výši, pokud se s pronajímatelem nedohodne jinak.</w:t>
      </w:r>
    </w:p>
    <w:p w14:paraId="3236A47D" w14:textId="3FFA234C" w:rsidR="001D727D" w:rsidRDefault="00A642F3" w:rsidP="001D727D">
      <w:pPr>
        <w:numPr>
          <w:ilvl w:val="0"/>
          <w:numId w:val="4"/>
        </w:numPr>
        <w:ind w:hanging="720"/>
        <w:jc w:val="both"/>
      </w:pPr>
      <w:r w:rsidRPr="005F663E">
        <w:t>Prodlení s platbou delší než třicet (30) dnů, pokud se nájemce s pronajímatelem nedohodnou jinak, může být důvodem výpovědi z nájmu ze strany pronajímatele. Pro tento případ se sjednává patnácti (</w:t>
      </w:r>
      <w:proofErr w:type="gramStart"/>
      <w:r w:rsidRPr="005F663E">
        <w:t>15-ti</w:t>
      </w:r>
      <w:proofErr w:type="gramEnd"/>
      <w:r w:rsidRPr="005F663E">
        <w:t xml:space="preserve">) denní výpovědní </w:t>
      </w:r>
      <w:r w:rsidR="002370C8">
        <w:t>doba</w:t>
      </w:r>
      <w:r w:rsidRPr="005F663E">
        <w:t>, v níž se nájemce zavazuje nebytový prostor vyklidit a uvé</w:t>
      </w:r>
      <w:r w:rsidR="00AA2AF5">
        <w:t>st do stavu, v němž ho převzal.</w:t>
      </w:r>
    </w:p>
    <w:p w14:paraId="755119D0" w14:textId="77777777" w:rsidR="00973CFB" w:rsidRPr="005F663E" w:rsidRDefault="00973CFB" w:rsidP="00973CFB">
      <w:pPr>
        <w:ind w:left="720"/>
        <w:jc w:val="both"/>
      </w:pPr>
    </w:p>
    <w:p w14:paraId="43582890" w14:textId="77777777" w:rsidR="00A642F3" w:rsidRPr="005F663E" w:rsidRDefault="00A642F3" w:rsidP="00A642F3">
      <w:pPr>
        <w:jc w:val="center"/>
      </w:pPr>
      <w:r w:rsidRPr="005F663E">
        <w:t xml:space="preserve">Článek </w:t>
      </w:r>
      <w:r w:rsidR="00541EB4" w:rsidRPr="005F663E">
        <w:t>I</w:t>
      </w:r>
      <w:r w:rsidRPr="005F663E">
        <w:t>V</w:t>
      </w:r>
      <w:r w:rsidR="00541EB4" w:rsidRPr="005F663E">
        <w:t>.</w:t>
      </w:r>
    </w:p>
    <w:p w14:paraId="2818FAA6" w14:textId="77777777" w:rsidR="00A642F3" w:rsidRPr="005F663E" w:rsidRDefault="00A642F3" w:rsidP="00A642F3">
      <w:pPr>
        <w:jc w:val="center"/>
        <w:rPr>
          <w:b/>
        </w:rPr>
      </w:pPr>
      <w:r w:rsidRPr="005F663E">
        <w:rPr>
          <w:b/>
        </w:rPr>
        <w:t>Práva a povinnosti smluvních stran</w:t>
      </w:r>
    </w:p>
    <w:p w14:paraId="61548014" w14:textId="77777777" w:rsidR="00A642F3" w:rsidRPr="005F663E" w:rsidRDefault="00A642F3" w:rsidP="00F723CC">
      <w:pPr>
        <w:pStyle w:val="Odstavecseseznamem"/>
        <w:numPr>
          <w:ilvl w:val="0"/>
          <w:numId w:val="28"/>
        </w:numPr>
        <w:ind w:hanging="720"/>
        <w:jc w:val="both"/>
      </w:pPr>
      <w:r w:rsidRPr="005F663E">
        <w:t>Pronajímatel má:</w:t>
      </w:r>
    </w:p>
    <w:p w14:paraId="01C26DF0" w14:textId="77777777" w:rsidR="00A642F3" w:rsidRPr="005F663E" w:rsidRDefault="00A642F3" w:rsidP="00A642F3">
      <w:pPr>
        <w:numPr>
          <w:ilvl w:val="0"/>
          <w:numId w:val="2"/>
        </w:numPr>
        <w:jc w:val="both"/>
      </w:pPr>
      <w:r w:rsidRPr="005F663E">
        <w:t>právo na placení sjednaného nájemného a úhrady za služby,</w:t>
      </w:r>
    </w:p>
    <w:p w14:paraId="1B004E88" w14:textId="77777777" w:rsidR="00A642F3" w:rsidRPr="005F663E" w:rsidRDefault="00A642F3" w:rsidP="00A642F3">
      <w:pPr>
        <w:numPr>
          <w:ilvl w:val="0"/>
          <w:numId w:val="2"/>
        </w:numPr>
        <w:jc w:val="both"/>
      </w:pPr>
      <w:r w:rsidRPr="005F663E">
        <w:t>povinnost předat předmět nájmu ve stavu způsobilém pro účel sjednaný v</w:t>
      </w:r>
      <w:r w:rsidR="0087216D" w:rsidRPr="005F663E">
        <w:t> článku předmět nájmu</w:t>
      </w:r>
      <w:r w:rsidRPr="005F663E">
        <w:t>,</w:t>
      </w:r>
    </w:p>
    <w:p w14:paraId="75D16FAD" w14:textId="77777777" w:rsidR="00A642F3" w:rsidRPr="005F663E" w:rsidRDefault="00A642F3" w:rsidP="00A642F3">
      <w:pPr>
        <w:numPr>
          <w:ilvl w:val="0"/>
          <w:numId w:val="2"/>
        </w:numPr>
        <w:jc w:val="both"/>
      </w:pPr>
      <w:r w:rsidRPr="005F663E">
        <w:t>právo vstupu do předmětu nájmu za účelem kontroly, zda je nájemce užívá k účelu stanovenému ve smlouvě,</w:t>
      </w:r>
    </w:p>
    <w:p w14:paraId="12471D65" w14:textId="77777777" w:rsidR="00F960D4" w:rsidRPr="00F960D4" w:rsidRDefault="00A642F3" w:rsidP="00F960D4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 w:rsidRPr="005F663E">
        <w:t>povinnost udržovat po dobu trvání nájemní smlouvy předmět nájmu ve stavu způsobilém pro účel sjednaný v</w:t>
      </w:r>
      <w:r w:rsidR="0087216D" w:rsidRPr="005F663E">
        <w:t> článku Předmět nájmu</w:t>
      </w:r>
      <w:r w:rsidR="006416CA" w:rsidRPr="005F663E">
        <w:t>.</w:t>
      </w:r>
    </w:p>
    <w:p w14:paraId="30D543B2" w14:textId="4FAF86C9" w:rsidR="0024476D" w:rsidRPr="00184E66" w:rsidRDefault="0024476D" w:rsidP="00184E66">
      <w:pPr>
        <w:numPr>
          <w:ilvl w:val="0"/>
          <w:numId w:val="2"/>
        </w:numPr>
        <w:jc w:val="both"/>
      </w:pPr>
      <w:r>
        <w:t xml:space="preserve">povinnost zrekonstruovat </w:t>
      </w:r>
      <w:r w:rsidR="003D743C">
        <w:t>předmět nájmu</w:t>
      </w:r>
      <w:r w:rsidR="00F723CC">
        <w:t xml:space="preserve"> v rozsahu </w:t>
      </w:r>
      <w:r w:rsidR="00F723CC" w:rsidRPr="00E95C39">
        <w:t>uvedeném v </w:t>
      </w:r>
      <w:r w:rsidR="00184E66" w:rsidRPr="008A2578">
        <w:rPr>
          <w:b/>
        </w:rPr>
        <w:t>P</w:t>
      </w:r>
      <w:r w:rsidR="00F723CC" w:rsidRPr="008A2578">
        <w:rPr>
          <w:b/>
        </w:rPr>
        <w:t>říloze č. 3</w:t>
      </w:r>
      <w:r w:rsidR="00F723CC" w:rsidRPr="00E95C39">
        <w:t xml:space="preserve"> v</w:t>
      </w:r>
      <w:r w:rsidR="00184E66" w:rsidRPr="00E95C39">
        <w:t> </w:t>
      </w:r>
      <w:r w:rsidR="00F723CC" w:rsidRPr="00E95C39">
        <w:t>hodnotě</w:t>
      </w:r>
      <w:r w:rsidR="00184E66" w:rsidRPr="00184E66">
        <w:t xml:space="preserve"> </w:t>
      </w:r>
      <w:r w:rsidR="00184E66" w:rsidRPr="00184E66">
        <w:rPr>
          <w:b/>
        </w:rPr>
        <w:t>11 583 928</w:t>
      </w:r>
      <w:r w:rsidR="00F960D4" w:rsidRPr="00184E66">
        <w:rPr>
          <w:b/>
        </w:rPr>
        <w:t>,- Kč vč. DPH</w:t>
      </w:r>
      <w:r w:rsidR="00F960D4" w:rsidRPr="00184E66">
        <w:t>.</w:t>
      </w:r>
      <w:r w:rsidR="00DB756C" w:rsidRPr="00184E66">
        <w:t xml:space="preserve"> </w:t>
      </w:r>
      <w:bookmarkStart w:id="2" w:name="_Hlk89246354"/>
      <w:r w:rsidR="00DB756C" w:rsidRPr="00E35A16">
        <w:t>Nájemce je srozuměn se skutečností, že rekonstrukce prostor není dokončena</w:t>
      </w:r>
      <w:r w:rsidR="00DB756C">
        <w:t>,</w:t>
      </w:r>
      <w:r w:rsidR="00DB756C" w:rsidRPr="00E35A16">
        <w:t xml:space="preserve"> a tudíž cena rekonstrukce </w:t>
      </w:r>
      <w:r w:rsidR="00184E66">
        <w:t xml:space="preserve">ani Příloha č. 3 </w:t>
      </w:r>
      <w:r w:rsidR="00DB756C" w:rsidRPr="00E35A16">
        <w:t>ne</w:t>
      </w:r>
      <w:r w:rsidR="00184E66">
        <w:t>jsou</w:t>
      </w:r>
      <w:r w:rsidR="00DB756C" w:rsidRPr="00E35A16">
        <w:t xml:space="preserve"> konečn</w:t>
      </w:r>
      <w:r w:rsidR="00184E66">
        <w:t>é</w:t>
      </w:r>
      <w:r w:rsidR="00DB756C" w:rsidRPr="00E35A16">
        <w:t>. Po ukončení rekonstrukce se</w:t>
      </w:r>
      <w:r w:rsidR="00DB756C">
        <w:t xml:space="preserve"> </w:t>
      </w:r>
      <w:r w:rsidR="00DB756C" w:rsidRPr="00E35A16">
        <w:t>nájemce zavazuje uzavřít v tomto smyslu</w:t>
      </w:r>
      <w:r w:rsidR="00DB756C">
        <w:t xml:space="preserve"> s pronajímatelem</w:t>
      </w:r>
      <w:r w:rsidR="00DB756C" w:rsidRPr="00E35A16">
        <w:t xml:space="preserve"> dodatek, kdy bude uvedena skutečně uhrazená cena </w:t>
      </w:r>
      <w:r w:rsidR="00184E66">
        <w:t>a rozsah prací</w:t>
      </w:r>
      <w:r w:rsidR="00DB756C" w:rsidRPr="00E35A16">
        <w:t xml:space="preserve"> rekonstrukc</w:t>
      </w:r>
      <w:r w:rsidR="00184E66">
        <w:t>e</w:t>
      </w:r>
      <w:r w:rsidR="00DB756C" w:rsidRPr="00E35A16">
        <w:t>.</w:t>
      </w:r>
      <w:bookmarkEnd w:id="2"/>
      <w:r w:rsidR="00DB756C">
        <w:t xml:space="preserve"> Nájemce bude pronajímatelem k uzavření dodatku vyzván.</w:t>
      </w:r>
    </w:p>
    <w:p w14:paraId="1C4500AD" w14:textId="77777777" w:rsidR="00F723CC" w:rsidRDefault="00F723CC" w:rsidP="00F723CC">
      <w:pPr>
        <w:pStyle w:val="Odstavecseseznamem"/>
        <w:jc w:val="both"/>
      </w:pPr>
    </w:p>
    <w:p w14:paraId="0092CB60" w14:textId="11EF16A9" w:rsidR="00A642F3" w:rsidRPr="005F663E" w:rsidRDefault="00A642F3" w:rsidP="00F723CC">
      <w:pPr>
        <w:pStyle w:val="Odstavecseseznamem"/>
        <w:numPr>
          <w:ilvl w:val="0"/>
          <w:numId w:val="28"/>
        </w:numPr>
        <w:ind w:hanging="720"/>
        <w:jc w:val="both"/>
      </w:pPr>
      <w:r w:rsidRPr="005F663E">
        <w:t>Nájemce:</w:t>
      </w:r>
    </w:p>
    <w:p w14:paraId="1A90CED6" w14:textId="77777777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t>je povinen platit nájemné,</w:t>
      </w:r>
    </w:p>
    <w:p w14:paraId="405B9A9F" w14:textId="77777777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t>je povinen po celou dobu trvání nájmu užívat předmět nájmu pouze k účelu uvedenému ve smlouvě a omezit provozní dobu předmě</w:t>
      </w:r>
      <w:r w:rsidR="00A257E7" w:rsidRPr="005F663E">
        <w:t xml:space="preserve">tu nájmu na časový </w:t>
      </w:r>
      <w:r w:rsidR="00E50317" w:rsidRPr="005F663E">
        <w:t>interval od 6 do 22 hod</w:t>
      </w:r>
      <w:r w:rsidRPr="005F663E">
        <w:t>.</w:t>
      </w:r>
    </w:p>
    <w:p w14:paraId="1547918E" w14:textId="1F01F440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lastRenderedPageBreak/>
        <w:t>uhradí pronajímateli veškeré škody, které v předmětu nájmu, nebo společně užívaných prostorách či na jejich zařízení vzniknou, pro tento případ je povinen se pojistit,</w:t>
      </w:r>
    </w:p>
    <w:p w14:paraId="75A7B0D3" w14:textId="77777777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t>není oprávněn předmět nájmu přenechat do užívání třetí osobě,</w:t>
      </w:r>
    </w:p>
    <w:p w14:paraId="3D37905B" w14:textId="77777777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t>se zavazuje umožnit přístup do předmětu nájmu pronajímateli na jeho požádání a je povinen poskytnout pronajímateli jedny rezervní klíče od najatých prostor, čímž umožní v jeho nepřítomnosti přístup pronajímateli do pronajatých prostor ve vážných případech, které nesnesou odkladu. Pronajímatel je povinen dodatečně případný vstup do pronajatých prostor řádně zdůvodnit a odpovídá nájemci za případné škody,</w:t>
      </w:r>
    </w:p>
    <w:p w14:paraId="17A9B6B9" w14:textId="77777777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t>je povinen dodržovat při své činnosti v předmětu nájmu pravidla bezpečnosti a ochrany zdraví při práci, předpisy týkající se bezpečnosti technických zařízení a požární předpisy</w:t>
      </w:r>
      <w:r w:rsidR="00AD23D4" w:rsidRPr="005F663E">
        <w:t>,</w:t>
      </w:r>
      <w:r w:rsidR="00AD23D4" w:rsidRPr="005F663E">
        <w:rPr>
          <w:color w:val="FF0000"/>
        </w:rPr>
        <w:t xml:space="preserve"> </w:t>
      </w:r>
      <w:r w:rsidR="00AD23D4" w:rsidRPr="005F663E">
        <w:t>zachovávat veškeré bezpečnostní předpisy vztahující se ke sjednanému účelu</w:t>
      </w:r>
      <w:r w:rsidR="000675ED" w:rsidRPr="005F663E">
        <w:t xml:space="preserve"> nájmu</w:t>
      </w:r>
      <w:r w:rsidR="00AD23D4" w:rsidRPr="005F663E">
        <w:t xml:space="preserve"> a k prováděným činnostem v předmětu nájmu</w:t>
      </w:r>
      <w:r w:rsidRPr="005F663E">
        <w:t xml:space="preserve"> a zachovávat provozní řád objektu,</w:t>
      </w:r>
    </w:p>
    <w:p w14:paraId="64D38B81" w14:textId="77777777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t>je povinen bez zbytečného odkladu oznámit pronajímateli potřebu nutných oprav, jakož i nebezpečí vzniku škod v předmětu nájmu, jinak odpovídá za škodu, která nesplněním této povinnosti vznikne, a je povinen snášet omezení v užívání předmětu nájmu v rozsahu nutném pro provedení oprav,</w:t>
      </w:r>
    </w:p>
    <w:p w14:paraId="229BCBD3" w14:textId="77777777" w:rsidR="00A642F3" w:rsidRPr="005F663E" w:rsidRDefault="00A642F3" w:rsidP="00A642F3">
      <w:pPr>
        <w:numPr>
          <w:ilvl w:val="0"/>
          <w:numId w:val="3"/>
        </w:numPr>
        <w:jc w:val="both"/>
      </w:pPr>
      <w:r w:rsidRPr="005F663E">
        <w:t>není bez souhlasu pronajímatele oprávněn provádět jakékoli úpravy předmětu nájmu,</w:t>
      </w:r>
    </w:p>
    <w:p w14:paraId="5F07E14E" w14:textId="77777777" w:rsidR="00F960D4" w:rsidRDefault="00A642F3" w:rsidP="00F960D4">
      <w:pPr>
        <w:numPr>
          <w:ilvl w:val="0"/>
          <w:numId w:val="3"/>
        </w:numPr>
        <w:jc w:val="both"/>
      </w:pPr>
      <w:r w:rsidRPr="005F663E">
        <w:t>je povinen předmět nájmu užívat řádně, starat se o předmět nájmu s péčí řádného hospodáře, provádět drobné opravy a údržb</w:t>
      </w:r>
      <w:r w:rsidR="006416CA" w:rsidRPr="005F663E">
        <w:t>u předmětu nájmu na své náklady.</w:t>
      </w:r>
    </w:p>
    <w:p w14:paraId="392C1B40" w14:textId="60326EC5" w:rsidR="0024476D" w:rsidRPr="00184E66" w:rsidRDefault="0024476D" w:rsidP="00184E66">
      <w:pPr>
        <w:numPr>
          <w:ilvl w:val="0"/>
          <w:numId w:val="3"/>
        </w:numPr>
        <w:jc w:val="both"/>
      </w:pPr>
      <w:r>
        <w:t>Je povinen uhradit do skončení nájmu cenu rekonstrukce</w:t>
      </w:r>
      <w:r w:rsidR="003D743C">
        <w:t xml:space="preserve"> definovanou v odst. 1 písm. e tohoto článku</w:t>
      </w:r>
      <w:r>
        <w:t>.</w:t>
      </w:r>
      <w:r w:rsidR="003D743C">
        <w:t xml:space="preserve"> Platba </w:t>
      </w:r>
      <w:r w:rsidR="00F960D4">
        <w:t>je uvedena v </w:t>
      </w:r>
      <w:r w:rsidR="00F960D4" w:rsidRPr="00184E66">
        <w:rPr>
          <w:b/>
        </w:rPr>
        <w:t>Příloze č. 2</w:t>
      </w:r>
      <w:r w:rsidR="00F960D4">
        <w:t xml:space="preserve"> a </w:t>
      </w:r>
      <w:r w:rsidR="003D743C">
        <w:t xml:space="preserve">bude probíhat v měsíčních splátkách ve </w:t>
      </w:r>
      <w:r w:rsidR="003D743C" w:rsidRPr="00F960D4">
        <w:t xml:space="preserve">výši </w:t>
      </w:r>
      <w:r w:rsidR="00F960D4" w:rsidRPr="00184E66">
        <w:rPr>
          <w:b/>
        </w:rPr>
        <w:t>5</w:t>
      </w:r>
      <w:r w:rsidR="00184E66" w:rsidRPr="00184E66">
        <w:rPr>
          <w:b/>
        </w:rPr>
        <w:t>4</w:t>
      </w:r>
      <w:r w:rsidR="00F960D4" w:rsidRPr="00184E66">
        <w:rPr>
          <w:b/>
        </w:rPr>
        <w:t> </w:t>
      </w:r>
      <w:r w:rsidR="00184E66" w:rsidRPr="00184E66">
        <w:rPr>
          <w:b/>
        </w:rPr>
        <w:t>41</w:t>
      </w:r>
      <w:r w:rsidR="00F960D4" w:rsidRPr="00184E66">
        <w:rPr>
          <w:b/>
        </w:rPr>
        <w:t>9</w:t>
      </w:r>
      <w:r w:rsidR="003D743C" w:rsidRPr="00184E66">
        <w:rPr>
          <w:b/>
        </w:rPr>
        <w:t>,- Kč</w:t>
      </w:r>
      <w:r w:rsidR="00365901" w:rsidRPr="00184E66">
        <w:rPr>
          <w:b/>
        </w:rPr>
        <w:t xml:space="preserve"> vč. DPH</w:t>
      </w:r>
      <w:r w:rsidR="003D743C" w:rsidRPr="00184E66">
        <w:t>.</w:t>
      </w:r>
      <w:r w:rsidR="00DB756C" w:rsidRPr="00184E66">
        <w:t xml:space="preserve"> </w:t>
      </w:r>
      <w:r w:rsidR="00184E66">
        <w:t xml:space="preserve">Platba obsahuje též úroky za úvěr na rekonstrukci. </w:t>
      </w:r>
      <w:r w:rsidR="00DB756C" w:rsidRPr="00E35A16">
        <w:t>Nájemce je srozuměn se skutečností, že rekonstrukce prostor není dokončena</w:t>
      </w:r>
      <w:r w:rsidR="00DB756C">
        <w:t>,</w:t>
      </w:r>
      <w:r w:rsidR="00DB756C" w:rsidRPr="00E35A16">
        <w:t xml:space="preserve"> a tudíž cena </w:t>
      </w:r>
      <w:r w:rsidR="00DB756C">
        <w:t>měsíční splátky za rekonstrukci</w:t>
      </w:r>
      <w:r w:rsidR="00DB756C" w:rsidRPr="00E35A16">
        <w:t xml:space="preserve"> není konečná. Po ukončení rekonstrukce se nájemce zavazuje uzavřít v tomto smyslu s pronajímatelem dodatek, kd</w:t>
      </w:r>
      <w:r w:rsidR="00DB756C">
        <w:t>e</w:t>
      </w:r>
      <w:r w:rsidR="00DB756C" w:rsidRPr="00E35A16">
        <w:t xml:space="preserve"> bude u</w:t>
      </w:r>
      <w:r w:rsidR="00DB756C">
        <w:t xml:space="preserve">pravena cena měsíční splátky za rekonstrukci s ohledem na </w:t>
      </w:r>
      <w:r w:rsidR="00DB756C" w:rsidRPr="00E35A16">
        <w:t>skutečně uhrazen</w:t>
      </w:r>
      <w:r w:rsidR="00DB756C">
        <w:t>ou</w:t>
      </w:r>
      <w:r w:rsidR="00DB756C" w:rsidRPr="00E35A16">
        <w:t xml:space="preserve"> cena z</w:t>
      </w:r>
      <w:r w:rsidR="00184E66">
        <w:t xml:space="preserve">a </w:t>
      </w:r>
      <w:r w:rsidR="00DB756C" w:rsidRPr="00E35A16">
        <w:t>rekonstrukci.</w:t>
      </w:r>
      <w:r w:rsidR="00DB756C">
        <w:t xml:space="preserve"> K uzavření dodatku bude nájemce pronajímatelem vyzván.</w:t>
      </w:r>
    </w:p>
    <w:p w14:paraId="6C1E31A0" w14:textId="77777777" w:rsidR="003D1213" w:rsidRPr="005F663E" w:rsidRDefault="003D1213" w:rsidP="00A642F3">
      <w:pPr>
        <w:jc w:val="center"/>
      </w:pPr>
    </w:p>
    <w:p w14:paraId="5D62BCFC" w14:textId="77777777" w:rsidR="00A642F3" w:rsidRPr="005F663E" w:rsidRDefault="00541EB4" w:rsidP="00A642F3">
      <w:pPr>
        <w:jc w:val="center"/>
      </w:pPr>
      <w:r w:rsidRPr="005F663E">
        <w:t>Článek V.</w:t>
      </w:r>
    </w:p>
    <w:p w14:paraId="2FF9051C" w14:textId="7C4B95AE" w:rsidR="00A642F3" w:rsidRPr="003D6B62" w:rsidRDefault="00A642F3" w:rsidP="00A642F3">
      <w:pPr>
        <w:jc w:val="center"/>
        <w:rPr>
          <w:b/>
        </w:rPr>
      </w:pPr>
      <w:r w:rsidRPr="003D6B62">
        <w:rPr>
          <w:b/>
        </w:rPr>
        <w:t xml:space="preserve">Skončení </w:t>
      </w:r>
      <w:r w:rsidR="006C7665" w:rsidRPr="003D6B62">
        <w:rPr>
          <w:b/>
        </w:rPr>
        <w:t xml:space="preserve">a zánik </w:t>
      </w:r>
      <w:r w:rsidRPr="003D6B62">
        <w:rPr>
          <w:b/>
        </w:rPr>
        <w:t>nájmu</w:t>
      </w:r>
    </w:p>
    <w:p w14:paraId="6A1D41F0" w14:textId="276D9FDA" w:rsidR="0066667D" w:rsidRDefault="00A642F3" w:rsidP="00A642F3">
      <w:pPr>
        <w:numPr>
          <w:ilvl w:val="0"/>
          <w:numId w:val="5"/>
        </w:numPr>
        <w:ind w:hanging="720"/>
        <w:jc w:val="both"/>
      </w:pPr>
      <w:r w:rsidRPr="003D6B62">
        <w:t>Nedojde-li v průběhu trvání smlouvy k dohodě o změně délky nájmu nebo k odstoupení pronajímatele od smlouvy</w:t>
      </w:r>
      <w:r w:rsidR="000343F0" w:rsidRPr="003D6B62">
        <w:t xml:space="preserve"> podle odst. </w:t>
      </w:r>
      <w:r w:rsidR="008141AB" w:rsidRPr="003D6B62">
        <w:t>4</w:t>
      </w:r>
      <w:r w:rsidR="000343F0" w:rsidRPr="003D6B62">
        <w:t xml:space="preserve"> </w:t>
      </w:r>
      <w:r w:rsidR="003F1438" w:rsidRPr="003D6B62">
        <w:t xml:space="preserve">tohoto článku </w:t>
      </w:r>
      <w:r w:rsidR="000343F0" w:rsidRPr="003D6B62">
        <w:t>nebo</w:t>
      </w:r>
      <w:r w:rsidRPr="003D6B62">
        <w:t xml:space="preserve"> </w:t>
      </w:r>
      <w:r w:rsidR="00C80358" w:rsidRPr="003D6B62">
        <w:t xml:space="preserve">k </w:t>
      </w:r>
      <w:r w:rsidRPr="003D6B62">
        <w:t>výpověd</w:t>
      </w:r>
      <w:r w:rsidR="00C80358" w:rsidRPr="003D6B62">
        <w:t>i</w:t>
      </w:r>
      <w:r w:rsidRPr="003D6B62">
        <w:t xml:space="preserve"> </w:t>
      </w:r>
      <w:r w:rsidR="008141AB" w:rsidRPr="003D6B62">
        <w:t xml:space="preserve">pronajímatele </w:t>
      </w:r>
      <w:r w:rsidRPr="003D6B62">
        <w:t xml:space="preserve">podle </w:t>
      </w:r>
      <w:r w:rsidR="000343F0" w:rsidRPr="003D6B62">
        <w:t>odst.</w:t>
      </w:r>
      <w:r w:rsidR="000343F0" w:rsidRPr="005F663E">
        <w:t xml:space="preserve"> 2</w:t>
      </w:r>
      <w:r w:rsidR="003F1438" w:rsidRPr="005F663E">
        <w:t xml:space="preserve"> tohoto článku</w:t>
      </w:r>
      <w:r w:rsidR="008141AB">
        <w:t xml:space="preserve"> nebo k výpovědi nájemce podle odst. 3 tohoto článku</w:t>
      </w:r>
      <w:r w:rsidR="003F1438" w:rsidRPr="005F663E">
        <w:t xml:space="preserve">, </w:t>
      </w:r>
      <w:r w:rsidRPr="005F663E">
        <w:t xml:space="preserve">končí doba nájmu uplynutím doby podle </w:t>
      </w:r>
      <w:r w:rsidR="000343F0" w:rsidRPr="005F663E">
        <w:t>článku Doba nájmu.</w:t>
      </w:r>
      <w:r w:rsidR="008141AB">
        <w:t xml:space="preserve"> </w:t>
      </w:r>
    </w:p>
    <w:p w14:paraId="3633EE27" w14:textId="2CD1EE24" w:rsidR="0024476D" w:rsidRDefault="00C80358" w:rsidP="008A2578">
      <w:pPr>
        <w:numPr>
          <w:ilvl w:val="0"/>
          <w:numId w:val="5"/>
        </w:numPr>
        <w:ind w:hanging="720"/>
        <w:jc w:val="both"/>
      </w:pPr>
      <w:r>
        <w:t xml:space="preserve">Pronajímatel je oprávněn ukončit nájemní smlouvu z důvodu uvedeného v článku III odst. 6. Výpovědní doba se v tomto případě řídí pravidly uvedenými v čl. III odst. 6. </w:t>
      </w:r>
      <w:r w:rsidR="0066667D">
        <w:t>Nájemce se v případě ukončení nájmu ze strany pronajímatele zavazuje uhradit plnou cenu za rekonstrukci definovanou v čl. IV. odst. 1 písm. e.</w:t>
      </w:r>
    </w:p>
    <w:p w14:paraId="01440DA3" w14:textId="73E3EFF6" w:rsidR="00C80358" w:rsidRPr="00460C52" w:rsidRDefault="00C80358" w:rsidP="00B42361">
      <w:pPr>
        <w:numPr>
          <w:ilvl w:val="0"/>
          <w:numId w:val="5"/>
        </w:numPr>
        <w:ind w:hanging="720"/>
        <w:jc w:val="both"/>
      </w:pPr>
      <w:r>
        <w:t xml:space="preserve">Nájemce je oprávněn ukončit nájemní smlouvu výpovědí bez uvedení důvodů s roční výpovědní dobou. </w:t>
      </w:r>
      <w:r w:rsidRPr="00460C52">
        <w:t xml:space="preserve">Podmínkou </w:t>
      </w:r>
      <w:r w:rsidR="008141AB" w:rsidRPr="00460C52">
        <w:t>s</w:t>
      </w:r>
      <w:r w:rsidR="0024476D" w:rsidRPr="00460C52">
        <w:t>končení nájmu je v tomto případě uhrazení plné ceny za rekonstrukci</w:t>
      </w:r>
      <w:r w:rsidR="003D743C" w:rsidRPr="00460C52">
        <w:t xml:space="preserve"> definovanou v čl. </w:t>
      </w:r>
      <w:r w:rsidR="008141AB" w:rsidRPr="00460C52">
        <w:t>IV</w:t>
      </w:r>
      <w:r w:rsidR="003D743C" w:rsidRPr="00460C52">
        <w:t> odst. 1 písm. e</w:t>
      </w:r>
      <w:r w:rsidR="008141AB" w:rsidRPr="00460C52">
        <w:t>.</w:t>
      </w:r>
    </w:p>
    <w:p w14:paraId="2C642B4D" w14:textId="339A45DD" w:rsidR="0066667D" w:rsidRPr="00460C52" w:rsidRDefault="00A642F3" w:rsidP="00B42361">
      <w:pPr>
        <w:pStyle w:val="Odstavecseseznamem"/>
        <w:numPr>
          <w:ilvl w:val="0"/>
          <w:numId w:val="5"/>
        </w:numPr>
        <w:tabs>
          <w:tab w:val="left" w:pos="2977"/>
        </w:tabs>
        <w:ind w:hanging="720"/>
        <w:jc w:val="both"/>
      </w:pPr>
      <w:r w:rsidRPr="00460C52">
        <w:t>Pronajímatel je oprávněn od smlouvy odstoupit v případě, že nájemce začne užívat předmět nájmu k jinému než v</w:t>
      </w:r>
      <w:r w:rsidR="003F1438" w:rsidRPr="00460C52">
        <w:t> článku Předmět nájmu</w:t>
      </w:r>
      <w:r w:rsidRPr="00460C52">
        <w:t xml:space="preserve"> uvedenému účelu nebo v případě, že nájemce přenechá bez souhlasu pronajímatele předmět nájmu jiné osobě. V tomto případě se smlouva ruší doručením oznámení o odstoupení nájemci. Není-li možné oznámení nájemci doručit, pak prvním dnem porušení.</w:t>
      </w:r>
      <w:r w:rsidR="00200A85" w:rsidRPr="00460C52">
        <w:t xml:space="preserve"> Smlouva se v tomto případě ruší s účinky do budoucna</w:t>
      </w:r>
      <w:r w:rsidR="00B42361">
        <w:t>, s tím, že nájemce se zavazuje uhradit plnou cenu za rekonstrukci definovanou v čl. IV. odst. 1</w:t>
      </w:r>
      <w:r w:rsidR="00B42361">
        <w:br/>
        <w:t>písm. e.</w:t>
      </w:r>
    </w:p>
    <w:p w14:paraId="2AE2E08F" w14:textId="16370DF1" w:rsidR="00A642F3" w:rsidRPr="0066667D" w:rsidRDefault="00A642F3" w:rsidP="008A2578">
      <w:pPr>
        <w:pStyle w:val="Odstavecseseznamem"/>
        <w:numPr>
          <w:ilvl w:val="0"/>
          <w:numId w:val="5"/>
        </w:numPr>
        <w:tabs>
          <w:tab w:val="left" w:pos="2977"/>
        </w:tabs>
        <w:ind w:hanging="720"/>
        <w:jc w:val="both"/>
        <w:rPr>
          <w:rFonts w:eastAsia="Calibri"/>
          <w:color w:val="000000"/>
        </w:rPr>
      </w:pPr>
      <w:r w:rsidRPr="00460C52">
        <w:t>Nájemce je povinen vrátit při skončení nájmu pronajímateli předmět</w:t>
      </w:r>
      <w:r w:rsidRPr="005F663E">
        <w:t xml:space="preserve"> nájmu ve stavu, </w:t>
      </w:r>
      <w:r w:rsidR="00B42361">
        <w:br/>
      </w:r>
      <w:r w:rsidRPr="005F663E">
        <w:t>v j</w:t>
      </w:r>
      <w:r w:rsidR="00B42361">
        <w:t>ak</w:t>
      </w:r>
      <w:r w:rsidRPr="005F663E">
        <w:t>ém je převzal, s přihlédnutím k běžnému opotřebení.</w:t>
      </w:r>
    </w:p>
    <w:p w14:paraId="5CCD8612" w14:textId="77777777" w:rsidR="00A642F3" w:rsidRPr="005F663E" w:rsidRDefault="00A642F3" w:rsidP="00B42361">
      <w:pPr>
        <w:jc w:val="both"/>
      </w:pPr>
    </w:p>
    <w:p w14:paraId="539D3C40" w14:textId="77777777" w:rsidR="00A642F3" w:rsidRPr="005F663E" w:rsidRDefault="00541EB4" w:rsidP="00A642F3">
      <w:pPr>
        <w:jc w:val="center"/>
      </w:pPr>
      <w:r w:rsidRPr="005F663E">
        <w:lastRenderedPageBreak/>
        <w:t>Článek VI</w:t>
      </w:r>
      <w:r w:rsidR="005C3D56" w:rsidRPr="005F663E">
        <w:t>I</w:t>
      </w:r>
      <w:r w:rsidRPr="005F663E">
        <w:t>.</w:t>
      </w:r>
    </w:p>
    <w:p w14:paraId="521D49AD" w14:textId="77777777" w:rsidR="00A642F3" w:rsidRPr="005F663E" w:rsidRDefault="00541EB4" w:rsidP="00A642F3">
      <w:pPr>
        <w:jc w:val="center"/>
        <w:rPr>
          <w:b/>
        </w:rPr>
      </w:pPr>
      <w:r w:rsidRPr="005F663E">
        <w:rPr>
          <w:b/>
        </w:rPr>
        <w:t>Závěrečná</w:t>
      </w:r>
      <w:r w:rsidR="00A642F3" w:rsidRPr="005F663E">
        <w:rPr>
          <w:b/>
        </w:rPr>
        <w:t xml:space="preserve"> ujednání</w:t>
      </w:r>
    </w:p>
    <w:p w14:paraId="48A0574D" w14:textId="77777777" w:rsidR="00A642F3" w:rsidRPr="005F663E" w:rsidRDefault="00A642F3" w:rsidP="00A642F3">
      <w:pPr>
        <w:numPr>
          <w:ilvl w:val="0"/>
          <w:numId w:val="7"/>
        </w:numPr>
        <w:ind w:left="709" w:hanging="709"/>
        <w:jc w:val="both"/>
      </w:pPr>
      <w:r w:rsidRPr="005F663E">
        <w:t>Pronajímatel prohlašuje, že předmět nájmu není zatížen právy třetích osob.</w:t>
      </w:r>
    </w:p>
    <w:p w14:paraId="4A41FC90" w14:textId="77777777" w:rsidR="00A642F3" w:rsidRPr="005F663E" w:rsidRDefault="00A642F3" w:rsidP="00A642F3">
      <w:pPr>
        <w:numPr>
          <w:ilvl w:val="0"/>
          <w:numId w:val="7"/>
        </w:numPr>
        <w:ind w:left="709" w:hanging="709"/>
        <w:jc w:val="both"/>
      </w:pPr>
      <w:r w:rsidRPr="005F663E">
        <w:t>Pokud tato smlouva některé otázky výslovně neupravuje, řídí se práva a povinnosti</w:t>
      </w:r>
      <w:r w:rsidR="00A257E7" w:rsidRPr="005F663E">
        <w:t xml:space="preserve"> smluvních stran zákonem č. 89/2012 Sb.,</w:t>
      </w:r>
      <w:r w:rsidRPr="005F663E">
        <w:t xml:space="preserve"> občanským zákoníkem.</w:t>
      </w:r>
    </w:p>
    <w:p w14:paraId="6083071D" w14:textId="77777777" w:rsidR="00C87D15" w:rsidRPr="005F663E" w:rsidRDefault="00C87D15" w:rsidP="00C87D15">
      <w:pPr>
        <w:pStyle w:val="Zkladntext"/>
        <w:numPr>
          <w:ilvl w:val="0"/>
          <w:numId w:val="7"/>
        </w:numPr>
        <w:ind w:left="709" w:hanging="709"/>
        <w:rPr>
          <w:rFonts w:ascii="Times New Roman" w:hAnsi="Times New Roman"/>
        </w:rPr>
      </w:pPr>
      <w:r w:rsidRPr="005F663E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1DB4C578" w14:textId="77777777" w:rsidR="00955B5E" w:rsidRPr="00955B5E" w:rsidRDefault="00C87D15" w:rsidP="00955B5E">
      <w:pPr>
        <w:pStyle w:val="Zkladntext"/>
        <w:numPr>
          <w:ilvl w:val="0"/>
          <w:numId w:val="7"/>
        </w:numPr>
        <w:autoSpaceDE/>
        <w:autoSpaceDN/>
        <w:ind w:left="709" w:hanging="709"/>
        <w:rPr>
          <w:rFonts w:ascii="Times New Roman" w:hAnsi="Times New Roman"/>
        </w:rPr>
      </w:pPr>
      <w:r w:rsidRPr="005F663E">
        <w:rPr>
          <w:rFonts w:ascii="Times New Roman" w:hAnsi="Times New Roman"/>
        </w:rP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</w:p>
    <w:p w14:paraId="3B084F95" w14:textId="77777777" w:rsidR="00955B5E" w:rsidRPr="00176A19" w:rsidRDefault="00955B5E" w:rsidP="00955B5E">
      <w:pPr>
        <w:pStyle w:val="Zkladntext"/>
        <w:numPr>
          <w:ilvl w:val="0"/>
          <w:numId w:val="7"/>
        </w:numPr>
        <w:autoSpaceDE/>
        <w:autoSpaceDN/>
        <w:ind w:left="709" w:hanging="709"/>
        <w:rPr>
          <w:rFonts w:ascii="Times New Roman" w:hAnsi="Times New Roman"/>
        </w:rPr>
      </w:pPr>
      <w:r w:rsidRPr="00176A19">
        <w:rPr>
          <w:rFonts w:ascii="Times New Roman" w:hAnsi="Times New Roman"/>
        </w:rPr>
        <w:t>Tuto smlouvu lze měnit jen písemnými dodatky, podepsanými oprávněnými zástupci smluvních stran.</w:t>
      </w:r>
    </w:p>
    <w:p w14:paraId="48E1C971" w14:textId="77777777" w:rsidR="00C87D15" w:rsidRPr="005F663E" w:rsidRDefault="00C87D15" w:rsidP="00C87D15">
      <w:pPr>
        <w:pStyle w:val="Zkladntext"/>
        <w:numPr>
          <w:ilvl w:val="0"/>
          <w:numId w:val="7"/>
        </w:numPr>
        <w:ind w:left="709" w:hanging="709"/>
        <w:rPr>
          <w:rFonts w:ascii="Times New Roman" w:hAnsi="Times New Roman"/>
        </w:rPr>
      </w:pPr>
      <w:r w:rsidRPr="005F663E">
        <w:rPr>
          <w:rFonts w:ascii="Times New Roman" w:hAnsi="Times New Roman"/>
        </w:rPr>
        <w:t xml:space="preserve">V případě pochybností se má za to, že dokumenty adresované </w:t>
      </w:r>
      <w:r w:rsidR="00344AD4" w:rsidRPr="005F663E">
        <w:rPr>
          <w:rFonts w:ascii="Times New Roman" w:hAnsi="Times New Roman"/>
        </w:rPr>
        <w:t>nájemci</w:t>
      </w:r>
      <w:r w:rsidRPr="005F663E">
        <w:rPr>
          <w:rFonts w:ascii="Times New Roman" w:hAnsi="Times New Roman"/>
        </w:rPr>
        <w:t xml:space="preserve"> byly doručeny 10. pracovní den po prokazatelném odeslání prostřednictvím provozovatele poštovních služeb.</w:t>
      </w:r>
    </w:p>
    <w:p w14:paraId="18F9C460" w14:textId="77777777" w:rsidR="00A642F3" w:rsidRPr="005F663E" w:rsidRDefault="00A642F3" w:rsidP="00A642F3">
      <w:pPr>
        <w:numPr>
          <w:ilvl w:val="0"/>
          <w:numId w:val="7"/>
        </w:numPr>
        <w:ind w:left="709" w:hanging="709"/>
        <w:jc w:val="both"/>
      </w:pPr>
      <w:r w:rsidRPr="005F663E">
        <w:t xml:space="preserve">Smlouva se vyhotovuje ve </w:t>
      </w:r>
      <w:r w:rsidR="00775BCD" w:rsidRPr="005F663E">
        <w:t>2</w:t>
      </w:r>
      <w:r w:rsidRPr="005F663E">
        <w:t xml:space="preserve"> </w:t>
      </w:r>
      <w:r w:rsidR="003D1213" w:rsidRPr="005F663E">
        <w:t>rovnocenných vyhotoveních</w:t>
      </w:r>
      <w:r w:rsidRPr="005F663E">
        <w:t>, z nichž každ</w:t>
      </w:r>
      <w:r w:rsidR="003D1213" w:rsidRPr="005F663E">
        <w:t>é má platnost originálu.</w:t>
      </w:r>
      <w:r w:rsidRPr="005F663E">
        <w:t xml:space="preserve"> </w:t>
      </w:r>
      <w:r w:rsidR="003D1213" w:rsidRPr="005F663E">
        <w:t xml:space="preserve">Každá </w:t>
      </w:r>
      <w:r w:rsidRPr="005F663E">
        <w:t xml:space="preserve">smluvní strana obdrží po </w:t>
      </w:r>
      <w:r w:rsidR="00775BCD" w:rsidRPr="005F663E">
        <w:t>1</w:t>
      </w:r>
      <w:r w:rsidRPr="005F663E">
        <w:t xml:space="preserve"> </w:t>
      </w:r>
      <w:r w:rsidR="003D1213" w:rsidRPr="005F663E">
        <w:t>vyhotovení.</w:t>
      </w:r>
    </w:p>
    <w:p w14:paraId="40EF65ED" w14:textId="77777777" w:rsidR="00A642F3" w:rsidRPr="005F663E" w:rsidRDefault="00A642F3" w:rsidP="00A642F3">
      <w:pPr>
        <w:numPr>
          <w:ilvl w:val="0"/>
          <w:numId w:val="7"/>
        </w:numPr>
        <w:ind w:left="709" w:hanging="709"/>
        <w:jc w:val="both"/>
      </w:pPr>
      <w:r w:rsidRPr="005F663E">
        <w:t>Veškeré spory mezi smluvními stranami vzniklé z této smlouvy budou řešeny smírnou cestou. Nebude-li smírného řešení dosaženo, sjednávají si smluvní strany místní příslušnost věcně příslušného soudu určenou dle sídla pronajímatele.</w:t>
      </w:r>
    </w:p>
    <w:p w14:paraId="3B2600C7" w14:textId="77777777" w:rsidR="005F663E" w:rsidRPr="005F663E" w:rsidRDefault="005F663E" w:rsidP="005F663E">
      <w:pPr>
        <w:numPr>
          <w:ilvl w:val="0"/>
          <w:numId w:val="7"/>
        </w:numPr>
        <w:ind w:left="709" w:hanging="709"/>
        <w:jc w:val="both"/>
      </w:pPr>
      <w:r w:rsidRPr="005F663E">
        <w:t>Smlouva nabývá platnosti dnem oboustranného podpisu oprávněnými zástupci smluvních stran a účinnosti dnem jejího uveřejnění v registru smluv v souladu se zákonem č. 340/2015 Sb.,</w:t>
      </w:r>
      <w:r w:rsidR="00DD24AA">
        <w:t xml:space="preserve"> </w:t>
      </w:r>
      <w:r w:rsidRPr="005F663E">
        <w:t>o registru smluv, ve znění pozdějších předpisů. Smluvní strany se dohodly, že za zveřejnění této smlouvy je odpovědný pronajímatel (TUL).</w:t>
      </w:r>
    </w:p>
    <w:p w14:paraId="3BF8974D" w14:textId="77777777" w:rsidR="003D1213" w:rsidRPr="005F663E" w:rsidRDefault="003D1213" w:rsidP="003D1213">
      <w:pPr>
        <w:pStyle w:val="Zkladntext"/>
        <w:numPr>
          <w:ilvl w:val="0"/>
          <w:numId w:val="7"/>
        </w:numPr>
        <w:autoSpaceDE/>
        <w:autoSpaceDN/>
        <w:ind w:left="709" w:hanging="709"/>
        <w:rPr>
          <w:rFonts w:ascii="Times New Roman" w:hAnsi="Times New Roman"/>
        </w:rPr>
      </w:pPr>
      <w:r w:rsidRPr="005F663E">
        <w:rPr>
          <w:rFonts w:ascii="Times New Roman" w:hAnsi="Times New Roman"/>
        </w:rPr>
        <w:t>Obě smluvní strany prohlašují, že si smlouvu pečlivě přečetly a na důkaz souhlasu s výše uvedenými ustanoveními připojují své podpisy:</w:t>
      </w:r>
    </w:p>
    <w:p w14:paraId="4AD149FA" w14:textId="77777777" w:rsidR="00A642F3" w:rsidRPr="005F663E" w:rsidRDefault="00A642F3" w:rsidP="00A642F3"/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111666" w:rsidRPr="005F663E" w14:paraId="5FEBCD63" w14:textId="77777777" w:rsidTr="00B2573E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0FCFF7" w14:textId="77777777" w:rsidR="00111666" w:rsidRPr="005F663E" w:rsidRDefault="00111666" w:rsidP="00B2573E">
            <w:pPr>
              <w:spacing w:after="60"/>
              <w:jc w:val="center"/>
            </w:pPr>
            <w:r w:rsidRPr="005F663E">
              <w:t>Razítko a podpis nájemce</w:t>
            </w:r>
          </w:p>
          <w:p w14:paraId="2BAA0FE6" w14:textId="77777777" w:rsidR="00111666" w:rsidRDefault="00111666" w:rsidP="00B2573E">
            <w:pPr>
              <w:spacing w:after="60"/>
              <w:jc w:val="center"/>
            </w:pPr>
          </w:p>
          <w:p w14:paraId="3630A3E0" w14:textId="77777777" w:rsidR="00AA2AF5" w:rsidRDefault="00AA2AF5" w:rsidP="00B2573E">
            <w:pPr>
              <w:spacing w:after="60"/>
              <w:jc w:val="center"/>
            </w:pPr>
          </w:p>
          <w:p w14:paraId="030BA07F" w14:textId="77777777" w:rsidR="00DD24AA" w:rsidRDefault="00DD24AA" w:rsidP="00B2573E">
            <w:pPr>
              <w:spacing w:after="60"/>
              <w:jc w:val="center"/>
            </w:pPr>
          </w:p>
          <w:p w14:paraId="7018CCA0" w14:textId="77777777" w:rsidR="00AA2AF5" w:rsidRPr="005F663E" w:rsidRDefault="00AA2AF5" w:rsidP="00B2573E">
            <w:pPr>
              <w:spacing w:after="60"/>
              <w:jc w:val="center"/>
            </w:pPr>
          </w:p>
          <w:p w14:paraId="026F0194" w14:textId="77777777" w:rsidR="00111666" w:rsidRPr="005F663E" w:rsidRDefault="00111666" w:rsidP="00B2573E">
            <w:pPr>
              <w:spacing w:after="60"/>
              <w:jc w:val="center"/>
            </w:pPr>
            <w:r w:rsidRPr="005F663E">
              <w:t>………………………………………….</w:t>
            </w:r>
          </w:p>
          <w:p w14:paraId="779C4116" w14:textId="4C3D95E5" w:rsidR="001B2CA8" w:rsidRDefault="008A2578" w:rsidP="005F663E">
            <w:pPr>
              <w:autoSpaceDE w:val="0"/>
              <w:autoSpaceDN w:val="0"/>
              <w:spacing w:after="60"/>
              <w:jc w:val="center"/>
            </w:pPr>
            <w:r>
              <w:rPr>
                <w:bCs/>
              </w:rPr>
              <w:t>PhDr. Milan Adamec</w:t>
            </w:r>
            <w:r w:rsidR="001B2CA8">
              <w:rPr>
                <w:bCs/>
              </w:rPr>
              <w:t>, ředitel školy</w:t>
            </w:r>
            <w:r w:rsidR="001B2CA8" w:rsidRPr="005F663E">
              <w:t xml:space="preserve"> </w:t>
            </w:r>
          </w:p>
          <w:p w14:paraId="4079DD49" w14:textId="448D0D14" w:rsidR="00111666" w:rsidRPr="005F663E" w:rsidRDefault="00111666" w:rsidP="005F663E">
            <w:pPr>
              <w:autoSpaceDE w:val="0"/>
              <w:autoSpaceDN w:val="0"/>
              <w:spacing w:after="60"/>
              <w:jc w:val="center"/>
            </w:pPr>
            <w:r w:rsidRPr="005F663E">
              <w:t>V </w:t>
            </w:r>
            <w:r w:rsidR="00675D26" w:rsidRPr="005F663E">
              <w:t>Liberci</w:t>
            </w:r>
            <w:r w:rsidRPr="005F663E">
              <w:t xml:space="preserve"> dne </w:t>
            </w:r>
            <w:r w:rsidR="0075694F">
              <w:t>14.1.2022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2B007B" w14:textId="77777777" w:rsidR="00111666" w:rsidRPr="005F663E" w:rsidRDefault="00111666" w:rsidP="00B2573E">
            <w:pPr>
              <w:spacing w:after="60"/>
              <w:jc w:val="center"/>
            </w:pPr>
            <w:r w:rsidRPr="005F663E">
              <w:t>Razítko a podpis pronajímatele</w:t>
            </w:r>
          </w:p>
          <w:p w14:paraId="72BE22AE" w14:textId="77777777" w:rsidR="00111666" w:rsidRDefault="00111666" w:rsidP="00B2573E">
            <w:pPr>
              <w:spacing w:after="60"/>
              <w:jc w:val="center"/>
            </w:pPr>
          </w:p>
          <w:p w14:paraId="03456FAA" w14:textId="77777777" w:rsidR="00AA2AF5" w:rsidRDefault="00AA2AF5" w:rsidP="00B2573E">
            <w:pPr>
              <w:spacing w:after="60"/>
              <w:jc w:val="center"/>
            </w:pPr>
          </w:p>
          <w:p w14:paraId="19D98961" w14:textId="77777777" w:rsidR="00DD24AA" w:rsidRDefault="00DD24AA" w:rsidP="00B2573E">
            <w:pPr>
              <w:spacing w:after="60"/>
              <w:jc w:val="center"/>
            </w:pPr>
          </w:p>
          <w:p w14:paraId="4977FFB1" w14:textId="77777777" w:rsidR="00AA2AF5" w:rsidRPr="005F663E" w:rsidRDefault="00AA2AF5" w:rsidP="00B2573E">
            <w:pPr>
              <w:spacing w:after="60"/>
              <w:jc w:val="center"/>
            </w:pPr>
          </w:p>
          <w:p w14:paraId="1B9915A6" w14:textId="77777777" w:rsidR="00111666" w:rsidRPr="005F663E" w:rsidRDefault="00111666" w:rsidP="00B2573E">
            <w:pPr>
              <w:spacing w:after="60"/>
              <w:jc w:val="center"/>
            </w:pPr>
            <w:r w:rsidRPr="005F663E">
              <w:t>……………………………………………</w:t>
            </w:r>
          </w:p>
          <w:p w14:paraId="5AE04DCE" w14:textId="77777777" w:rsidR="00111666" w:rsidRPr="005F663E" w:rsidRDefault="00675D26" w:rsidP="00B2573E">
            <w:pPr>
              <w:spacing w:after="60"/>
              <w:jc w:val="center"/>
            </w:pPr>
            <w:r w:rsidRPr="005F663E">
              <w:t>Ing. Vladimír Stach, kvestor</w:t>
            </w:r>
          </w:p>
          <w:p w14:paraId="6A15C322" w14:textId="1160BF65" w:rsidR="00111666" w:rsidRPr="005F663E" w:rsidRDefault="00111666" w:rsidP="005F663E">
            <w:pPr>
              <w:jc w:val="center"/>
            </w:pPr>
            <w:r w:rsidRPr="005F663E">
              <w:t xml:space="preserve">V Liberci dne </w:t>
            </w:r>
            <w:r w:rsidR="0075694F">
              <w:t>26.1.2022</w:t>
            </w:r>
          </w:p>
        </w:tc>
      </w:tr>
    </w:tbl>
    <w:p w14:paraId="7433273A" w14:textId="77777777" w:rsidR="00B614AB" w:rsidRDefault="00B614AB">
      <w:pPr>
        <w:rPr>
          <w:b/>
        </w:rPr>
      </w:pPr>
      <w:r>
        <w:rPr>
          <w:b/>
        </w:rPr>
        <w:br w:type="page"/>
      </w:r>
    </w:p>
    <w:p w14:paraId="6974DB39" w14:textId="77777777" w:rsidR="00044878" w:rsidRDefault="00044878" w:rsidP="00084DEF">
      <w:pPr>
        <w:rPr>
          <w:b/>
        </w:rPr>
      </w:pPr>
      <w:r>
        <w:rPr>
          <w:b/>
        </w:rPr>
        <w:lastRenderedPageBreak/>
        <w:t>Příloha č. 1 - P</w:t>
      </w:r>
      <w:r w:rsidRPr="00C95766">
        <w:rPr>
          <w:b/>
          <w:bCs/>
        </w:rPr>
        <w:t>ředmět nájmu</w:t>
      </w:r>
    </w:p>
    <w:p w14:paraId="430AFCFD" w14:textId="77777777" w:rsidR="00D11624" w:rsidRDefault="00D11624" w:rsidP="00084DEF">
      <w:pPr>
        <w:rPr>
          <w:b/>
        </w:rPr>
      </w:pPr>
    </w:p>
    <w:tbl>
      <w:tblPr>
        <w:tblW w:w="37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558"/>
        <w:gridCol w:w="2837"/>
        <w:gridCol w:w="1558"/>
      </w:tblGrid>
      <w:tr w:rsidR="00882F5B" w:rsidRPr="00882F5B" w14:paraId="30D72BD4" w14:textId="77777777" w:rsidTr="00882F5B">
        <w:trPr>
          <w:trHeight w:val="870"/>
          <w:jc w:val="center"/>
        </w:trPr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798433D" w14:textId="77777777" w:rsidR="00882F5B" w:rsidRPr="00882F5B" w:rsidRDefault="00882F5B" w:rsidP="00882F5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882F5B">
              <w:rPr>
                <w:b/>
                <w:bCs/>
                <w:color w:val="FFFFFF"/>
                <w:sz w:val="22"/>
                <w:szCs w:val="22"/>
              </w:rPr>
              <w:t>podlaží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7584005" w14:textId="77777777" w:rsidR="00882F5B" w:rsidRPr="00882F5B" w:rsidRDefault="00882F5B" w:rsidP="00882F5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882F5B">
              <w:rPr>
                <w:b/>
                <w:bCs/>
                <w:color w:val="FFFFFF"/>
                <w:sz w:val="22"/>
                <w:szCs w:val="22"/>
              </w:rPr>
              <w:t>č.</w:t>
            </w:r>
            <w:r w:rsidR="00666C66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882F5B">
              <w:rPr>
                <w:b/>
                <w:bCs/>
                <w:color w:val="FFFFFF"/>
                <w:sz w:val="22"/>
                <w:szCs w:val="22"/>
              </w:rPr>
              <w:t>míst.</w:t>
            </w:r>
          </w:p>
        </w:tc>
        <w:tc>
          <w:tcPr>
            <w:tcW w:w="19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1F9CD6E3" w14:textId="77777777" w:rsidR="00882F5B" w:rsidRPr="00882F5B" w:rsidRDefault="00882F5B" w:rsidP="00666C6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882F5B">
              <w:rPr>
                <w:b/>
                <w:bCs/>
                <w:color w:val="FFFFFF"/>
                <w:sz w:val="22"/>
                <w:szCs w:val="22"/>
              </w:rPr>
              <w:t>název místnosti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FF"/>
            <w:vAlign w:val="center"/>
            <w:hideMark/>
          </w:tcPr>
          <w:p w14:paraId="5EEC787D" w14:textId="77777777" w:rsidR="00882F5B" w:rsidRPr="00882F5B" w:rsidRDefault="00882F5B" w:rsidP="00882F5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882F5B">
              <w:rPr>
                <w:b/>
                <w:bCs/>
                <w:color w:val="FFFFFF"/>
                <w:sz w:val="22"/>
                <w:szCs w:val="22"/>
              </w:rPr>
              <w:t>Plocha [m</w:t>
            </w:r>
            <w:r w:rsidRPr="00882F5B">
              <w:rPr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  <w:r w:rsidRPr="00882F5B">
              <w:rPr>
                <w:b/>
                <w:bCs/>
                <w:color w:val="FFFFFF"/>
                <w:sz w:val="22"/>
                <w:szCs w:val="22"/>
              </w:rPr>
              <w:t>]</w:t>
            </w:r>
          </w:p>
        </w:tc>
      </w:tr>
      <w:tr w:rsidR="00882F5B" w:rsidRPr="00882F5B" w14:paraId="3BB4E208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92461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833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29FF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Hala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D4503EF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58,96</w:t>
            </w:r>
          </w:p>
        </w:tc>
      </w:tr>
      <w:tr w:rsidR="00882F5B" w:rsidRPr="00882F5B" w14:paraId="5A08FEF8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03090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CE1F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2B84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WC ženy-umývárna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27D3FE5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</w:tr>
      <w:tr w:rsidR="00882F5B" w:rsidRPr="00882F5B" w14:paraId="17314A38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A5493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522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C901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Předsíň WC ženy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1714E210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2,90</w:t>
            </w:r>
          </w:p>
        </w:tc>
      </w:tr>
      <w:tr w:rsidR="00882F5B" w:rsidRPr="00882F5B" w14:paraId="281AC1E3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907FB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684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A17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WC ženy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5A36306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</w:tr>
      <w:tr w:rsidR="00882F5B" w:rsidRPr="00882F5B" w14:paraId="48D0F611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CD9BD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AF3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419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WC muži-umývárna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3A00B949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8,13</w:t>
            </w:r>
          </w:p>
        </w:tc>
      </w:tr>
      <w:tr w:rsidR="00882F5B" w:rsidRPr="00882F5B" w14:paraId="1D5F84C8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CCE22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DAB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3F41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Předsíň WC muži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D4A7B0E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</w:tr>
      <w:tr w:rsidR="00882F5B" w:rsidRPr="00882F5B" w14:paraId="02813ED0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5A513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C17C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E5B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WC muži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6F4699A5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882F5B" w:rsidRPr="00882F5B" w14:paraId="73544087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36C62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B5A3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403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Chodba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03A530F8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16,90</w:t>
            </w:r>
          </w:p>
        </w:tc>
      </w:tr>
      <w:tr w:rsidR="00882F5B" w:rsidRPr="00882F5B" w14:paraId="248BFBBF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3C8238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4587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4C2B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kuchyňka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D4B15B0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16,86</w:t>
            </w:r>
          </w:p>
        </w:tc>
      </w:tr>
      <w:tr w:rsidR="00882F5B" w:rsidRPr="00882F5B" w14:paraId="1184A212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459D10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3E02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D2B5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úklid komora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045A2686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21,53</w:t>
            </w:r>
          </w:p>
        </w:tc>
      </w:tr>
      <w:tr w:rsidR="00882F5B" w:rsidRPr="00882F5B" w14:paraId="2213E650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4A59A4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BEE5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A9E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učebna 2.C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CE2C105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76,84</w:t>
            </w:r>
          </w:p>
        </w:tc>
      </w:tr>
      <w:tr w:rsidR="00882F5B" w:rsidRPr="00882F5B" w14:paraId="732B5254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774A86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F11D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7E1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učebna 5.D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4D3247B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30,52</w:t>
            </w:r>
          </w:p>
        </w:tc>
      </w:tr>
      <w:tr w:rsidR="00882F5B" w:rsidRPr="00882F5B" w14:paraId="4DCC1A30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0263F0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DF1A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DE62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učebna 1.C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3CF2BB1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75,95</w:t>
            </w:r>
          </w:p>
        </w:tc>
      </w:tr>
      <w:tr w:rsidR="00882F5B" w:rsidRPr="00882F5B" w14:paraId="5941F28F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158B11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C6AC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7080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učebna 3.C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6D6CB4B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53,93</w:t>
            </w:r>
          </w:p>
        </w:tc>
      </w:tr>
      <w:tr w:rsidR="00882F5B" w:rsidRPr="00882F5B" w14:paraId="69469FD1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032A85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1099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A714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učebna 4.C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0B6A0E1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57,91</w:t>
            </w:r>
          </w:p>
        </w:tc>
      </w:tr>
      <w:tr w:rsidR="00882F5B" w:rsidRPr="00882F5B" w14:paraId="7E25FA10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6E0B16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35FD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136F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E167226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18,18</w:t>
            </w:r>
          </w:p>
        </w:tc>
      </w:tr>
      <w:tr w:rsidR="00882F5B" w:rsidRPr="00882F5B" w14:paraId="14E94672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F724FC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40C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4BA8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79F4A11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16,56</w:t>
            </w:r>
          </w:p>
        </w:tc>
      </w:tr>
      <w:tr w:rsidR="00882F5B" w:rsidRPr="00882F5B" w14:paraId="108B13AD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4035D7" w14:textId="77777777" w:rsidR="00882F5B" w:rsidRPr="00882F5B" w:rsidRDefault="00882F5B" w:rsidP="00882F5B">
            <w:pPr>
              <w:jc w:val="center"/>
              <w:rPr>
                <w:color w:val="000000"/>
                <w:sz w:val="20"/>
                <w:szCs w:val="20"/>
              </w:rPr>
            </w:pPr>
            <w:r w:rsidRPr="00882F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C50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2F6C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šatna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6100B36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20,55</w:t>
            </w:r>
          </w:p>
        </w:tc>
      </w:tr>
      <w:tr w:rsidR="00882F5B" w:rsidRPr="00882F5B" w14:paraId="46D7536C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E8D65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25A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52F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Obytný pokoj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74ED18A4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</w:tr>
      <w:tr w:rsidR="00882F5B" w:rsidRPr="00882F5B" w14:paraId="37A37CFD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83C36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C5A0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515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Klubovna studentů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9F8C4D1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21,60</w:t>
            </w:r>
          </w:p>
        </w:tc>
      </w:tr>
      <w:tr w:rsidR="00882F5B" w:rsidRPr="00882F5B" w14:paraId="7998C18E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ECFD4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A4A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D483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Obytný pokoj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15019AB5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882F5B" w:rsidRPr="00882F5B" w14:paraId="3FBBCC4E" w14:textId="77777777" w:rsidTr="00882F5B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66071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2A1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B3C3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Sprchy- ženy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3C8218C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882F5B" w:rsidRPr="00882F5B" w14:paraId="6A23BA74" w14:textId="77777777" w:rsidTr="00882F5B">
        <w:trPr>
          <w:trHeight w:val="315"/>
          <w:jc w:val="center"/>
        </w:trPr>
        <w:tc>
          <w:tcPr>
            <w:tcW w:w="8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99B03" w14:textId="77777777" w:rsidR="00882F5B" w:rsidRPr="00882F5B" w:rsidRDefault="00882F5B" w:rsidP="00882F5B">
            <w:pPr>
              <w:jc w:val="center"/>
              <w:rPr>
                <w:rFonts w:ascii="Times New Roman CE" w:hAnsi="Times New Roman CE" w:cs="Calibri"/>
                <w:sz w:val="20"/>
                <w:szCs w:val="20"/>
              </w:rPr>
            </w:pPr>
            <w:r w:rsidRPr="00882F5B">
              <w:rPr>
                <w:rFonts w:ascii="Times New Roman CE" w:hAnsi="Times New Roman CE" w:cs="Calibri"/>
                <w:sz w:val="20"/>
                <w:szCs w:val="20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9149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D80" w14:textId="77777777" w:rsidR="00882F5B" w:rsidRPr="00882F5B" w:rsidRDefault="00882F5B" w:rsidP="00882F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Sprchy- muži</w:t>
            </w:r>
            <w:proofErr w:type="gramEnd"/>
          </w:p>
        </w:tc>
        <w:tc>
          <w:tcPr>
            <w:tcW w:w="10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34ACF445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882F5B" w:rsidRPr="00882F5B" w14:paraId="36330C8E" w14:textId="77777777" w:rsidTr="00882F5B">
        <w:trPr>
          <w:trHeight w:val="315"/>
          <w:jc w:val="center"/>
        </w:trPr>
        <w:tc>
          <w:tcPr>
            <w:tcW w:w="39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79A" w14:textId="77777777" w:rsidR="00882F5B" w:rsidRPr="00882F5B" w:rsidRDefault="00882F5B" w:rsidP="00882F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5FBA0" w14:textId="77777777" w:rsidR="00882F5B" w:rsidRPr="00882F5B" w:rsidRDefault="00882F5B" w:rsidP="00882F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2F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551,76</w:t>
            </w:r>
          </w:p>
        </w:tc>
      </w:tr>
    </w:tbl>
    <w:p w14:paraId="5F757EEC" w14:textId="77777777" w:rsidR="00B322C6" w:rsidRDefault="00B322C6">
      <w:pPr>
        <w:rPr>
          <w:b/>
        </w:rPr>
      </w:pPr>
      <w:r>
        <w:rPr>
          <w:b/>
        </w:rPr>
        <w:br w:type="page"/>
      </w:r>
    </w:p>
    <w:tbl>
      <w:tblPr>
        <w:tblW w:w="5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57"/>
        <w:gridCol w:w="157"/>
        <w:gridCol w:w="960"/>
        <w:gridCol w:w="1480"/>
      </w:tblGrid>
      <w:tr w:rsidR="00184E66" w:rsidRPr="00184E66" w14:paraId="2BB06615" w14:textId="77777777" w:rsidTr="00184E6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E97B" w14:textId="77777777" w:rsidR="00184E66" w:rsidRPr="00184E66" w:rsidRDefault="00184E66" w:rsidP="00184E66">
            <w:pPr>
              <w:jc w:val="both"/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lastRenderedPageBreak/>
              <w:t>Příloha č.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1469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C61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4E66" w:rsidRPr="00184E66" w14:paraId="3DD7E8E5" w14:textId="77777777" w:rsidTr="00184E6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FC3C" w14:textId="77777777" w:rsidR="00184E66" w:rsidRPr="00184E66" w:rsidRDefault="00184E66" w:rsidP="00184E6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6402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953F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061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6AB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4E66" w:rsidRPr="00184E66" w14:paraId="40E4E515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CE3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630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20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21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73F9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4E66" w:rsidRPr="00184E66" w14:paraId="6F69C099" w14:textId="77777777" w:rsidTr="00184E66">
        <w:trPr>
          <w:trHeight w:val="31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375D" w14:textId="77777777" w:rsidR="00184E66" w:rsidRPr="00184E66" w:rsidRDefault="00184E66" w:rsidP="00184E66">
            <w:pPr>
              <w:rPr>
                <w:b/>
                <w:bCs/>
                <w:color w:val="000000"/>
                <w:u w:val="single"/>
              </w:rPr>
            </w:pPr>
            <w:r w:rsidRPr="00184E66">
              <w:rPr>
                <w:b/>
                <w:bCs/>
                <w:color w:val="000000"/>
                <w:u w:val="single"/>
              </w:rPr>
              <w:t>Platba za nájemné a úvěr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B15F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108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4E66" w:rsidRPr="00184E66" w14:paraId="6C2ABE10" w14:textId="77777777" w:rsidTr="00184E66">
        <w:trPr>
          <w:trHeight w:val="31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8E9D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 xml:space="preserve">Roční nájemné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FF92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137 940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20B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</w:t>
            </w:r>
          </w:p>
        </w:tc>
      </w:tr>
      <w:tr w:rsidR="00184E66" w:rsidRPr="00184E66" w14:paraId="76E8A899" w14:textId="77777777" w:rsidTr="00184E66">
        <w:trPr>
          <w:trHeight w:val="315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657F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Nájemné za měsíc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9260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387" w14:textId="77777777" w:rsidR="00184E66" w:rsidRPr="00184E66" w:rsidRDefault="00184E66" w:rsidP="00184E66">
            <w:pPr>
              <w:jc w:val="right"/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11 495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630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Kč</w:t>
            </w:r>
          </w:p>
        </w:tc>
      </w:tr>
      <w:tr w:rsidR="00184E66" w:rsidRPr="00184E66" w14:paraId="5C06C5C7" w14:textId="77777777" w:rsidTr="00184E66">
        <w:trPr>
          <w:trHeight w:val="315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FBA1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Roční splátka úvěru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27AE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1009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653 022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EA3B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</w:t>
            </w:r>
          </w:p>
        </w:tc>
      </w:tr>
      <w:tr w:rsidR="00184E66" w:rsidRPr="00184E66" w14:paraId="7B764164" w14:textId="77777777" w:rsidTr="00184E66">
        <w:trPr>
          <w:trHeight w:val="31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5650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Splátka úvěru za měsíc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E793" w14:textId="77777777" w:rsidR="00184E66" w:rsidRPr="00184E66" w:rsidRDefault="00184E66" w:rsidP="00184E66">
            <w:pPr>
              <w:jc w:val="right"/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54 419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A1D4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Kč</w:t>
            </w:r>
          </w:p>
        </w:tc>
      </w:tr>
      <w:tr w:rsidR="00184E66" w:rsidRPr="00184E66" w14:paraId="527291D1" w14:textId="77777777" w:rsidTr="00184E6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9171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61E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B456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2640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4B61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4E66" w:rsidRPr="00184E66" w14:paraId="1D4A1DF5" w14:textId="77777777" w:rsidTr="00184E66">
        <w:trPr>
          <w:trHeight w:val="31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E701" w14:textId="77777777" w:rsidR="00184E66" w:rsidRPr="00184E66" w:rsidRDefault="00184E66" w:rsidP="00184E66">
            <w:pPr>
              <w:rPr>
                <w:b/>
                <w:bCs/>
                <w:color w:val="000000"/>
                <w:u w:val="single"/>
              </w:rPr>
            </w:pPr>
            <w:proofErr w:type="gramStart"/>
            <w:r w:rsidRPr="00184E66">
              <w:rPr>
                <w:b/>
                <w:bCs/>
                <w:color w:val="000000"/>
                <w:u w:val="single"/>
              </w:rPr>
              <w:t>Služby - zálohové</w:t>
            </w:r>
            <w:proofErr w:type="gramEnd"/>
            <w:r w:rsidRPr="00184E66">
              <w:rPr>
                <w:b/>
                <w:bCs/>
                <w:color w:val="000000"/>
                <w:u w:val="single"/>
              </w:rPr>
              <w:t xml:space="preserve"> platby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D04E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09FE" w14:textId="77777777" w:rsidR="00184E66" w:rsidRPr="00184E66" w:rsidRDefault="00184E66" w:rsidP="00184E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4E66" w:rsidRPr="00184E66" w14:paraId="4ADA4EB5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AD3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voda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3AAF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0BC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8E0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39 180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0548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Kč/rok</w:t>
            </w:r>
          </w:p>
        </w:tc>
      </w:tr>
      <w:tr w:rsidR="00184E66" w:rsidRPr="00184E66" w14:paraId="4847164C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4E65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 xml:space="preserve">tj.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4DF7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A4F8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652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3 265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FBE3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Kč/měsíc</w:t>
            </w:r>
          </w:p>
        </w:tc>
      </w:tr>
      <w:tr w:rsidR="00184E66" w:rsidRPr="00184E66" w14:paraId="38D5A758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2B7D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Teplo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37FF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0674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1A7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122 571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EB10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Kč/rok</w:t>
            </w:r>
          </w:p>
        </w:tc>
      </w:tr>
      <w:tr w:rsidR="00184E66" w:rsidRPr="00184E66" w14:paraId="130D98AD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AF56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 xml:space="preserve">tj.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6450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475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7CB6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10 214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4A6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Kč/měsíc</w:t>
            </w:r>
          </w:p>
        </w:tc>
      </w:tr>
      <w:tr w:rsidR="00184E66" w:rsidRPr="00184E66" w14:paraId="3E17753D" w14:textId="77777777" w:rsidTr="00184E66">
        <w:trPr>
          <w:trHeight w:val="30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EC8F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Elektrická energie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6E9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5B84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54 670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E3F9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Kč/rok</w:t>
            </w:r>
          </w:p>
        </w:tc>
      </w:tr>
      <w:tr w:rsidR="00184E66" w:rsidRPr="00184E66" w14:paraId="18050DB8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E54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 xml:space="preserve">tj.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5D7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8ADB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4C7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4 556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B73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Kč/měsíc</w:t>
            </w:r>
          </w:p>
        </w:tc>
      </w:tr>
      <w:tr w:rsidR="00184E66" w:rsidRPr="00184E66" w14:paraId="194CBF6C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17C0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PDO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D44D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669E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A4E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4 283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0EF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Kč/rok</w:t>
            </w:r>
          </w:p>
        </w:tc>
      </w:tr>
      <w:tr w:rsidR="00184E66" w:rsidRPr="00184E66" w14:paraId="3EBFBDA2" w14:textId="77777777" w:rsidTr="00184E6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99C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 xml:space="preserve">tj.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A210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916" w14:textId="77777777" w:rsidR="00184E66" w:rsidRPr="00184E66" w:rsidRDefault="00184E66" w:rsidP="00184E6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2B2" w14:textId="77777777" w:rsidR="00184E66" w:rsidRPr="00184E66" w:rsidRDefault="00184E66" w:rsidP="00184E66">
            <w:pPr>
              <w:jc w:val="right"/>
              <w:rPr>
                <w:color w:val="000000"/>
              </w:rPr>
            </w:pPr>
            <w:r w:rsidRPr="00184E66">
              <w:rPr>
                <w:color w:val="000000"/>
              </w:rPr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3179" w14:textId="77777777" w:rsidR="00184E66" w:rsidRPr="00184E66" w:rsidRDefault="00184E66" w:rsidP="00184E66">
            <w:pPr>
              <w:rPr>
                <w:color w:val="000000"/>
              </w:rPr>
            </w:pPr>
            <w:r w:rsidRPr="00184E66">
              <w:rPr>
                <w:color w:val="000000"/>
              </w:rPr>
              <w:t>Kč/měsíc</w:t>
            </w:r>
          </w:p>
        </w:tc>
      </w:tr>
      <w:tr w:rsidR="00184E66" w:rsidRPr="00184E66" w14:paraId="6F81B8CD" w14:textId="77777777" w:rsidTr="00184E66">
        <w:trPr>
          <w:trHeight w:val="30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F0D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Měsíčně celkem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2F56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D960" w14:textId="77777777" w:rsidR="00184E66" w:rsidRPr="00184E66" w:rsidRDefault="00184E66" w:rsidP="00184E66">
            <w:pPr>
              <w:jc w:val="right"/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18 392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744" w14:textId="77777777" w:rsidR="00184E66" w:rsidRPr="00184E66" w:rsidRDefault="00184E66" w:rsidP="00184E66">
            <w:pPr>
              <w:rPr>
                <w:b/>
                <w:bCs/>
                <w:color w:val="000000"/>
              </w:rPr>
            </w:pPr>
            <w:r w:rsidRPr="00184E66">
              <w:rPr>
                <w:b/>
                <w:bCs/>
                <w:color w:val="000000"/>
              </w:rPr>
              <w:t>Kč</w:t>
            </w:r>
          </w:p>
        </w:tc>
      </w:tr>
    </w:tbl>
    <w:p w14:paraId="79075C8C" w14:textId="6F204C84" w:rsidR="00666C66" w:rsidRDefault="00666C66" w:rsidP="00666C66">
      <w:pPr>
        <w:tabs>
          <w:tab w:val="right" w:pos="6379"/>
        </w:tabs>
      </w:pPr>
    </w:p>
    <w:p w14:paraId="2A7665B7" w14:textId="77777777" w:rsidR="00666C66" w:rsidRDefault="00666C66"/>
    <w:p w14:paraId="1B28E4E4" w14:textId="468236B7" w:rsidR="00666C66" w:rsidRDefault="00666C66">
      <w:r w:rsidRPr="00B322C6">
        <w:t>V Liberci dne</w:t>
      </w:r>
      <w:r w:rsidR="0075694F">
        <w:t xml:space="preserve"> 26.1.2022</w:t>
      </w:r>
    </w:p>
    <w:p w14:paraId="0AE1B647" w14:textId="77777777" w:rsidR="00666C66" w:rsidRDefault="00666C66"/>
    <w:p w14:paraId="101A8528" w14:textId="77777777" w:rsidR="00666C66" w:rsidRDefault="00666C66"/>
    <w:p w14:paraId="64730E52" w14:textId="77777777" w:rsidR="00666C66" w:rsidRDefault="00666C66"/>
    <w:p w14:paraId="2CF941DF" w14:textId="77777777" w:rsidR="00666C66" w:rsidRDefault="00666C66"/>
    <w:p w14:paraId="7160D8EE" w14:textId="77777777" w:rsidR="00666C66" w:rsidRDefault="00666C66"/>
    <w:p w14:paraId="2B6F2942" w14:textId="77777777" w:rsidR="00666C66" w:rsidRDefault="00666C66" w:rsidP="00666C66">
      <w:pPr>
        <w:ind w:left="709" w:firstLine="709"/>
        <w:rPr>
          <w:b/>
        </w:rPr>
      </w:pPr>
      <w:r>
        <w:t>n</w:t>
      </w:r>
      <w:r w:rsidRPr="00B322C6">
        <w:t>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2C6">
        <w:t>pronajímatel</w:t>
      </w:r>
    </w:p>
    <w:sectPr w:rsidR="00666C66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D935" w14:textId="77777777" w:rsidR="003F67BE" w:rsidRPr="00D91740" w:rsidRDefault="003F67BE" w:rsidP="00D91740">
      <w:r>
        <w:separator/>
      </w:r>
    </w:p>
  </w:endnote>
  <w:endnote w:type="continuationSeparator" w:id="0">
    <w:p w14:paraId="075FE264" w14:textId="77777777" w:rsidR="003F67BE" w:rsidRPr="00D91740" w:rsidRDefault="003F67BE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 C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1523E" w14:textId="77777777" w:rsidR="00543811" w:rsidRDefault="00543811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38401" wp14:editId="1AEBF4F4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4E8CF8DA" w14:textId="77777777" w:rsidR="00543811" w:rsidRDefault="00543811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7098E" w14:textId="77777777" w:rsidR="003F67BE" w:rsidRPr="00D91740" w:rsidRDefault="003F67BE" w:rsidP="00D91740">
      <w:r>
        <w:separator/>
      </w:r>
    </w:p>
  </w:footnote>
  <w:footnote w:type="continuationSeparator" w:id="0">
    <w:p w14:paraId="23E1D1C8" w14:textId="77777777" w:rsidR="003F67BE" w:rsidRPr="00D91740" w:rsidRDefault="003F67BE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D9C2" w14:textId="77777777" w:rsidR="00543811" w:rsidRPr="00D91740" w:rsidRDefault="00543811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98967CE" wp14:editId="47601B48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B090C"/>
    <w:multiLevelType w:val="hybridMultilevel"/>
    <w:tmpl w:val="D138E66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1688"/>
    <w:multiLevelType w:val="multilevel"/>
    <w:tmpl w:val="90464F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A500E"/>
    <w:multiLevelType w:val="hybridMultilevel"/>
    <w:tmpl w:val="47EC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06C7"/>
    <w:multiLevelType w:val="multilevel"/>
    <w:tmpl w:val="7B109748"/>
    <w:lvl w:ilvl="0">
      <w:start w:val="1"/>
      <w:numFmt w:val="decimal"/>
      <w:lvlText w:val="%1"/>
      <w:lvlJc w:val="left"/>
      <w:pPr>
        <w:ind w:left="851" w:hanging="851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9F4"/>
    <w:multiLevelType w:val="hybridMultilevel"/>
    <w:tmpl w:val="48F09418"/>
    <w:lvl w:ilvl="0" w:tplc="84E254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378A"/>
    <w:multiLevelType w:val="multilevel"/>
    <w:tmpl w:val="ED16E2F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84799"/>
    <w:multiLevelType w:val="hybridMultilevel"/>
    <w:tmpl w:val="6E620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2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AC112A"/>
    <w:multiLevelType w:val="hybridMultilevel"/>
    <w:tmpl w:val="393C2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83291"/>
    <w:multiLevelType w:val="hybridMultilevel"/>
    <w:tmpl w:val="C4EE7114"/>
    <w:lvl w:ilvl="0" w:tplc="FEF8F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E0762"/>
    <w:multiLevelType w:val="hybridMultilevel"/>
    <w:tmpl w:val="5E160E4E"/>
    <w:lvl w:ilvl="0" w:tplc="2A4E3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75D9C"/>
    <w:multiLevelType w:val="hybridMultilevel"/>
    <w:tmpl w:val="7AB62782"/>
    <w:lvl w:ilvl="0" w:tplc="04050011">
      <w:start w:val="1"/>
      <w:numFmt w:val="decimal"/>
      <w:lvlText w:val="%1)"/>
      <w:lvlJc w:val="left"/>
      <w:pPr>
        <w:ind w:left="333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D34529"/>
    <w:multiLevelType w:val="hybridMultilevel"/>
    <w:tmpl w:val="178809DA"/>
    <w:lvl w:ilvl="0" w:tplc="9CCCCC9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7020EF52">
      <w:start w:val="7"/>
      <w:numFmt w:val="bullet"/>
      <w:lvlText w:val="•"/>
      <w:lvlJc w:val="left"/>
      <w:pPr>
        <w:ind w:left="1866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B86E31"/>
    <w:multiLevelType w:val="hybridMultilevel"/>
    <w:tmpl w:val="6674D1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27F10"/>
    <w:multiLevelType w:val="hybridMultilevel"/>
    <w:tmpl w:val="D1ECFB48"/>
    <w:lvl w:ilvl="0" w:tplc="F68293A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32353"/>
    <w:multiLevelType w:val="hybridMultilevel"/>
    <w:tmpl w:val="A1A85A60"/>
    <w:lvl w:ilvl="0" w:tplc="DC182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B438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231EDD"/>
    <w:multiLevelType w:val="hybridMultilevel"/>
    <w:tmpl w:val="B8122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9108F"/>
    <w:multiLevelType w:val="hybridMultilevel"/>
    <w:tmpl w:val="22E656B6"/>
    <w:lvl w:ilvl="0" w:tplc="4D52A2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00777"/>
    <w:multiLevelType w:val="hybridMultilevel"/>
    <w:tmpl w:val="20E8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462AD"/>
    <w:multiLevelType w:val="hybridMultilevel"/>
    <w:tmpl w:val="9D42731C"/>
    <w:lvl w:ilvl="0" w:tplc="7C065C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A4450"/>
    <w:multiLevelType w:val="hybridMultilevel"/>
    <w:tmpl w:val="09A2C80E"/>
    <w:lvl w:ilvl="0" w:tplc="3BA8187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"/>
  </w:num>
  <w:num w:numId="5">
    <w:abstractNumId w:val="28"/>
  </w:num>
  <w:num w:numId="6">
    <w:abstractNumId w:val="9"/>
  </w:num>
  <w:num w:numId="7">
    <w:abstractNumId w:val="18"/>
  </w:num>
  <w:num w:numId="8">
    <w:abstractNumId w:val="13"/>
  </w:num>
  <w:num w:numId="9">
    <w:abstractNumId w:val="20"/>
  </w:num>
  <w:num w:numId="10">
    <w:abstractNumId w:val="17"/>
  </w:num>
  <w:num w:numId="11">
    <w:abstractNumId w:val="19"/>
  </w:num>
  <w:num w:numId="12">
    <w:abstractNumId w:val="30"/>
  </w:num>
  <w:num w:numId="13">
    <w:abstractNumId w:val="3"/>
  </w:num>
  <w:num w:numId="14">
    <w:abstractNumId w:val="0"/>
  </w:num>
  <w:num w:numId="15">
    <w:abstractNumId w:val="25"/>
  </w:num>
  <w:num w:numId="16">
    <w:abstractNumId w:val="7"/>
  </w:num>
  <w:num w:numId="17">
    <w:abstractNumId w:val="26"/>
  </w:num>
  <w:num w:numId="18">
    <w:abstractNumId w:val="29"/>
  </w:num>
  <w:num w:numId="19">
    <w:abstractNumId w:val="23"/>
  </w:num>
  <w:num w:numId="20">
    <w:abstractNumId w:val="31"/>
  </w:num>
  <w:num w:numId="21">
    <w:abstractNumId w:val="22"/>
  </w:num>
  <w:num w:numId="22">
    <w:abstractNumId w:val="4"/>
  </w:num>
  <w:num w:numId="23">
    <w:abstractNumId w:val="8"/>
  </w:num>
  <w:num w:numId="24">
    <w:abstractNumId w:val="24"/>
  </w:num>
  <w:num w:numId="25">
    <w:abstractNumId w:val="2"/>
  </w:num>
  <w:num w:numId="26">
    <w:abstractNumId w:val="11"/>
  </w:num>
  <w:num w:numId="27">
    <w:abstractNumId w:val="12"/>
  </w:num>
  <w:num w:numId="28">
    <w:abstractNumId w:val="2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0"/>
    <w:rsid w:val="00016D7E"/>
    <w:rsid w:val="00020671"/>
    <w:rsid w:val="0002342B"/>
    <w:rsid w:val="0002531C"/>
    <w:rsid w:val="00027A99"/>
    <w:rsid w:val="000306B7"/>
    <w:rsid w:val="00031CAA"/>
    <w:rsid w:val="000343F0"/>
    <w:rsid w:val="00037E8B"/>
    <w:rsid w:val="00044878"/>
    <w:rsid w:val="000675ED"/>
    <w:rsid w:val="00067C46"/>
    <w:rsid w:val="00075ED1"/>
    <w:rsid w:val="00084DEF"/>
    <w:rsid w:val="000901FD"/>
    <w:rsid w:val="00097BCD"/>
    <w:rsid w:val="000B6355"/>
    <w:rsid w:val="000C6616"/>
    <w:rsid w:val="000C73BA"/>
    <w:rsid w:val="000C7617"/>
    <w:rsid w:val="000D2B03"/>
    <w:rsid w:val="000D70CF"/>
    <w:rsid w:val="000F0B77"/>
    <w:rsid w:val="000F1B08"/>
    <w:rsid w:val="000F2DBB"/>
    <w:rsid w:val="00111666"/>
    <w:rsid w:val="00112544"/>
    <w:rsid w:val="0011407E"/>
    <w:rsid w:val="00117592"/>
    <w:rsid w:val="0013420B"/>
    <w:rsid w:val="00143658"/>
    <w:rsid w:val="001472E5"/>
    <w:rsid w:val="0017582B"/>
    <w:rsid w:val="00176A19"/>
    <w:rsid w:val="00184881"/>
    <w:rsid w:val="00184E66"/>
    <w:rsid w:val="00185B25"/>
    <w:rsid w:val="00186063"/>
    <w:rsid w:val="001903D8"/>
    <w:rsid w:val="001958D1"/>
    <w:rsid w:val="00197647"/>
    <w:rsid w:val="0019768B"/>
    <w:rsid w:val="001A1216"/>
    <w:rsid w:val="001A21D5"/>
    <w:rsid w:val="001A5FEB"/>
    <w:rsid w:val="001B0C5B"/>
    <w:rsid w:val="001B2CA8"/>
    <w:rsid w:val="001C13A5"/>
    <w:rsid w:val="001C7976"/>
    <w:rsid w:val="001C7CDA"/>
    <w:rsid w:val="001D0686"/>
    <w:rsid w:val="001D0688"/>
    <w:rsid w:val="001D162B"/>
    <w:rsid w:val="001D5422"/>
    <w:rsid w:val="001D727D"/>
    <w:rsid w:val="001E574E"/>
    <w:rsid w:val="001F26F7"/>
    <w:rsid w:val="00200A85"/>
    <w:rsid w:val="0020317E"/>
    <w:rsid w:val="00210D8B"/>
    <w:rsid w:val="00234417"/>
    <w:rsid w:val="002370C8"/>
    <w:rsid w:val="00241BD5"/>
    <w:rsid w:val="0024476D"/>
    <w:rsid w:val="00244E3D"/>
    <w:rsid w:val="00254D19"/>
    <w:rsid w:val="00274A5D"/>
    <w:rsid w:val="002832BF"/>
    <w:rsid w:val="0029010E"/>
    <w:rsid w:val="002B02E8"/>
    <w:rsid w:val="002B71F6"/>
    <w:rsid w:val="002C157B"/>
    <w:rsid w:val="002D51AB"/>
    <w:rsid w:val="002E75B0"/>
    <w:rsid w:val="002F0290"/>
    <w:rsid w:val="002F2D27"/>
    <w:rsid w:val="002F4727"/>
    <w:rsid w:val="0031128F"/>
    <w:rsid w:val="00313FE7"/>
    <w:rsid w:val="00326AE3"/>
    <w:rsid w:val="00327E2E"/>
    <w:rsid w:val="00344AD4"/>
    <w:rsid w:val="003534CF"/>
    <w:rsid w:val="00355E0F"/>
    <w:rsid w:val="003613FC"/>
    <w:rsid w:val="00364BE7"/>
    <w:rsid w:val="00365901"/>
    <w:rsid w:val="00372463"/>
    <w:rsid w:val="00372720"/>
    <w:rsid w:val="003855A8"/>
    <w:rsid w:val="00390A14"/>
    <w:rsid w:val="00392572"/>
    <w:rsid w:val="00393C06"/>
    <w:rsid w:val="003A0A48"/>
    <w:rsid w:val="003B1002"/>
    <w:rsid w:val="003B5B9F"/>
    <w:rsid w:val="003B7DD4"/>
    <w:rsid w:val="003C2732"/>
    <w:rsid w:val="003C37D1"/>
    <w:rsid w:val="003C640F"/>
    <w:rsid w:val="003C75C0"/>
    <w:rsid w:val="003D1213"/>
    <w:rsid w:val="003D4251"/>
    <w:rsid w:val="003D6B62"/>
    <w:rsid w:val="003D743C"/>
    <w:rsid w:val="003E23D0"/>
    <w:rsid w:val="003E39E8"/>
    <w:rsid w:val="003E73C1"/>
    <w:rsid w:val="003F1438"/>
    <w:rsid w:val="003F53C3"/>
    <w:rsid w:val="003F5C1D"/>
    <w:rsid w:val="003F635E"/>
    <w:rsid w:val="003F67BE"/>
    <w:rsid w:val="0041455E"/>
    <w:rsid w:val="00415EDC"/>
    <w:rsid w:val="00436A17"/>
    <w:rsid w:val="00452645"/>
    <w:rsid w:val="00460C52"/>
    <w:rsid w:val="00461B36"/>
    <w:rsid w:val="0047294E"/>
    <w:rsid w:val="00483C65"/>
    <w:rsid w:val="004D01BD"/>
    <w:rsid w:val="004D2CEC"/>
    <w:rsid w:val="004D5223"/>
    <w:rsid w:val="004F2057"/>
    <w:rsid w:val="004F7810"/>
    <w:rsid w:val="0050054B"/>
    <w:rsid w:val="005377CD"/>
    <w:rsid w:val="00541B74"/>
    <w:rsid w:val="00541EB4"/>
    <w:rsid w:val="00543811"/>
    <w:rsid w:val="0054513A"/>
    <w:rsid w:val="0054538F"/>
    <w:rsid w:val="00547F33"/>
    <w:rsid w:val="00580A15"/>
    <w:rsid w:val="00581D47"/>
    <w:rsid w:val="00590525"/>
    <w:rsid w:val="005B021F"/>
    <w:rsid w:val="005B0C9D"/>
    <w:rsid w:val="005C120A"/>
    <w:rsid w:val="005C195F"/>
    <w:rsid w:val="005C3D56"/>
    <w:rsid w:val="005E3B66"/>
    <w:rsid w:val="005F48E7"/>
    <w:rsid w:val="005F663E"/>
    <w:rsid w:val="005F6D79"/>
    <w:rsid w:val="0062547B"/>
    <w:rsid w:val="00635E47"/>
    <w:rsid w:val="006416CA"/>
    <w:rsid w:val="006447FE"/>
    <w:rsid w:val="00657AE6"/>
    <w:rsid w:val="00663DD6"/>
    <w:rsid w:val="0066667D"/>
    <w:rsid w:val="00666B59"/>
    <w:rsid w:val="00666C66"/>
    <w:rsid w:val="00675D26"/>
    <w:rsid w:val="00680D10"/>
    <w:rsid w:val="00682258"/>
    <w:rsid w:val="00693A76"/>
    <w:rsid w:val="006A2B2E"/>
    <w:rsid w:val="006B2306"/>
    <w:rsid w:val="006B4FD4"/>
    <w:rsid w:val="006C059B"/>
    <w:rsid w:val="006C1248"/>
    <w:rsid w:val="006C7665"/>
    <w:rsid w:val="006C7B37"/>
    <w:rsid w:val="006F4694"/>
    <w:rsid w:val="00710366"/>
    <w:rsid w:val="00727D1E"/>
    <w:rsid w:val="007418C8"/>
    <w:rsid w:val="007455C5"/>
    <w:rsid w:val="00747BBF"/>
    <w:rsid w:val="0075694F"/>
    <w:rsid w:val="00765B80"/>
    <w:rsid w:val="00772D38"/>
    <w:rsid w:val="00775BCD"/>
    <w:rsid w:val="007938EE"/>
    <w:rsid w:val="00796430"/>
    <w:rsid w:val="0079728F"/>
    <w:rsid w:val="007C5340"/>
    <w:rsid w:val="007E0392"/>
    <w:rsid w:val="007E1211"/>
    <w:rsid w:val="007E1B00"/>
    <w:rsid w:val="007E3086"/>
    <w:rsid w:val="007E556B"/>
    <w:rsid w:val="007F55A7"/>
    <w:rsid w:val="008141AB"/>
    <w:rsid w:val="00826C65"/>
    <w:rsid w:val="00830E69"/>
    <w:rsid w:val="0083356A"/>
    <w:rsid w:val="00845A8F"/>
    <w:rsid w:val="00850DF7"/>
    <w:rsid w:val="0087216D"/>
    <w:rsid w:val="00882F5B"/>
    <w:rsid w:val="008904CB"/>
    <w:rsid w:val="00890A2E"/>
    <w:rsid w:val="008A2578"/>
    <w:rsid w:val="008A59E2"/>
    <w:rsid w:val="008A71A9"/>
    <w:rsid w:val="008B05C9"/>
    <w:rsid w:val="008C02B0"/>
    <w:rsid w:val="008C0752"/>
    <w:rsid w:val="008C7C74"/>
    <w:rsid w:val="008D4AC0"/>
    <w:rsid w:val="008E79CB"/>
    <w:rsid w:val="008F13B9"/>
    <w:rsid w:val="008F2E8F"/>
    <w:rsid w:val="008F4E11"/>
    <w:rsid w:val="009023BA"/>
    <w:rsid w:val="00910FEA"/>
    <w:rsid w:val="00911E6F"/>
    <w:rsid w:val="0091478B"/>
    <w:rsid w:val="0092010E"/>
    <w:rsid w:val="00920B48"/>
    <w:rsid w:val="00923609"/>
    <w:rsid w:val="0093268F"/>
    <w:rsid w:val="009338CB"/>
    <w:rsid w:val="00935579"/>
    <w:rsid w:val="00940BBE"/>
    <w:rsid w:val="00954EEE"/>
    <w:rsid w:val="00955B5E"/>
    <w:rsid w:val="009562F4"/>
    <w:rsid w:val="009625FF"/>
    <w:rsid w:val="00963455"/>
    <w:rsid w:val="00972AF0"/>
    <w:rsid w:val="00973CFB"/>
    <w:rsid w:val="009752EA"/>
    <w:rsid w:val="00977F9C"/>
    <w:rsid w:val="00980AFE"/>
    <w:rsid w:val="00991063"/>
    <w:rsid w:val="009B3FFE"/>
    <w:rsid w:val="009B6FDE"/>
    <w:rsid w:val="009C1A6A"/>
    <w:rsid w:val="009C3F89"/>
    <w:rsid w:val="009D13E8"/>
    <w:rsid w:val="009E5571"/>
    <w:rsid w:val="009F5876"/>
    <w:rsid w:val="009F5928"/>
    <w:rsid w:val="009F7A7F"/>
    <w:rsid w:val="00A04141"/>
    <w:rsid w:val="00A10D71"/>
    <w:rsid w:val="00A1575D"/>
    <w:rsid w:val="00A168E4"/>
    <w:rsid w:val="00A257E7"/>
    <w:rsid w:val="00A405CB"/>
    <w:rsid w:val="00A45E77"/>
    <w:rsid w:val="00A47516"/>
    <w:rsid w:val="00A51007"/>
    <w:rsid w:val="00A51F18"/>
    <w:rsid w:val="00A560E6"/>
    <w:rsid w:val="00A642F3"/>
    <w:rsid w:val="00A669E9"/>
    <w:rsid w:val="00A70562"/>
    <w:rsid w:val="00A73FAB"/>
    <w:rsid w:val="00A770DD"/>
    <w:rsid w:val="00A83757"/>
    <w:rsid w:val="00A909B1"/>
    <w:rsid w:val="00A91B2C"/>
    <w:rsid w:val="00AA2AF5"/>
    <w:rsid w:val="00AB1BBD"/>
    <w:rsid w:val="00AC15FF"/>
    <w:rsid w:val="00AC392A"/>
    <w:rsid w:val="00AC6790"/>
    <w:rsid w:val="00AD1754"/>
    <w:rsid w:val="00AD23D4"/>
    <w:rsid w:val="00AF53A9"/>
    <w:rsid w:val="00AF5500"/>
    <w:rsid w:val="00AF6433"/>
    <w:rsid w:val="00B11F36"/>
    <w:rsid w:val="00B15F49"/>
    <w:rsid w:val="00B22B3F"/>
    <w:rsid w:val="00B2558D"/>
    <w:rsid w:val="00B2573E"/>
    <w:rsid w:val="00B27795"/>
    <w:rsid w:val="00B322C6"/>
    <w:rsid w:val="00B33C10"/>
    <w:rsid w:val="00B408A7"/>
    <w:rsid w:val="00B42361"/>
    <w:rsid w:val="00B614AB"/>
    <w:rsid w:val="00B65538"/>
    <w:rsid w:val="00B66EB3"/>
    <w:rsid w:val="00B66F0D"/>
    <w:rsid w:val="00B82B57"/>
    <w:rsid w:val="00B93793"/>
    <w:rsid w:val="00B94D65"/>
    <w:rsid w:val="00BA3C5F"/>
    <w:rsid w:val="00BD3ECC"/>
    <w:rsid w:val="00BD4858"/>
    <w:rsid w:val="00BD4B5B"/>
    <w:rsid w:val="00BD559B"/>
    <w:rsid w:val="00BE268E"/>
    <w:rsid w:val="00BE3920"/>
    <w:rsid w:val="00BE3FC8"/>
    <w:rsid w:val="00BE4CE5"/>
    <w:rsid w:val="00BF1CE2"/>
    <w:rsid w:val="00BF3EA1"/>
    <w:rsid w:val="00C102E5"/>
    <w:rsid w:val="00C1192F"/>
    <w:rsid w:val="00C1385D"/>
    <w:rsid w:val="00C17DE9"/>
    <w:rsid w:val="00C2033B"/>
    <w:rsid w:val="00C27B16"/>
    <w:rsid w:val="00C52ACD"/>
    <w:rsid w:val="00C55922"/>
    <w:rsid w:val="00C74267"/>
    <w:rsid w:val="00C80358"/>
    <w:rsid w:val="00C811F0"/>
    <w:rsid w:val="00C829D6"/>
    <w:rsid w:val="00C87D15"/>
    <w:rsid w:val="00C946B0"/>
    <w:rsid w:val="00C95766"/>
    <w:rsid w:val="00CA57FC"/>
    <w:rsid w:val="00CB2217"/>
    <w:rsid w:val="00CB2EB6"/>
    <w:rsid w:val="00CB430D"/>
    <w:rsid w:val="00CC3AE6"/>
    <w:rsid w:val="00CE0984"/>
    <w:rsid w:val="00CE13F8"/>
    <w:rsid w:val="00CE1721"/>
    <w:rsid w:val="00CF1CC7"/>
    <w:rsid w:val="00D11624"/>
    <w:rsid w:val="00D13A35"/>
    <w:rsid w:val="00D15303"/>
    <w:rsid w:val="00D36266"/>
    <w:rsid w:val="00D42FBF"/>
    <w:rsid w:val="00D44B5C"/>
    <w:rsid w:val="00D52C91"/>
    <w:rsid w:val="00D60937"/>
    <w:rsid w:val="00D76D96"/>
    <w:rsid w:val="00D80954"/>
    <w:rsid w:val="00D82520"/>
    <w:rsid w:val="00D91740"/>
    <w:rsid w:val="00DA6B94"/>
    <w:rsid w:val="00DB756C"/>
    <w:rsid w:val="00DD24AA"/>
    <w:rsid w:val="00DD2774"/>
    <w:rsid w:val="00DE61DD"/>
    <w:rsid w:val="00DF04F8"/>
    <w:rsid w:val="00DF3F1D"/>
    <w:rsid w:val="00DF56E4"/>
    <w:rsid w:val="00E000ED"/>
    <w:rsid w:val="00E0357F"/>
    <w:rsid w:val="00E11A7B"/>
    <w:rsid w:val="00E251A1"/>
    <w:rsid w:val="00E35A16"/>
    <w:rsid w:val="00E46031"/>
    <w:rsid w:val="00E4707B"/>
    <w:rsid w:val="00E50317"/>
    <w:rsid w:val="00E51DE2"/>
    <w:rsid w:val="00E57588"/>
    <w:rsid w:val="00E57B05"/>
    <w:rsid w:val="00E60DCA"/>
    <w:rsid w:val="00E63C1E"/>
    <w:rsid w:val="00E72C70"/>
    <w:rsid w:val="00E76540"/>
    <w:rsid w:val="00E76C95"/>
    <w:rsid w:val="00E855E0"/>
    <w:rsid w:val="00E87845"/>
    <w:rsid w:val="00E95C39"/>
    <w:rsid w:val="00EA151D"/>
    <w:rsid w:val="00EB30D0"/>
    <w:rsid w:val="00EB40DD"/>
    <w:rsid w:val="00EC5C18"/>
    <w:rsid w:val="00ED7798"/>
    <w:rsid w:val="00EF533B"/>
    <w:rsid w:val="00F028B7"/>
    <w:rsid w:val="00F06EA0"/>
    <w:rsid w:val="00F120AD"/>
    <w:rsid w:val="00F142DC"/>
    <w:rsid w:val="00F15A16"/>
    <w:rsid w:val="00F15FF1"/>
    <w:rsid w:val="00F21D13"/>
    <w:rsid w:val="00F2634F"/>
    <w:rsid w:val="00F411DB"/>
    <w:rsid w:val="00F438CC"/>
    <w:rsid w:val="00F47BDF"/>
    <w:rsid w:val="00F723CC"/>
    <w:rsid w:val="00F86C20"/>
    <w:rsid w:val="00F86E40"/>
    <w:rsid w:val="00F872F7"/>
    <w:rsid w:val="00F95884"/>
    <w:rsid w:val="00F95B87"/>
    <w:rsid w:val="00F960D4"/>
    <w:rsid w:val="00FA0E47"/>
    <w:rsid w:val="00FB1032"/>
    <w:rsid w:val="00FB128F"/>
    <w:rsid w:val="00FB2A8C"/>
    <w:rsid w:val="00FC2ED5"/>
    <w:rsid w:val="00FC51B3"/>
    <w:rsid w:val="00FC7439"/>
    <w:rsid w:val="00FD5285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71FB64"/>
  <w15:docId w15:val="{D39D5014-3B6C-4AE8-98FA-4799389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42F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A642F3"/>
    <w:pPr>
      <w:autoSpaceDE w:val="0"/>
      <w:autoSpaceDN w:val="0"/>
      <w:jc w:val="both"/>
    </w:pPr>
    <w:rPr>
      <w:rFonts w:ascii="Tms Rmn" w:hAnsi="Tms Rmn"/>
      <w:lang w:val="x-none" w:eastAsia="x-none"/>
    </w:rPr>
  </w:style>
  <w:style w:type="character" w:customStyle="1" w:styleId="ZkladntextChar">
    <w:name w:val="Základní text Char"/>
    <w:link w:val="Zkladntext"/>
    <w:rsid w:val="00A642F3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A642F3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A642F3"/>
    <w:rPr>
      <w:rFonts w:ascii="Times New Roman" w:eastAsia="Times New Roman" w:hAnsi="Times New Roman"/>
      <w:b/>
      <w:sz w:val="28"/>
    </w:rPr>
  </w:style>
  <w:style w:type="character" w:styleId="Hypertextovodkaz">
    <w:name w:val="Hyperlink"/>
    <w:rsid w:val="00A642F3"/>
    <w:rPr>
      <w:color w:val="0000FF"/>
      <w:u w:val="single"/>
    </w:rPr>
  </w:style>
  <w:style w:type="character" w:styleId="Odkaznakoment">
    <w:name w:val="annotation reference"/>
    <w:rsid w:val="00A642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42F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A642F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A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0A15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CF1CC7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C02B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C02B0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9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2roveChar">
    <w:name w:val="Text 2.úroveň Char"/>
    <w:basedOn w:val="Standardnpsmoodstavce"/>
    <w:link w:val="Text2rove"/>
    <w:locked/>
    <w:rsid w:val="003D6B62"/>
    <w:rPr>
      <w:rFonts w:ascii="Franklin Gothic Book" w:hAnsi="Franklin Gothic Book"/>
    </w:rPr>
  </w:style>
  <w:style w:type="paragraph" w:customStyle="1" w:styleId="Text2rove">
    <w:name w:val="Text 2.úroveň"/>
    <w:basedOn w:val="Normln"/>
    <w:link w:val="Text2roveChar"/>
    <w:rsid w:val="003D6B62"/>
    <w:pPr>
      <w:keepNext/>
      <w:autoSpaceDE w:val="0"/>
      <w:autoSpaceDN w:val="0"/>
      <w:spacing w:after="80" w:line="252" w:lineRule="auto"/>
      <w:ind w:left="851" w:hanging="851"/>
      <w:jc w:val="both"/>
    </w:pPr>
    <w:rPr>
      <w:rFonts w:ascii="Franklin Gothic Book" w:eastAsia="Calibri" w:hAnsi="Franklin Gothic Book"/>
      <w:sz w:val="20"/>
      <w:szCs w:val="20"/>
    </w:rPr>
  </w:style>
  <w:style w:type="paragraph" w:customStyle="1" w:styleId="Styl5">
    <w:name w:val="Styl5"/>
    <w:basedOn w:val="Normln"/>
    <w:rsid w:val="003D6B62"/>
    <w:pPr>
      <w:autoSpaceDE w:val="0"/>
      <w:autoSpaceDN w:val="0"/>
      <w:spacing w:after="40" w:line="252" w:lineRule="auto"/>
      <w:ind w:left="851" w:hanging="851"/>
      <w:jc w:val="both"/>
    </w:pPr>
    <w:rPr>
      <w:rFonts w:ascii="Franklin Gothic Book" w:eastAsiaTheme="minorHAnsi" w:hAnsi="Franklin Gothic Book" w:cs="Calibri"/>
      <w:sz w:val="22"/>
      <w:szCs w:val="22"/>
      <w:lang w:eastAsia="en-US"/>
    </w:rPr>
  </w:style>
  <w:style w:type="paragraph" w:styleId="Bezmezer">
    <w:name w:val="No Spacing"/>
    <w:uiPriority w:val="1"/>
    <w:qFormat/>
    <w:rsid w:val="00A10D7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0536-B470-4DB3-AC30-B23058B9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0</TotalTime>
  <Pages>6</Pages>
  <Words>1711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>Technická univerzita v Liberci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Martina Froschová</dc:creator>
  <cp:lastModifiedBy>Martina Froschová</cp:lastModifiedBy>
  <cp:revision>2</cp:revision>
  <cp:lastPrinted>2021-12-16T10:24:00Z</cp:lastPrinted>
  <dcterms:created xsi:type="dcterms:W3CDTF">2022-01-26T09:50:00Z</dcterms:created>
  <dcterms:modified xsi:type="dcterms:W3CDTF">2022-01-26T09:50:00Z</dcterms:modified>
</cp:coreProperties>
</file>