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272415</wp:posOffset>
                </wp:positionV>
                <wp:extent cx="3870960" cy="3676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0960" cy="367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150000000000006pt;margin-top:21.449999999999999pt;width:304.80000000000001pt;height:28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31520" distB="0" distL="0" distR="2446020" simplePos="0" relativeHeight="125829380" behindDoc="0" locked="0" layoutInCell="1" allowOverlap="1">
            <wp:simplePos x="0" y="0"/>
            <wp:positionH relativeFrom="page">
              <wp:posOffset>3268980</wp:posOffset>
            </wp:positionH>
            <wp:positionV relativeFrom="paragraph">
              <wp:posOffset>744220</wp:posOffset>
            </wp:positionV>
            <wp:extent cx="1444625" cy="4572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4462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9530" distB="350520" distL="1992630" distR="0" simplePos="0" relativeHeight="125829381" behindDoc="0" locked="0" layoutInCell="1" allowOverlap="1">
            <wp:simplePos x="0" y="0"/>
            <wp:positionH relativeFrom="page">
              <wp:posOffset>5261610</wp:posOffset>
            </wp:positionH>
            <wp:positionV relativeFrom="paragraph">
              <wp:posOffset>62230</wp:posOffset>
            </wp:positionV>
            <wp:extent cx="1896110" cy="78613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96110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538480</wp:posOffset>
                </wp:positionV>
                <wp:extent cx="201930" cy="1371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9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pod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9.44999999999999pt;margin-top:42.399999999999999pt;width:15.9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12700</wp:posOffset>
                </wp:positionV>
                <wp:extent cx="2066925" cy="27622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6925" cy="276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kraiská správa a údržba 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pnspevkovd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9.89999999999998pt;margin-top:1.pt;width:162.75pt;height:2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kraiská správa a údržba 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pnspevkovd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294640</wp:posOffset>
                </wp:positionV>
                <wp:extent cx="2066925" cy="1524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69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9.89999999999998pt;margin-top:23.199999999999999pt;width:162.75pt;height:12.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36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30" w:lineRule="auto"/>
        <w:ind w:left="0" w:right="0" w:firstLine="360"/>
        <w:jc w:val="left"/>
        <w:rPr>
          <w:sz w:val="26"/>
          <w:szCs w:val="26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Smlouva o dílo na provádění zimní údržby č. 29153/2021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286"/>
        <w:gridCol w:w="7194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86"/>
        <w:gridCol w:w="7194"/>
      </w:tblGrid>
      <w:tr>
        <w:trPr>
          <w:trHeight w:val="3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5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86"/>
        <w:gridCol w:w="7194"/>
      </w:tblGrid>
      <w:tr>
        <w:trPr>
          <w:trHeight w:val="3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583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Zhotovitel“)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86"/>
        <w:gridCol w:w="719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Arnolec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Amolec 53, 588 27 Jamné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Ladislavem Fialou - starosta obce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00373613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30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98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20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pouze posyp inertním materiálem v délce 2 500,00 m po předchozím odstranění sněhu objednatelem.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 Telefon dispečera ZÚ Jihlava 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pozemních komunikacích MK v obci Amolec: 1) v dolní části obce od kaple směrem ke mlýnu, 2) střední část obce od křiž.MK u Pěšků k domu u Varhaníků, před prodejnou Lapek, 3) horní část obce - zadní vchod kultur, domu, zadní cesta k bytovkám, od křiž. sil. 11/348 k domu p.Tesaře, p. Hájek, náměstíčko - Pemičkovi, Svatoňovi č.p. 59.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zimním období roku 2021/2022, a to konkrétně od 25.11.2021 do 31.3.2022.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ztotožněn stím, že Zhotovitel nastoupí na provádění prací dle objednávky Objednatele vždy až po skončení údržbových prací na komunikacích ve správě Zhotovitele.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280" w:line="305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14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62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40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IZOZ 71 -l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40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12700</wp:posOffset>
                </wp:positionV>
                <wp:extent cx="809625" cy="18669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9625" cy="18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950000000000003pt;margin-top:1.pt;width:63.75pt;height:14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Amolci dne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2596" w:val="right"/>
        </w:tabs>
        <w:bidi w:val="0"/>
        <w:spacing w:before="0" w:after="0" w:line="240" w:lineRule="auto"/>
        <w:ind w:left="0" w:right="0" w:firstLine="64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101600</wp:posOffset>
                </wp:positionV>
                <wp:extent cx="1192530" cy="58864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2530" cy="5886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Ladislav Fiala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0.05000000000001pt;margin-top:8.pt;width:93.900000000000006pt;height:46.3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Ladislav Fiala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ab/>
        <w:t>V’"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383" w:left="998" w:right="1356" w:bottom="1781" w:header="955" w:footer="135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  <w:br/>
        <w:t>ředitel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01.11.2021 do 31.03.2022</w:t>
      </w:r>
    </w:p>
    <w:tbl>
      <w:tblPr>
        <w:tblOverlap w:val="never"/>
        <w:jc w:val="center"/>
        <w:tblLayout w:type="fixed"/>
      </w:tblPr>
      <w:tblGrid>
        <w:gridCol w:w="6096"/>
        <w:gridCol w:w="852"/>
        <w:gridCol w:w="2022"/>
      </w:tblGrid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voz.chem.fbez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1 100,00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360,00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43" w:left="878" w:right="1475" w:bottom="1343" w:header="915" w:footer="91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35" w:lineRule="auto"/>
      <w:ind w:firstLine="18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21" w:lineRule="auto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