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401CE6EF"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403331FF" w14:textId="381323F3" w:rsidR="00F21C55" w:rsidRPr="00E96AB7" w:rsidRDefault="00F21C55" w:rsidP="00F21C55">
      <w:pPr>
        <w:spacing w:before="120" w:after="120"/>
        <w:rPr>
          <w:b/>
          <w:sz w:val="22"/>
          <w:szCs w:val="22"/>
        </w:rPr>
      </w:pPr>
      <w:permStart w:id="262752951" w:edGrp="everyone"/>
      <w:r w:rsidRPr="00E96AB7">
        <w:rPr>
          <w:b/>
          <w:sz w:val="22"/>
          <w:szCs w:val="22"/>
        </w:rPr>
        <w:t>Firma:</w:t>
      </w:r>
      <w:r w:rsidRPr="00E96AB7">
        <w:rPr>
          <w:sz w:val="22"/>
          <w:szCs w:val="22"/>
        </w:rPr>
        <w:tab/>
      </w:r>
      <w:r w:rsidRPr="00E96AB7">
        <w:rPr>
          <w:sz w:val="22"/>
          <w:szCs w:val="22"/>
        </w:rPr>
        <w:tab/>
      </w:r>
      <w:r w:rsidRPr="00E96AB7">
        <w:rPr>
          <w:sz w:val="22"/>
          <w:szCs w:val="22"/>
        </w:rPr>
        <w:tab/>
      </w:r>
      <w:r w:rsidR="00E647C0">
        <w:rPr>
          <w:sz w:val="22"/>
          <w:szCs w:val="22"/>
        </w:rPr>
        <w:t>Dopravní stavby Brno, s.r.o.</w:t>
      </w:r>
      <w:r w:rsidRPr="00E96AB7">
        <w:rPr>
          <w:b/>
          <w:sz w:val="22"/>
          <w:szCs w:val="22"/>
        </w:rPr>
        <w:tab/>
        <w:t xml:space="preserve"> </w:t>
      </w:r>
    </w:p>
    <w:p w14:paraId="0711CF65" w14:textId="5E82FFFA" w:rsidR="00F21C55" w:rsidRPr="00E96AB7" w:rsidRDefault="00F21C55" w:rsidP="00F21C55">
      <w:pPr>
        <w:spacing w:before="120" w:after="120"/>
        <w:rPr>
          <w:sz w:val="22"/>
          <w:szCs w:val="22"/>
        </w:rPr>
      </w:pPr>
      <w:r w:rsidRPr="00E96AB7">
        <w:rPr>
          <w:sz w:val="22"/>
          <w:szCs w:val="22"/>
        </w:rPr>
        <w:t>Sídlo:</w:t>
      </w:r>
      <w:r w:rsidRPr="00E96AB7">
        <w:rPr>
          <w:sz w:val="22"/>
          <w:szCs w:val="22"/>
        </w:rPr>
        <w:tab/>
      </w:r>
      <w:r w:rsidRPr="00E96AB7">
        <w:rPr>
          <w:sz w:val="22"/>
          <w:szCs w:val="22"/>
        </w:rPr>
        <w:tab/>
      </w:r>
      <w:r w:rsidRPr="00E96AB7">
        <w:rPr>
          <w:sz w:val="22"/>
          <w:szCs w:val="22"/>
        </w:rPr>
        <w:tab/>
      </w:r>
      <w:r w:rsidR="00E647C0">
        <w:rPr>
          <w:sz w:val="22"/>
          <w:szCs w:val="22"/>
        </w:rPr>
        <w:t>Trnkova 2617/150, 628 00 Brno</w:t>
      </w:r>
    </w:p>
    <w:p w14:paraId="5F176F56" w14:textId="546AE7C6" w:rsidR="00E92213" w:rsidRPr="00E96AB7" w:rsidRDefault="00E92213" w:rsidP="00F21C55">
      <w:pPr>
        <w:spacing w:before="120" w:after="120"/>
        <w:rPr>
          <w:sz w:val="22"/>
          <w:szCs w:val="22"/>
        </w:rPr>
      </w:pPr>
      <w:r w:rsidRPr="00E96AB7">
        <w:rPr>
          <w:sz w:val="22"/>
          <w:szCs w:val="22"/>
        </w:rPr>
        <w:t>Fakturační adresa:</w:t>
      </w:r>
      <w:r w:rsidRPr="00E96AB7">
        <w:rPr>
          <w:sz w:val="22"/>
          <w:szCs w:val="22"/>
        </w:rPr>
        <w:tab/>
      </w:r>
    </w:p>
    <w:p w14:paraId="416C7C1F" w14:textId="201F8B70" w:rsidR="00E92213" w:rsidRPr="00E96AB7" w:rsidRDefault="00F21C55" w:rsidP="00F21C55">
      <w:pPr>
        <w:spacing w:before="120" w:after="120"/>
        <w:rPr>
          <w:sz w:val="22"/>
          <w:szCs w:val="22"/>
        </w:rPr>
      </w:pPr>
      <w:r w:rsidRPr="00E96AB7">
        <w:rPr>
          <w:sz w:val="22"/>
          <w:szCs w:val="22"/>
        </w:rPr>
        <w:t>Zástupce:</w:t>
      </w:r>
      <w:r w:rsidRPr="00E96AB7">
        <w:rPr>
          <w:sz w:val="22"/>
          <w:szCs w:val="22"/>
        </w:rPr>
        <w:tab/>
      </w:r>
      <w:r w:rsidRPr="00E96AB7">
        <w:rPr>
          <w:sz w:val="22"/>
          <w:szCs w:val="22"/>
        </w:rPr>
        <w:tab/>
      </w:r>
      <w:r w:rsidR="00E647C0">
        <w:rPr>
          <w:sz w:val="22"/>
          <w:szCs w:val="22"/>
        </w:rPr>
        <w:t xml:space="preserve">Ing. Martin Matuška, jednatel a </w:t>
      </w:r>
      <w:r w:rsidR="007C40A9">
        <w:rPr>
          <w:sz w:val="22"/>
          <w:szCs w:val="22"/>
        </w:rPr>
        <w:t>ředitel</w:t>
      </w:r>
    </w:p>
    <w:p w14:paraId="4610F8DD" w14:textId="52D83DAE"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 xml:space="preserve">:                     </w:t>
      </w:r>
      <w:r w:rsidR="00832530" w:rsidRPr="00E96AB7">
        <w:rPr>
          <w:sz w:val="22"/>
          <w:szCs w:val="22"/>
        </w:rPr>
        <w:tab/>
      </w:r>
      <w:r w:rsidR="007C40A9">
        <w:rPr>
          <w:sz w:val="22"/>
          <w:szCs w:val="22"/>
        </w:rPr>
        <w:t>45474281</w:t>
      </w:r>
    </w:p>
    <w:p w14:paraId="14280BEE" w14:textId="2F0B9A0C" w:rsidR="00F21C55" w:rsidRPr="00E96AB7" w:rsidRDefault="00F21C55" w:rsidP="00F21C55">
      <w:pPr>
        <w:spacing w:before="120" w:after="120"/>
        <w:rPr>
          <w:sz w:val="22"/>
          <w:szCs w:val="22"/>
        </w:rPr>
      </w:pPr>
      <w:r w:rsidRPr="00E96AB7">
        <w:rPr>
          <w:sz w:val="22"/>
          <w:szCs w:val="22"/>
        </w:rPr>
        <w:t xml:space="preserve">DIČ:                 </w:t>
      </w:r>
      <w:r w:rsidRPr="00E96AB7">
        <w:rPr>
          <w:sz w:val="22"/>
          <w:szCs w:val="22"/>
        </w:rPr>
        <w:tab/>
      </w:r>
      <w:r w:rsidRPr="00E96AB7">
        <w:rPr>
          <w:sz w:val="22"/>
          <w:szCs w:val="22"/>
        </w:rPr>
        <w:tab/>
      </w:r>
      <w:r w:rsidR="007C40A9">
        <w:rPr>
          <w:sz w:val="22"/>
          <w:szCs w:val="22"/>
        </w:rPr>
        <w:t>CZ45474281</w:t>
      </w:r>
    </w:p>
    <w:p w14:paraId="5F5E748A" w14:textId="2D36D746" w:rsidR="00F21C55" w:rsidRPr="00E96AB7" w:rsidRDefault="00F21C55" w:rsidP="00F21C55">
      <w:pPr>
        <w:spacing w:before="120" w:after="120"/>
        <w:rPr>
          <w:sz w:val="22"/>
          <w:szCs w:val="22"/>
        </w:rPr>
      </w:pPr>
      <w:r w:rsidRPr="00E96AB7">
        <w:rPr>
          <w:sz w:val="22"/>
          <w:szCs w:val="22"/>
        </w:rPr>
        <w:t>Banka:</w:t>
      </w:r>
      <w:r w:rsidRPr="00E96AB7">
        <w:rPr>
          <w:sz w:val="22"/>
          <w:szCs w:val="22"/>
        </w:rPr>
        <w:tab/>
        <w:t xml:space="preserve">              </w:t>
      </w:r>
      <w:r w:rsidRPr="00E96AB7">
        <w:rPr>
          <w:sz w:val="22"/>
          <w:szCs w:val="22"/>
        </w:rPr>
        <w:tab/>
      </w:r>
      <w:r w:rsidR="00BD4B08" w:rsidRPr="00E96AB7">
        <w:rPr>
          <w:sz w:val="22"/>
          <w:szCs w:val="22"/>
        </w:rPr>
        <w:t>XXXXXXXXXX</w:t>
      </w:r>
    </w:p>
    <w:p w14:paraId="45A9AC1F" w14:textId="1FDE958E" w:rsidR="00F21C55" w:rsidRPr="00E96AB7" w:rsidRDefault="00F21C55" w:rsidP="00F21C55">
      <w:pPr>
        <w:spacing w:before="120" w:after="120"/>
        <w:rPr>
          <w:sz w:val="22"/>
          <w:szCs w:val="22"/>
        </w:rPr>
      </w:pPr>
      <w:r w:rsidRPr="00E96AB7">
        <w:rPr>
          <w:sz w:val="22"/>
          <w:szCs w:val="22"/>
        </w:rPr>
        <w:t xml:space="preserve">Číslo účtu:            </w:t>
      </w:r>
      <w:r w:rsidRPr="00E96AB7">
        <w:rPr>
          <w:sz w:val="22"/>
          <w:szCs w:val="22"/>
        </w:rPr>
        <w:tab/>
      </w:r>
      <w:r w:rsidR="00BD4B08" w:rsidRPr="00E96AB7">
        <w:rPr>
          <w:sz w:val="22"/>
          <w:szCs w:val="22"/>
        </w:rPr>
        <w:t>XXXXXXXXXX</w:t>
      </w:r>
    </w:p>
    <w:p w14:paraId="193D00DF" w14:textId="6D7ACDFD" w:rsidR="00F21C55" w:rsidRPr="00E96AB7" w:rsidRDefault="00F21C55" w:rsidP="00F21C55">
      <w:pPr>
        <w:spacing w:before="120" w:after="120"/>
        <w:rPr>
          <w:sz w:val="22"/>
          <w:szCs w:val="22"/>
        </w:rPr>
      </w:pPr>
      <w:r w:rsidRPr="00E96AB7">
        <w:rPr>
          <w:sz w:val="22"/>
          <w:szCs w:val="22"/>
        </w:rPr>
        <w:t xml:space="preserve">Tel.:                             </w:t>
      </w:r>
      <w:r w:rsidRPr="00E96AB7">
        <w:rPr>
          <w:sz w:val="22"/>
          <w:szCs w:val="22"/>
        </w:rPr>
        <w:tab/>
      </w:r>
      <w:r w:rsidR="00BD4B08" w:rsidRPr="00E96AB7">
        <w:rPr>
          <w:sz w:val="22"/>
          <w:szCs w:val="22"/>
        </w:rPr>
        <w:t>XXXXXXXXXX</w:t>
      </w:r>
    </w:p>
    <w:p w14:paraId="54573C28" w14:textId="4BC68A59"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t xml:space="preserve">         </w:t>
      </w:r>
      <w:r w:rsidRPr="00E96AB7">
        <w:rPr>
          <w:sz w:val="22"/>
          <w:szCs w:val="22"/>
        </w:rPr>
        <w:tab/>
      </w:r>
      <w:r w:rsidR="007C40A9">
        <w:rPr>
          <w:sz w:val="22"/>
          <w:szCs w:val="22"/>
        </w:rPr>
        <w:t>u KS v Brně, oddíl C, vložka 5062</w:t>
      </w:r>
    </w:p>
    <w:p w14:paraId="31ABBFDF" w14:textId="5D95A3AC" w:rsidR="00F21C55" w:rsidRPr="00E96AB7" w:rsidRDefault="00AA1233" w:rsidP="00F21C55">
      <w:pPr>
        <w:spacing w:before="120" w:after="120"/>
        <w:rPr>
          <w:sz w:val="22"/>
          <w:szCs w:val="22"/>
        </w:rPr>
      </w:pPr>
      <w:r w:rsidRPr="00E96AB7">
        <w:rPr>
          <w:sz w:val="22"/>
          <w:szCs w:val="22"/>
        </w:rPr>
        <w:t>E-mail:</w:t>
      </w:r>
      <w:r w:rsidR="00F21C55" w:rsidRPr="00E96AB7">
        <w:rPr>
          <w:sz w:val="22"/>
          <w:szCs w:val="22"/>
        </w:rPr>
        <w:t xml:space="preserve"> </w:t>
      </w:r>
      <w:r w:rsidR="00E92213" w:rsidRPr="00E96AB7">
        <w:rPr>
          <w:sz w:val="22"/>
          <w:szCs w:val="22"/>
        </w:rPr>
        <w:tab/>
      </w:r>
      <w:r w:rsidR="00E92213" w:rsidRPr="00E96AB7">
        <w:rPr>
          <w:sz w:val="22"/>
          <w:szCs w:val="22"/>
        </w:rPr>
        <w:tab/>
      </w:r>
      <w:r w:rsidR="00BD4B08" w:rsidRPr="00E96AB7">
        <w:rPr>
          <w:sz w:val="22"/>
          <w:szCs w:val="22"/>
        </w:rPr>
        <w:t>XXXXXXXXXX</w:t>
      </w:r>
      <w:r w:rsidR="00F21C55" w:rsidRPr="00E96AB7">
        <w:rPr>
          <w:sz w:val="22"/>
          <w:szCs w:val="22"/>
        </w:rPr>
        <w:t xml:space="preserve">                        </w:t>
      </w:r>
      <w:r w:rsidR="00F21C55" w:rsidRPr="00E96AB7">
        <w:rPr>
          <w:sz w:val="22"/>
          <w:szCs w:val="22"/>
        </w:rPr>
        <w:tab/>
      </w:r>
      <w:r w:rsidR="00F21C55" w:rsidRPr="00E96AB7">
        <w:rPr>
          <w:sz w:val="22"/>
          <w:szCs w:val="22"/>
        </w:rPr>
        <w:tab/>
      </w:r>
      <w:r w:rsidR="00F21C55" w:rsidRPr="00E96AB7">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dle zákona o odpadech č. 185/2001 Sb., ve znění pozdějších předpisů a vyhl.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Dodavatel bere na vědomí, že zákon č. 185/2001 Sb., stejně jako vyhl.</w:t>
      </w:r>
      <w:r w:rsidR="00433E6E">
        <w:rPr>
          <w:i w:val="0"/>
          <w:sz w:val="22"/>
        </w:rPr>
        <w:t xml:space="preserve"> 294/2005 Sb., stejně jako Katalog odpadů</w:t>
      </w:r>
      <w:r w:rsidR="004174F8">
        <w:rPr>
          <w:i w:val="0"/>
          <w:sz w:val="22"/>
        </w:rPr>
        <w:t xml:space="preserve">, stejně jako vyhl.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do doby, než nabude účinnosti ten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5EE8C7C4"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DD324B">
        <w:rPr>
          <w:b/>
          <w:bCs/>
          <w:sz w:val="22"/>
        </w:rPr>
        <w:t>X</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r w:rsidR="009833C2" w:rsidRPr="00E96AB7">
        <w:rPr>
          <w:bCs/>
          <w:sz w:val="22"/>
        </w:rPr>
        <w:t xml:space="preserve">té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r w:rsidR="00781EC0" w:rsidRPr="00E96AB7">
        <w:rPr>
          <w:bCs/>
          <w:i/>
          <w:sz w:val="22"/>
        </w:rPr>
        <w:t>X</w:t>
      </w:r>
      <w:r w:rsidR="002D4984" w:rsidRPr="00E96AB7">
        <w:rPr>
          <w:bCs/>
          <w:i/>
          <w:sz w:val="22"/>
        </w:rPr>
        <w:t>,-</w:t>
      </w:r>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r w:rsidR="00781EC0" w:rsidRPr="00E96AB7">
        <w:rPr>
          <w:bCs/>
          <w:i/>
          <w:sz w:val="22"/>
        </w:rPr>
        <w:t>X</w:t>
      </w:r>
      <w:r w:rsidR="005D3198" w:rsidRPr="00E96AB7">
        <w:rPr>
          <w:bCs/>
          <w:i/>
          <w:sz w:val="22"/>
        </w:rPr>
        <w:t>,-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XXXXX XXX XXX XXXXX XX XXXXX X XXX XXX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4.15. </w:t>
      </w:r>
      <w:r w:rsidR="003D0711">
        <w:rPr>
          <w:color w:val="000000"/>
          <w:sz w:val="22"/>
        </w:rPr>
        <w:t xml:space="preserve">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CC35DC">
        <w:rPr>
          <w:bCs/>
          <w:sz w:val="22"/>
        </w:rPr>
        <w:t>X</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XXXXX XXXXXXXXXX XX XXXXX XX XXXXX XXXX XXXXXXXX XXXXXXXXX XXXXX XX XXXXX X XXXXXX XXX XXXXXXX XX XXXXXXX XXXX XXXX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X  XX XXXXX XX XXX XXX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61116"/>
    <w:rsid w:val="001623B7"/>
    <w:rsid w:val="00163852"/>
    <w:rsid w:val="001855C1"/>
    <w:rsid w:val="00192253"/>
    <w:rsid w:val="001A2BFE"/>
    <w:rsid w:val="001B422C"/>
    <w:rsid w:val="001D412C"/>
    <w:rsid w:val="001D654C"/>
    <w:rsid w:val="001F7862"/>
    <w:rsid w:val="00202A52"/>
    <w:rsid w:val="00212759"/>
    <w:rsid w:val="00222B1B"/>
    <w:rsid w:val="002415B6"/>
    <w:rsid w:val="00246900"/>
    <w:rsid w:val="00246E40"/>
    <w:rsid w:val="002727CE"/>
    <w:rsid w:val="0028350F"/>
    <w:rsid w:val="00284549"/>
    <w:rsid w:val="00292102"/>
    <w:rsid w:val="00293504"/>
    <w:rsid w:val="002B45FE"/>
    <w:rsid w:val="002C08AD"/>
    <w:rsid w:val="002C3825"/>
    <w:rsid w:val="002D2FD5"/>
    <w:rsid w:val="002D4984"/>
    <w:rsid w:val="0030061C"/>
    <w:rsid w:val="00313723"/>
    <w:rsid w:val="00323648"/>
    <w:rsid w:val="00333545"/>
    <w:rsid w:val="00337DB6"/>
    <w:rsid w:val="003442D5"/>
    <w:rsid w:val="0036548C"/>
    <w:rsid w:val="003717D4"/>
    <w:rsid w:val="003A28FF"/>
    <w:rsid w:val="003B10A9"/>
    <w:rsid w:val="003B18D9"/>
    <w:rsid w:val="003B40EC"/>
    <w:rsid w:val="003C13C8"/>
    <w:rsid w:val="003C5066"/>
    <w:rsid w:val="003D0711"/>
    <w:rsid w:val="003F30B9"/>
    <w:rsid w:val="003F48B2"/>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1834"/>
    <w:rsid w:val="005018A3"/>
    <w:rsid w:val="0050360D"/>
    <w:rsid w:val="00504B79"/>
    <w:rsid w:val="00517A0B"/>
    <w:rsid w:val="00523123"/>
    <w:rsid w:val="0052396C"/>
    <w:rsid w:val="005240D1"/>
    <w:rsid w:val="0053213D"/>
    <w:rsid w:val="00533252"/>
    <w:rsid w:val="00537AEA"/>
    <w:rsid w:val="005602A3"/>
    <w:rsid w:val="005676AC"/>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E3F69"/>
    <w:rsid w:val="006E3F99"/>
    <w:rsid w:val="006E6717"/>
    <w:rsid w:val="006F5B86"/>
    <w:rsid w:val="00733F2D"/>
    <w:rsid w:val="0073635F"/>
    <w:rsid w:val="00741B53"/>
    <w:rsid w:val="00744F47"/>
    <w:rsid w:val="00745330"/>
    <w:rsid w:val="007610E3"/>
    <w:rsid w:val="00767EAC"/>
    <w:rsid w:val="00775B39"/>
    <w:rsid w:val="00781EC0"/>
    <w:rsid w:val="00786483"/>
    <w:rsid w:val="007C40A9"/>
    <w:rsid w:val="007C50DA"/>
    <w:rsid w:val="007F0170"/>
    <w:rsid w:val="007F57EF"/>
    <w:rsid w:val="007F7797"/>
    <w:rsid w:val="007F784A"/>
    <w:rsid w:val="00831C80"/>
    <w:rsid w:val="00832530"/>
    <w:rsid w:val="008503F1"/>
    <w:rsid w:val="00873FDD"/>
    <w:rsid w:val="008774A3"/>
    <w:rsid w:val="00895989"/>
    <w:rsid w:val="008A416B"/>
    <w:rsid w:val="008B15CF"/>
    <w:rsid w:val="008C5D2A"/>
    <w:rsid w:val="008D11EF"/>
    <w:rsid w:val="008E794C"/>
    <w:rsid w:val="00915478"/>
    <w:rsid w:val="00920A16"/>
    <w:rsid w:val="00923254"/>
    <w:rsid w:val="009528CC"/>
    <w:rsid w:val="00965739"/>
    <w:rsid w:val="00971643"/>
    <w:rsid w:val="009833C2"/>
    <w:rsid w:val="00994E61"/>
    <w:rsid w:val="00996C65"/>
    <w:rsid w:val="009A2B89"/>
    <w:rsid w:val="009A6FD7"/>
    <w:rsid w:val="009B10D9"/>
    <w:rsid w:val="009C2FF5"/>
    <w:rsid w:val="009D2873"/>
    <w:rsid w:val="009D3C4C"/>
    <w:rsid w:val="009D7756"/>
    <w:rsid w:val="00A164CF"/>
    <w:rsid w:val="00A337C5"/>
    <w:rsid w:val="00A501E5"/>
    <w:rsid w:val="00A62113"/>
    <w:rsid w:val="00A83907"/>
    <w:rsid w:val="00A87400"/>
    <w:rsid w:val="00A9437D"/>
    <w:rsid w:val="00A96336"/>
    <w:rsid w:val="00AA1233"/>
    <w:rsid w:val="00AA72D9"/>
    <w:rsid w:val="00AB6C20"/>
    <w:rsid w:val="00AE3F30"/>
    <w:rsid w:val="00AF5672"/>
    <w:rsid w:val="00B23953"/>
    <w:rsid w:val="00B24ACB"/>
    <w:rsid w:val="00B36FEB"/>
    <w:rsid w:val="00B71908"/>
    <w:rsid w:val="00B81816"/>
    <w:rsid w:val="00B942BC"/>
    <w:rsid w:val="00BB60E3"/>
    <w:rsid w:val="00BB7361"/>
    <w:rsid w:val="00BD4B08"/>
    <w:rsid w:val="00C02750"/>
    <w:rsid w:val="00C26769"/>
    <w:rsid w:val="00C3140B"/>
    <w:rsid w:val="00C52C10"/>
    <w:rsid w:val="00C61B7B"/>
    <w:rsid w:val="00C759A8"/>
    <w:rsid w:val="00C802DB"/>
    <w:rsid w:val="00CA1B22"/>
    <w:rsid w:val="00CA3F7E"/>
    <w:rsid w:val="00CB0F68"/>
    <w:rsid w:val="00CB38FA"/>
    <w:rsid w:val="00CB6414"/>
    <w:rsid w:val="00CC35DC"/>
    <w:rsid w:val="00CD1F7A"/>
    <w:rsid w:val="00CD2138"/>
    <w:rsid w:val="00CD3063"/>
    <w:rsid w:val="00CE1AD5"/>
    <w:rsid w:val="00CE52EB"/>
    <w:rsid w:val="00CF5229"/>
    <w:rsid w:val="00D0458B"/>
    <w:rsid w:val="00D064AC"/>
    <w:rsid w:val="00D163BC"/>
    <w:rsid w:val="00D2131C"/>
    <w:rsid w:val="00D27519"/>
    <w:rsid w:val="00D32838"/>
    <w:rsid w:val="00D4010E"/>
    <w:rsid w:val="00D41DDD"/>
    <w:rsid w:val="00D54FD2"/>
    <w:rsid w:val="00D636D1"/>
    <w:rsid w:val="00D754BA"/>
    <w:rsid w:val="00D8759E"/>
    <w:rsid w:val="00D913B5"/>
    <w:rsid w:val="00DA009E"/>
    <w:rsid w:val="00DC2B49"/>
    <w:rsid w:val="00DD324B"/>
    <w:rsid w:val="00DE5ADA"/>
    <w:rsid w:val="00E05E81"/>
    <w:rsid w:val="00E413B3"/>
    <w:rsid w:val="00E647C0"/>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8803</Words>
  <Characters>51939</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18</cp:revision>
  <cp:lastPrinted>2021-07-28T06:44:00Z</cp:lastPrinted>
  <dcterms:created xsi:type="dcterms:W3CDTF">2021-06-30T11:28:00Z</dcterms:created>
  <dcterms:modified xsi:type="dcterms:W3CDTF">2021-07-29T10:28:00Z</dcterms:modified>
</cp:coreProperties>
</file>